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A2721D" w14:textId="739DBF60" w:rsidR="00D452F2" w:rsidRPr="008414D9" w:rsidRDefault="00DE396F">
      <w:pPr>
        <w:spacing w:after="0" w:line="240" w:lineRule="auto"/>
        <w:rPr>
          <w:rFonts w:eastAsia="SimSun" w:cs="Calibri"/>
          <w:b/>
          <w:bCs/>
          <w:color w:val="4F6228"/>
          <w:sz w:val="24"/>
          <w:szCs w:val="20"/>
          <w:lang w:val="en-GB"/>
        </w:rPr>
      </w:pPr>
      <w:r w:rsidRPr="008414D9">
        <w:rPr>
          <w:noProof/>
          <w:lang w:val="en-GB"/>
        </w:rPr>
        <mc:AlternateContent>
          <mc:Choice Requires="wps">
            <w:drawing>
              <wp:anchor distT="0" distB="0" distL="114300" distR="114300" simplePos="0" relativeHeight="251665408" behindDoc="0" locked="0" layoutInCell="1" allowOverlap="1" wp14:anchorId="2CAA23E7" wp14:editId="2F768CE4">
                <wp:simplePos x="0" y="0"/>
                <wp:positionH relativeFrom="margin">
                  <wp:align>center</wp:align>
                </wp:positionH>
                <wp:positionV relativeFrom="paragraph">
                  <wp:posOffset>1163955</wp:posOffset>
                </wp:positionV>
                <wp:extent cx="6019800" cy="1935480"/>
                <wp:effectExtent l="0" t="0" r="0" b="7620"/>
                <wp:wrapNone/>
                <wp:docPr id="28" name="Πλαίσιο κειμένου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0" cy="1935480"/>
                        </a:xfrm>
                        <a:prstGeom prst="rect">
                          <a:avLst/>
                        </a:prstGeom>
                        <a:noFill/>
                        <a:ln w="6350">
                          <a:noFill/>
                        </a:ln>
                        <a:effectLst/>
                      </wps:spPr>
                      <wps:txbx>
                        <w:txbxContent>
                          <w:p w14:paraId="63E5F5A4" w14:textId="7D070DAE" w:rsidR="00BE52CD" w:rsidRPr="00EF5826" w:rsidRDefault="00EF5826" w:rsidP="00D23D6F">
                            <w:pPr>
                              <w:spacing w:after="0"/>
                              <w:rPr>
                                <w:rFonts w:ascii="Corbel" w:hAnsi="Corbel"/>
                                <w:b/>
                                <w:bCs/>
                                <w:color w:val="FFFFFF" w:themeColor="background1"/>
                                <w:sz w:val="52"/>
                                <w:szCs w:val="144"/>
                              </w:rPr>
                            </w:pPr>
                            <w:r>
                              <w:rPr>
                                <w:rFonts w:ascii="Corbel" w:hAnsi="Corbel"/>
                                <w:b/>
                                <w:bCs/>
                                <w:color w:val="FFFFFF" w:themeColor="background1"/>
                                <w:sz w:val="52"/>
                                <w:szCs w:val="144"/>
                              </w:rPr>
                              <w:t>Δελτίο</w:t>
                            </w:r>
                            <w:r w:rsidRPr="00EF5826">
                              <w:rPr>
                                <w:rFonts w:ascii="Corbel" w:hAnsi="Corbel"/>
                                <w:b/>
                                <w:bCs/>
                                <w:color w:val="FFFFFF" w:themeColor="background1"/>
                                <w:sz w:val="52"/>
                                <w:szCs w:val="144"/>
                              </w:rPr>
                              <w:t xml:space="preserve"> </w:t>
                            </w:r>
                            <w:r>
                              <w:rPr>
                                <w:rFonts w:ascii="Corbel" w:hAnsi="Corbel"/>
                                <w:b/>
                                <w:bCs/>
                                <w:color w:val="FFFFFF" w:themeColor="background1"/>
                                <w:sz w:val="52"/>
                                <w:szCs w:val="144"/>
                              </w:rPr>
                              <w:t>Τύπου</w:t>
                            </w:r>
                          </w:p>
                          <w:p w14:paraId="06FB68EB" w14:textId="71B75888" w:rsidR="00BE52CD" w:rsidRPr="002C6C13" w:rsidRDefault="002C6C13" w:rsidP="00D23D6F">
                            <w:pPr>
                              <w:spacing w:after="0" w:line="240" w:lineRule="auto"/>
                              <w:rPr>
                                <w:rFonts w:ascii="Corbel" w:hAnsi="Corbel"/>
                                <w:color w:val="FFFFFF" w:themeColor="background1"/>
                                <w:sz w:val="40"/>
                                <w:szCs w:val="56"/>
                              </w:rPr>
                            </w:pPr>
                            <w:r w:rsidRPr="002C6C13">
                              <w:rPr>
                                <w:rFonts w:ascii="Corbel" w:hAnsi="Corbel"/>
                                <w:color w:val="FFFFFF" w:themeColor="background1"/>
                                <w:sz w:val="40"/>
                                <w:szCs w:val="56"/>
                              </w:rPr>
                              <w:t xml:space="preserve">Οικονομικά αποτελέσματα πρώτου εξαμήνου 2024, </w:t>
                            </w:r>
                            <w:r w:rsidR="00CA2047">
                              <w:rPr>
                                <w:rFonts w:ascii="Corbel" w:hAnsi="Corbel"/>
                                <w:color w:val="FFFFFF" w:themeColor="background1"/>
                                <w:sz w:val="40"/>
                                <w:szCs w:val="56"/>
                              </w:rPr>
                              <w:t xml:space="preserve">ενημέρωση σε θέματα στρατηγικής και επικαιροποίηση εκτίμησης για </w:t>
                            </w:r>
                            <w:r w:rsidR="00D94291" w:rsidRPr="00D94291">
                              <w:rPr>
                                <w:rFonts w:ascii="Corbel" w:hAnsi="Corbel"/>
                                <w:color w:val="FFFFFF" w:themeColor="background1"/>
                                <w:sz w:val="40"/>
                                <w:szCs w:val="56"/>
                              </w:rPr>
                              <w:t>οικονομικές επιδόσεις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A23E7" id="_x0000_t202" coordsize="21600,21600" o:spt="202" path="m,l,21600r21600,l21600,xe">
                <v:stroke joinstyle="miter"/>
                <v:path gradientshapeok="t" o:connecttype="rect"/>
              </v:shapetype>
              <v:shape id="Πλαίσιο κειμένου 4" o:spid="_x0000_s1026" type="#_x0000_t202" style="position:absolute;margin-left:0;margin-top:91.65pt;width:474pt;height:152.4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" filled="f" stroked="f" strokeweight=".5pt">
                <v:textbox>
                  <w:txbxContent>
                    <w:p w14:paraId="63E5F5A4" w14:textId="7D070DAE" w:rsidR="00BE52CD" w:rsidRPr="00EF5826" w:rsidRDefault="00EF5826" w:rsidP="00D23D6F">
                      <w:pPr>
                        <w:spacing w:after="0"/>
                        <w:rPr>
                          <w:rFonts w:ascii="Corbel" w:hAnsi="Corbel"/>
                          <w:b/>
                          <w:bCs/>
                          <w:color w:val="FFFFFF" w:themeColor="background1"/>
                          <w:sz w:val="52"/>
                          <w:szCs w:val="144"/>
                        </w:rPr>
                      </w:pPr>
                      <w:r>
                        <w:rPr>
                          <w:rFonts w:ascii="Corbel" w:hAnsi="Corbel"/>
                          <w:b/>
                          <w:bCs/>
                          <w:color w:val="FFFFFF" w:themeColor="background1"/>
                          <w:sz w:val="52"/>
                          <w:szCs w:val="144"/>
                        </w:rPr>
                        <w:t>Δελτίο</w:t>
                      </w:r>
                      <w:r w:rsidRPr="00EF5826">
                        <w:rPr>
                          <w:rFonts w:ascii="Corbel" w:hAnsi="Corbel"/>
                          <w:b/>
                          <w:bCs/>
                          <w:color w:val="FFFFFF" w:themeColor="background1"/>
                          <w:sz w:val="52"/>
                          <w:szCs w:val="144"/>
                        </w:rPr>
                        <w:t xml:space="preserve"> </w:t>
                      </w:r>
                      <w:r>
                        <w:rPr>
                          <w:rFonts w:ascii="Corbel" w:hAnsi="Corbel"/>
                          <w:b/>
                          <w:bCs/>
                          <w:color w:val="FFFFFF" w:themeColor="background1"/>
                          <w:sz w:val="52"/>
                          <w:szCs w:val="144"/>
                        </w:rPr>
                        <w:t>Τύπου</w:t>
                      </w:r>
                    </w:p>
                    <w:p w14:paraId="06FB68EB" w14:textId="71B75888" w:rsidR="00BE52CD" w:rsidRPr="002C6C13" w:rsidRDefault="002C6C13" w:rsidP="00D23D6F">
                      <w:pPr>
                        <w:spacing w:after="0" w:line="240" w:lineRule="auto"/>
                        <w:rPr>
                          <w:rFonts w:ascii="Corbel" w:hAnsi="Corbel"/>
                          <w:color w:val="FFFFFF" w:themeColor="background1"/>
                          <w:sz w:val="40"/>
                          <w:szCs w:val="56"/>
                        </w:rPr>
                      </w:pPr>
                      <w:r w:rsidRPr="002C6C13">
                        <w:rPr>
                          <w:rFonts w:ascii="Corbel" w:hAnsi="Corbel"/>
                          <w:color w:val="FFFFFF" w:themeColor="background1"/>
                          <w:sz w:val="40"/>
                          <w:szCs w:val="56"/>
                        </w:rPr>
                        <w:t xml:space="preserve">Οικονομικά αποτελέσματα πρώτου εξαμήνου 2024, </w:t>
                      </w:r>
                      <w:r w:rsidR="00CA2047">
                        <w:rPr>
                          <w:rFonts w:ascii="Corbel" w:hAnsi="Corbel"/>
                          <w:color w:val="FFFFFF" w:themeColor="background1"/>
                          <w:sz w:val="40"/>
                          <w:szCs w:val="56"/>
                        </w:rPr>
                        <w:t xml:space="preserve">ενημέρωση σε θέματα στρατηγικής και επικαιροποίηση εκτίμησης για </w:t>
                      </w:r>
                      <w:r w:rsidR="00D94291" w:rsidRPr="00D94291">
                        <w:rPr>
                          <w:rFonts w:ascii="Corbel" w:hAnsi="Corbel"/>
                          <w:color w:val="FFFFFF" w:themeColor="background1"/>
                          <w:sz w:val="40"/>
                          <w:szCs w:val="56"/>
                        </w:rPr>
                        <w:t>οικονομικές επιδόσεις</w:t>
                      </w:r>
                    </w:p>
                  </w:txbxContent>
                </v:textbox>
                <w10:wrap anchorx="margin"/>
              </v:shape>
            </w:pict>
          </mc:Fallback>
        </mc:AlternateContent>
      </w:r>
      <w:r w:rsidRPr="008414D9">
        <w:rPr>
          <w:noProof/>
          <w:lang w:val="en-GB"/>
        </w:rPr>
        <mc:AlternateContent>
          <mc:Choice Requires="wps">
            <w:drawing>
              <wp:anchor distT="45720" distB="45720" distL="114300" distR="114300" simplePos="0" relativeHeight="251663360" behindDoc="0" locked="0" layoutInCell="1" allowOverlap="1" wp14:anchorId="675C2C5F" wp14:editId="1951FB2E">
                <wp:simplePos x="0" y="0"/>
                <wp:positionH relativeFrom="margin">
                  <wp:align>left</wp:align>
                </wp:positionH>
                <wp:positionV relativeFrom="paragraph">
                  <wp:posOffset>9521190</wp:posOffset>
                </wp:positionV>
                <wp:extent cx="2844800" cy="483870"/>
                <wp:effectExtent l="0" t="0" r="0" b="0"/>
                <wp:wrapSquare wrapText="bothSides"/>
                <wp:docPr id="6" name="Πλαίσιο κειμένου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483870"/>
                        </a:xfrm>
                        <a:prstGeom prst="rect">
                          <a:avLst/>
                        </a:prstGeom>
                        <a:noFill/>
                        <a:ln w="9525">
                          <a:noFill/>
                          <a:miter lim="800000"/>
                          <a:headEnd/>
                          <a:tailEnd/>
                        </a:ln>
                      </wps:spPr>
                      <wps:txbx>
                        <w:txbxContent>
                          <w:p w14:paraId="60566017" w14:textId="6A69C86C" w:rsidR="00D452F2" w:rsidRPr="00EF5826" w:rsidRDefault="00EF5826" w:rsidP="00D452F2">
                            <w:pPr>
                              <w:spacing w:after="0"/>
                              <w:rPr>
                                <w:rFonts w:ascii="Gotham" w:hAnsi="Gotham"/>
                                <w:b/>
                                <w:color w:val="FFFFFF" w:themeColor="background1"/>
                              </w:rPr>
                            </w:pPr>
                            <w:r>
                              <w:rPr>
                                <w:rFonts w:ascii="Gotham" w:hAnsi="Gotham"/>
                                <w:b/>
                                <w:color w:val="FFFFFF" w:themeColor="background1"/>
                              </w:rPr>
                              <w:t>ΡΥΘΜΙΖΟΜΕΝΗ ΠΛΗΡΟΦΟΡΙΑ</w:t>
                            </w:r>
                          </w:p>
                          <w:p w14:paraId="6CB12DB1" w14:textId="3C0BBECC" w:rsidR="00D452F2" w:rsidRPr="00EF5826" w:rsidRDefault="00EF5826" w:rsidP="00D452F2">
                            <w:pPr>
                              <w:spacing w:after="0"/>
                              <w:rPr>
                                <w:rFonts w:ascii="Gotham" w:hAnsi="Gotham"/>
                                <w:b/>
                                <w:color w:val="FFFFFF" w:themeColor="background1"/>
                              </w:rPr>
                            </w:pPr>
                            <w:r>
                              <w:rPr>
                                <w:rFonts w:ascii="Gotham" w:hAnsi="Gotham"/>
                                <w:b/>
                                <w:color w:val="FFFFFF" w:themeColor="background1"/>
                              </w:rPr>
                              <w:t>ΕΜΠΙΣΤΕΥΤΙΚΗ ΠΛΗΡΟΦΟΡΙΑ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5C2C5F" id="Πλαίσιο κειμένου 6" o:spid="_x0000_s1027" type="#_x0000_t202" style="position:absolute;margin-left:0;margin-top:749.7pt;width:224pt;height:38.1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" filled="f" stroked="f">
                <v:textbox style="mso-fit-shape-to-text:t">
                  <w:txbxContent>
                    <w:p w14:paraId="60566017" w14:textId="6A69C86C" w:rsidR="00D452F2" w:rsidRPr="00EF5826" w:rsidRDefault="00EF5826" w:rsidP="00D452F2">
                      <w:pPr>
                        <w:spacing w:after="0"/>
                        <w:rPr>
                          <w:rFonts w:ascii="Gotham" w:hAnsi="Gotham"/>
                          <w:b/>
                          <w:color w:val="FFFFFF" w:themeColor="background1"/>
                        </w:rPr>
                      </w:pPr>
                      <w:r>
                        <w:rPr>
                          <w:rFonts w:ascii="Gotham" w:hAnsi="Gotham"/>
                          <w:b/>
                          <w:color w:val="FFFFFF" w:themeColor="background1"/>
                        </w:rPr>
                        <w:t>ΡΥΘΜΙΖΟΜΕΝΗ ΠΛΗΡΟΦΟΡΙΑ</w:t>
                      </w:r>
                    </w:p>
                    <w:p w14:paraId="6CB12DB1" w14:textId="3C0BBECC" w:rsidR="00D452F2" w:rsidRPr="00EF5826" w:rsidRDefault="00EF5826" w:rsidP="00D452F2">
                      <w:pPr>
                        <w:spacing w:after="0"/>
                        <w:rPr>
                          <w:rFonts w:ascii="Gotham" w:hAnsi="Gotham"/>
                          <w:b/>
                          <w:color w:val="FFFFFF" w:themeColor="background1"/>
                        </w:rPr>
                      </w:pPr>
                      <w:r>
                        <w:rPr>
                          <w:rFonts w:ascii="Gotham" w:hAnsi="Gotham"/>
                          <w:b/>
                          <w:color w:val="FFFFFF" w:themeColor="background1"/>
                        </w:rPr>
                        <w:t>ΕΜΠΙΣΤΕΥΤΙΚΗ ΠΛΗΡΟΦΟΡΙΑ</w:t>
                      </w:r>
                    </w:p>
                  </w:txbxContent>
                </v:textbox>
                <w10:wrap type="square" anchorx="margin"/>
              </v:shape>
            </w:pict>
          </mc:Fallback>
        </mc:AlternateContent>
      </w:r>
      <w:r>
        <w:rPr>
          <w:rFonts w:eastAsia="SimSun" w:cs="Calibri"/>
          <w:b/>
          <w:bCs/>
          <w:noProof/>
          <w:color w:val="4F6228"/>
          <w:sz w:val="24"/>
          <w:szCs w:val="20"/>
          <w:lang w:val="en-GB"/>
        </w:rPr>
        <w:drawing>
          <wp:anchor distT="0" distB="0" distL="114300" distR="114300" simplePos="0" relativeHeight="251662335" behindDoc="0" locked="0" layoutInCell="1" allowOverlap="1" wp14:anchorId="5F775390" wp14:editId="1E732461">
            <wp:simplePos x="0" y="0"/>
            <wp:positionH relativeFrom="page">
              <wp:align>right</wp:align>
            </wp:positionH>
            <wp:positionV relativeFrom="paragraph">
              <wp:posOffset>0</wp:posOffset>
            </wp:positionV>
            <wp:extent cx="7553325" cy="10692765"/>
            <wp:effectExtent l="0" t="0" r="9525" b="0"/>
            <wp:wrapSquare wrapText="bothSides"/>
            <wp:docPr id="176201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9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52F2" w:rsidRPr="008414D9">
        <w:rPr>
          <w:rFonts w:eastAsia="SimSun" w:cs="Calibri"/>
          <w:b/>
          <w:bCs/>
          <w:color w:val="4F6228"/>
          <w:sz w:val="24"/>
          <w:szCs w:val="20"/>
          <w:lang w:val="en-GB"/>
        </w:rPr>
        <w:br w:type="page"/>
      </w:r>
    </w:p>
    <w:p w14:paraId="1C49C401" w14:textId="55EA2A23" w:rsidR="00D452F2" w:rsidRPr="008414D9" w:rsidRDefault="00D452F2" w:rsidP="006B321F">
      <w:pPr>
        <w:spacing w:after="120" w:line="240" w:lineRule="auto"/>
        <w:jc w:val="both"/>
        <w:rPr>
          <w:rFonts w:eastAsia="SimSun" w:cs="Calibri"/>
          <w:b/>
          <w:bCs/>
          <w:color w:val="4F6228"/>
          <w:sz w:val="24"/>
          <w:szCs w:val="20"/>
          <w:lang w:val="en-GB"/>
        </w:rPr>
        <w:sectPr w:rsidR="00D452F2" w:rsidRPr="008414D9" w:rsidSect="00DC72E6">
          <w:headerReference w:type="default" r:id="rId9"/>
          <w:footerReference w:type="default" r:id="rId10"/>
          <w:footerReference w:type="first" r:id="rId11"/>
          <w:pgSz w:w="11906" w:h="16838" w:code="9"/>
          <w:pgMar w:top="27" w:right="850" w:bottom="0" w:left="1080" w:header="0" w:footer="572" w:gutter="0"/>
          <w:cols w:space="708"/>
          <w:titlePg/>
          <w:docGrid w:linePitch="360"/>
        </w:sectPr>
      </w:pPr>
    </w:p>
    <w:p w14:paraId="573FB41A" w14:textId="0F0E8553" w:rsidR="00DC4E9B" w:rsidRDefault="00DC4E9B" w:rsidP="00850B9B">
      <w:pPr>
        <w:tabs>
          <w:tab w:val="left" w:pos="432"/>
        </w:tabs>
        <w:spacing w:after="120" w:line="240" w:lineRule="auto"/>
        <w:rPr>
          <w:rFonts w:eastAsia="SimSun" w:cs="Calibri"/>
          <w:b/>
          <w:bCs/>
          <w:color w:val="4F6228"/>
          <w:sz w:val="24"/>
          <w:szCs w:val="20"/>
        </w:rPr>
      </w:pPr>
      <w:r w:rsidRPr="00DC4E9B">
        <w:rPr>
          <w:rFonts w:eastAsia="SimSun" w:cs="Calibri"/>
          <w:b/>
          <w:bCs/>
          <w:color w:val="4F6228"/>
          <w:sz w:val="24"/>
          <w:szCs w:val="20"/>
        </w:rPr>
        <w:t>Οικονομικά αποτελέσματα πρώτου εξαμήνου 2024, ενημέρωση σε θέματα στρατηγικής και επικαιροποίηση εκτ</w:t>
      </w:r>
      <w:r w:rsidR="002A589F">
        <w:rPr>
          <w:rFonts w:eastAsia="SimSun" w:cs="Calibri"/>
          <w:b/>
          <w:bCs/>
          <w:color w:val="4F6228"/>
          <w:sz w:val="24"/>
          <w:szCs w:val="20"/>
        </w:rPr>
        <w:t>ιμήσεων</w:t>
      </w:r>
      <w:r w:rsidRPr="00DC4E9B">
        <w:rPr>
          <w:rFonts w:eastAsia="SimSun" w:cs="Calibri"/>
          <w:b/>
          <w:bCs/>
          <w:color w:val="4F6228"/>
          <w:sz w:val="24"/>
          <w:szCs w:val="20"/>
        </w:rPr>
        <w:t xml:space="preserve"> για</w:t>
      </w:r>
      <w:r w:rsidR="00D94291">
        <w:rPr>
          <w:rFonts w:eastAsia="SimSun" w:cs="Calibri"/>
          <w:b/>
          <w:bCs/>
          <w:color w:val="4F6228"/>
          <w:sz w:val="24"/>
          <w:szCs w:val="20"/>
        </w:rPr>
        <w:t xml:space="preserve"> </w:t>
      </w:r>
      <w:r w:rsidR="00D94291" w:rsidRPr="00D94291">
        <w:rPr>
          <w:rFonts w:eastAsia="SimSun" w:cs="Calibri"/>
          <w:b/>
          <w:bCs/>
          <w:color w:val="4F6228"/>
          <w:sz w:val="24"/>
          <w:szCs w:val="20"/>
        </w:rPr>
        <w:t>οικονομικές επιδόσεις</w:t>
      </w:r>
      <w:r w:rsidR="00D94291">
        <w:rPr>
          <w:rFonts w:eastAsia="SimSun" w:cs="Calibri"/>
          <w:b/>
          <w:bCs/>
          <w:color w:val="4F6228"/>
          <w:sz w:val="24"/>
          <w:szCs w:val="20"/>
        </w:rPr>
        <w:t xml:space="preserve"> </w:t>
      </w:r>
    </w:p>
    <w:p w14:paraId="5D02E898" w14:textId="5F583D97" w:rsidR="005D3E2F" w:rsidRPr="008428D2" w:rsidRDefault="00EF5826" w:rsidP="005D3E2F">
      <w:pPr>
        <w:spacing w:after="120" w:line="240" w:lineRule="auto"/>
        <w:jc w:val="both"/>
        <w:rPr>
          <w:rFonts w:eastAsia="MS Mincho" w:cs="Calibri"/>
          <w:b/>
          <w:sz w:val="20"/>
          <w:szCs w:val="20"/>
        </w:rPr>
      </w:pPr>
      <w:r>
        <w:rPr>
          <w:rFonts w:eastAsia="MS Mincho" w:cs="Calibri"/>
          <w:b/>
          <w:sz w:val="20"/>
          <w:szCs w:val="20"/>
        </w:rPr>
        <w:t>Βρυξέλλες</w:t>
      </w:r>
      <w:r w:rsidRPr="00DC6011">
        <w:rPr>
          <w:rFonts w:eastAsia="MS Mincho" w:cs="Calibri"/>
          <w:b/>
          <w:sz w:val="20"/>
          <w:szCs w:val="20"/>
        </w:rPr>
        <w:t>, 2</w:t>
      </w:r>
      <w:r>
        <w:rPr>
          <w:rFonts w:eastAsia="MS Mincho" w:cs="Calibri"/>
          <w:b/>
          <w:sz w:val="20"/>
          <w:szCs w:val="20"/>
        </w:rPr>
        <w:t>7</w:t>
      </w:r>
      <w:r w:rsidRPr="00DC6011">
        <w:rPr>
          <w:rFonts w:eastAsia="MS Mincho" w:cs="Calibri"/>
          <w:b/>
          <w:sz w:val="20"/>
          <w:szCs w:val="20"/>
        </w:rPr>
        <w:t xml:space="preserve"> </w:t>
      </w:r>
      <w:r>
        <w:rPr>
          <w:rFonts w:eastAsia="MS Mincho" w:cs="Calibri"/>
          <w:b/>
          <w:sz w:val="20"/>
          <w:szCs w:val="20"/>
        </w:rPr>
        <w:t>Αυγούστου 2024</w:t>
      </w:r>
    </w:p>
    <w:p w14:paraId="217CF4AE" w14:textId="10819083" w:rsidR="005D3E2F" w:rsidRPr="002A67FF" w:rsidRDefault="0067797B" w:rsidP="005D3E2F">
      <w:pPr>
        <w:spacing w:after="120" w:line="240" w:lineRule="auto"/>
        <w:jc w:val="both"/>
        <w:rPr>
          <w:rFonts w:eastAsia="MS Mincho" w:cs="Calibri"/>
          <w:bCs/>
          <w:i/>
          <w:iCs/>
          <w:sz w:val="20"/>
          <w:szCs w:val="20"/>
        </w:rPr>
      </w:pPr>
      <w:r w:rsidRPr="002A67FF">
        <w:rPr>
          <w:rFonts w:eastAsia="MS Mincho" w:cs="Calibri"/>
          <w:bCs/>
          <w:i/>
          <w:iCs/>
          <w:sz w:val="20"/>
          <w:szCs w:val="20"/>
        </w:rPr>
        <w:t xml:space="preserve">Η παρακάτω πληροφόρηση </w:t>
      </w:r>
      <w:r w:rsidR="005D3E2F" w:rsidRPr="002A67FF">
        <w:rPr>
          <w:rFonts w:eastAsia="MS Mincho" w:cs="Calibri"/>
          <w:bCs/>
          <w:i/>
          <w:iCs/>
          <w:sz w:val="20"/>
          <w:szCs w:val="20"/>
        </w:rPr>
        <w:t>αποτελ</w:t>
      </w:r>
      <w:r w:rsidRPr="002A67FF">
        <w:rPr>
          <w:rFonts w:eastAsia="MS Mincho" w:cs="Calibri"/>
          <w:bCs/>
          <w:i/>
          <w:iCs/>
          <w:sz w:val="20"/>
          <w:szCs w:val="20"/>
        </w:rPr>
        <w:t>εί</w:t>
      </w:r>
      <w:r w:rsidR="005D3E2F" w:rsidRPr="002A67FF">
        <w:rPr>
          <w:rFonts w:eastAsia="MS Mincho" w:cs="Calibri"/>
          <w:bCs/>
          <w:i/>
          <w:iCs/>
          <w:sz w:val="20"/>
          <w:szCs w:val="20"/>
        </w:rPr>
        <w:t xml:space="preserve"> εσωτερική πληροφόρηση, όπως ορίζεται στο Κανονισμό (ΕΕ) αριθ. 596/2014 του Ευρωπαϊκού Κοινοβουλίου και του Συμβουλίου της 16ης Απριλίου 2014 σχετικά με την κατάχρηση της αγοράς και </w:t>
      </w:r>
      <w:r w:rsidR="003D5EAA" w:rsidRPr="002A67FF">
        <w:rPr>
          <w:rFonts w:eastAsia="MS Mincho" w:cs="Calibri"/>
          <w:bCs/>
          <w:i/>
          <w:iCs/>
          <w:sz w:val="20"/>
          <w:szCs w:val="20"/>
        </w:rPr>
        <w:t>ρυθμιζόμεν</w:t>
      </w:r>
      <w:r w:rsidR="002A67FF" w:rsidRPr="002A67FF">
        <w:rPr>
          <w:rFonts w:eastAsia="MS Mincho" w:cs="Calibri"/>
          <w:bCs/>
          <w:i/>
          <w:iCs/>
          <w:sz w:val="20"/>
          <w:szCs w:val="20"/>
        </w:rPr>
        <w:t>η</w:t>
      </w:r>
      <w:r w:rsidR="003D5EAA" w:rsidRPr="002A67FF">
        <w:rPr>
          <w:rFonts w:eastAsia="MS Mincho" w:cs="Calibri"/>
          <w:bCs/>
          <w:i/>
          <w:iCs/>
          <w:sz w:val="20"/>
          <w:szCs w:val="20"/>
        </w:rPr>
        <w:t xml:space="preserve"> πληροφορί</w:t>
      </w:r>
      <w:r w:rsidR="002A67FF" w:rsidRPr="002A67FF">
        <w:rPr>
          <w:rFonts w:eastAsia="MS Mincho" w:cs="Calibri"/>
          <w:bCs/>
          <w:i/>
          <w:iCs/>
          <w:sz w:val="20"/>
          <w:szCs w:val="20"/>
        </w:rPr>
        <w:t>α</w:t>
      </w:r>
      <w:r w:rsidR="003D5EAA" w:rsidRPr="002A67FF">
        <w:rPr>
          <w:rFonts w:eastAsia="MS Mincho" w:cs="Calibri"/>
          <w:bCs/>
          <w:i/>
          <w:iCs/>
          <w:sz w:val="20"/>
          <w:szCs w:val="20"/>
        </w:rPr>
        <w:t xml:space="preserve"> </w:t>
      </w:r>
      <w:r w:rsidR="005D3E2F" w:rsidRPr="002A67FF">
        <w:rPr>
          <w:rFonts w:eastAsia="MS Mincho" w:cs="Calibri"/>
          <w:bCs/>
          <w:i/>
          <w:iCs/>
          <w:sz w:val="20"/>
          <w:szCs w:val="20"/>
        </w:rPr>
        <w:t>όπως ορίζ</w:t>
      </w:r>
      <w:r w:rsidR="002A67FF" w:rsidRPr="002A67FF">
        <w:rPr>
          <w:rFonts w:eastAsia="MS Mincho" w:cs="Calibri"/>
          <w:bCs/>
          <w:i/>
          <w:iCs/>
          <w:sz w:val="20"/>
          <w:szCs w:val="20"/>
        </w:rPr>
        <w:t>εται</w:t>
      </w:r>
      <w:r w:rsidR="005F60EC" w:rsidRPr="002A67FF">
        <w:rPr>
          <w:rFonts w:eastAsia="MS Mincho" w:cs="Calibri"/>
          <w:bCs/>
          <w:i/>
          <w:iCs/>
          <w:sz w:val="20"/>
          <w:szCs w:val="20"/>
        </w:rPr>
        <w:t xml:space="preserve"> </w:t>
      </w:r>
      <w:r w:rsidR="005D3E2F" w:rsidRPr="002A67FF">
        <w:rPr>
          <w:rFonts w:eastAsia="MS Mincho" w:cs="Calibri"/>
          <w:bCs/>
          <w:i/>
          <w:iCs/>
          <w:sz w:val="20"/>
          <w:szCs w:val="20"/>
        </w:rPr>
        <w:t xml:space="preserve">στο Βελγικό Βασιλικό Διάταγμα της 14ης Νοεμβρίου 2007 σχετικά </w:t>
      </w:r>
      <w:r w:rsidR="002A67FF" w:rsidRPr="002A67FF">
        <w:rPr>
          <w:rFonts w:eastAsia="Times New Roman" w:cs="Calibri"/>
          <w:bCs/>
          <w:i/>
          <w:iCs/>
          <w:sz w:val="20"/>
          <w:lang w:eastAsia="en-GB"/>
        </w:rPr>
        <w:t>με τις υποχρεώσεις των εκδοτών χρηματοοικονομικών τίτλων οι οποίοι διαπραγματεύονται σε ρυθμιζόμενη αγορά</w:t>
      </w:r>
      <w:r w:rsidR="005D3E2F" w:rsidRPr="002A67FF">
        <w:rPr>
          <w:rFonts w:eastAsia="MS Mincho" w:cs="Calibri"/>
          <w:bCs/>
          <w:i/>
          <w:iCs/>
          <w:sz w:val="20"/>
          <w:szCs w:val="20"/>
        </w:rPr>
        <w:t>.</w:t>
      </w:r>
    </w:p>
    <w:p w14:paraId="2F5EE236" w14:textId="40A473BC" w:rsidR="003D5EAA" w:rsidRPr="005E28A7" w:rsidRDefault="00EF5826" w:rsidP="003D5EAA">
      <w:pPr>
        <w:spacing w:after="120" w:line="240" w:lineRule="auto"/>
        <w:jc w:val="both"/>
      </w:pPr>
      <w:r w:rsidRPr="005D3E2F">
        <w:t>Η</w:t>
      </w:r>
      <w:r w:rsidRPr="005D3E2F">
        <w:rPr>
          <w:lang w:val="en-US"/>
        </w:rPr>
        <w:t xml:space="preserve"> </w:t>
      </w:r>
      <w:r w:rsidRPr="00460F07">
        <w:rPr>
          <w:lang w:val="en-GB"/>
        </w:rPr>
        <w:t>Cenergy</w:t>
      </w:r>
      <w:r w:rsidRPr="005D3E2F">
        <w:rPr>
          <w:lang w:val="en-US"/>
        </w:rPr>
        <w:t xml:space="preserve"> </w:t>
      </w:r>
      <w:r w:rsidRPr="00460F07">
        <w:rPr>
          <w:lang w:val="en-GB"/>
        </w:rPr>
        <w:t>Holdings</w:t>
      </w:r>
      <w:r w:rsidRPr="005D3E2F">
        <w:rPr>
          <w:lang w:val="en-US"/>
        </w:rPr>
        <w:t xml:space="preserve"> </w:t>
      </w:r>
      <w:r w:rsidRPr="00460F07">
        <w:rPr>
          <w:lang w:val="en-GB"/>
        </w:rPr>
        <w:t>S</w:t>
      </w:r>
      <w:r w:rsidRPr="005D3E2F">
        <w:rPr>
          <w:lang w:val="en-US"/>
        </w:rPr>
        <w:t>.</w:t>
      </w:r>
      <w:r w:rsidRPr="00460F07">
        <w:rPr>
          <w:lang w:val="en-GB"/>
        </w:rPr>
        <w:t>A</w:t>
      </w:r>
      <w:r w:rsidRPr="005D3E2F">
        <w:rPr>
          <w:lang w:val="en-US"/>
        </w:rPr>
        <w:t xml:space="preserve">.  </w:t>
      </w:r>
      <w:r w:rsidRPr="00460F07">
        <w:t xml:space="preserve">(Χρηματιστήριο </w:t>
      </w:r>
      <w:r w:rsidRPr="00460F07">
        <w:rPr>
          <w:lang w:val="en-GB"/>
        </w:rPr>
        <w:t>Euronext</w:t>
      </w:r>
      <w:r w:rsidRPr="00460F07">
        <w:t xml:space="preserve"> Βρυξελλών, Χρηματιστήριο Αθηνών: </w:t>
      </w:r>
      <w:r w:rsidRPr="00460F07">
        <w:rPr>
          <w:lang w:val="en-GB"/>
        </w:rPr>
        <w:t>CENER</w:t>
      </w:r>
      <w:r w:rsidRPr="00460F07">
        <w:t>), στο εξής «</w:t>
      </w:r>
      <w:r w:rsidRPr="00460F07">
        <w:rPr>
          <w:lang w:val="en-GB"/>
        </w:rPr>
        <w:t>Cenergy</w:t>
      </w:r>
      <w:r w:rsidRPr="00460F07">
        <w:t xml:space="preserve"> </w:t>
      </w:r>
      <w:r w:rsidRPr="00460F07">
        <w:rPr>
          <w:lang w:val="en-GB"/>
        </w:rPr>
        <w:t>Holdings</w:t>
      </w:r>
      <w:r w:rsidRPr="00460F07">
        <w:t xml:space="preserve">» ή «ο Όμιλος», ανακοινώνει σήμερα τα οικονομικά της αποτελέσματα για το α’ εξάμηνο του </w:t>
      </w:r>
      <w:r w:rsidRPr="005E28A7">
        <w:t>2024 μαζί με την έκδοση της Ενδιάμεσης Έκθεσης για την ίδια περίοδο.</w:t>
      </w:r>
    </w:p>
    <w:p w14:paraId="661906A9" w14:textId="48BB2FBF" w:rsidR="003D5EAA" w:rsidRPr="005E28A7" w:rsidRDefault="003D5EAA" w:rsidP="003D5EAA">
      <w:pPr>
        <w:spacing w:after="120" w:line="240" w:lineRule="auto"/>
        <w:jc w:val="both"/>
      </w:pPr>
      <w:r w:rsidRPr="005E28A7">
        <w:t>Η Cenergy Holdings</w:t>
      </w:r>
      <w:r w:rsidR="0078107F">
        <w:t>, επιπρόσθετα,</w:t>
      </w:r>
      <w:r w:rsidRPr="005E28A7">
        <w:t xml:space="preserve"> ανακοινώνει την πρόθεσή της να αντλήσει κεφάλαια μέσω αύξησης μετοχικού κεφαλαίου έως 200 εκατ</w:t>
      </w:r>
      <w:r w:rsidR="005C13A4" w:rsidRPr="005E28A7">
        <w:t>.</w:t>
      </w:r>
      <w:r w:rsidRPr="005E28A7">
        <w:t xml:space="preserve"> ευρώ (η «</w:t>
      </w:r>
      <w:r w:rsidR="00FB1712" w:rsidRPr="005E28A7">
        <w:t>Ενδεχόμενη</w:t>
      </w:r>
      <w:r w:rsidRPr="005E28A7">
        <w:t xml:space="preserve"> Αύξηση Μετοχικού Κεφαλαίου</w:t>
      </w:r>
      <w:r w:rsidR="00CC1392" w:rsidRPr="00CC1392">
        <w:t xml:space="preserve"> </w:t>
      </w:r>
      <w:r w:rsidR="00CC1392">
        <w:t>με</w:t>
      </w:r>
      <w:r w:rsidR="002778C9" w:rsidRPr="005E28A7">
        <w:t xml:space="preserve"> σκοπό </w:t>
      </w:r>
      <w:r w:rsidR="00CC1392">
        <w:t>την</w:t>
      </w:r>
      <w:r w:rsidRPr="005E28A7">
        <w:t xml:space="preserve"> επιτάχυνση </w:t>
      </w:r>
      <w:r w:rsidR="00D94291">
        <w:t>του</w:t>
      </w:r>
      <w:r w:rsidRPr="005E28A7">
        <w:t xml:space="preserve"> στρατηγικ</w:t>
      </w:r>
      <w:r w:rsidR="00D94291">
        <w:t xml:space="preserve">ού </w:t>
      </w:r>
      <w:r w:rsidRPr="005E28A7">
        <w:t>σχ</w:t>
      </w:r>
      <w:r w:rsidR="00D94291">
        <w:t>εδ</w:t>
      </w:r>
      <w:r w:rsidR="00946A0A">
        <w:t xml:space="preserve">ίου </w:t>
      </w:r>
      <w:r w:rsidR="00D94291">
        <w:t>τ</w:t>
      </w:r>
      <w:r w:rsidR="00CC1392">
        <w:t>ης</w:t>
      </w:r>
      <w:r w:rsidRPr="005E28A7">
        <w:t>.</w:t>
      </w:r>
    </w:p>
    <w:p w14:paraId="338504BB" w14:textId="5DAF185F" w:rsidR="00D92062" w:rsidRPr="008245EA" w:rsidRDefault="000B1CBF" w:rsidP="0078107F">
      <w:pPr>
        <w:spacing w:after="120" w:line="240" w:lineRule="auto"/>
        <w:jc w:val="both"/>
      </w:pPr>
      <w:r w:rsidRPr="005E28A7">
        <w:t>Η</w:t>
      </w:r>
      <w:r w:rsidR="003D5EAA" w:rsidRPr="005E28A7">
        <w:t xml:space="preserve"> Cenergy Holdings</w:t>
      </w:r>
      <w:r w:rsidRPr="005E28A7">
        <w:t>, λαμβάνοντας υπόψιν την ισχυρή εμπορική δραστηριότητα του Ομίλου,</w:t>
      </w:r>
      <w:r w:rsidR="003D5EAA" w:rsidRPr="005E28A7">
        <w:t xml:space="preserve"> </w:t>
      </w:r>
      <w:r w:rsidRPr="005E28A7">
        <w:t>επικαιροπο</w:t>
      </w:r>
      <w:r w:rsidR="0078107F">
        <w:t>ιεί</w:t>
      </w:r>
      <w:r w:rsidRPr="005E28A7">
        <w:t xml:space="preserve"> τη</w:t>
      </w:r>
      <w:r w:rsidR="0078107F">
        <w:t>ν</w:t>
      </w:r>
      <w:r w:rsidRPr="005E28A7">
        <w:t xml:space="preserve"> εκτίμηση</w:t>
      </w:r>
      <w:r w:rsidR="0078107F">
        <w:t xml:space="preserve"> </w:t>
      </w:r>
      <w:r w:rsidRPr="005E28A7">
        <w:t xml:space="preserve">αναφορικά με τις ετήσιες οικονομικές επιδόσεις </w:t>
      </w:r>
      <w:r w:rsidR="002A589F">
        <w:t xml:space="preserve">της και </w:t>
      </w:r>
      <w:r w:rsidRPr="005E28A7">
        <w:t xml:space="preserve">παρέχει πληροφορίες </w:t>
      </w:r>
      <w:r w:rsidR="0078107F">
        <w:t>σχετικά</w:t>
      </w:r>
      <w:r w:rsidRPr="005E28A7">
        <w:t xml:space="preserve"> με τις </w:t>
      </w:r>
      <w:r w:rsidR="003F6373">
        <w:t>επιδιώξεις</w:t>
      </w:r>
      <w:r w:rsidRPr="005E28A7">
        <w:t xml:space="preserve"> του Ομίλου για τις </w:t>
      </w:r>
      <w:r w:rsidR="005E28A7" w:rsidRPr="005E28A7">
        <w:t>μεσοπρόθεσμες</w:t>
      </w:r>
      <w:r w:rsidRPr="005E28A7">
        <w:t xml:space="preserve"> </w:t>
      </w:r>
      <w:r w:rsidR="004846F7">
        <w:t xml:space="preserve">οικονομικές </w:t>
      </w:r>
      <w:r w:rsidRPr="005E28A7">
        <w:t xml:space="preserve">επιδόσεις του βάσει του στρατηγικού σχεδιασμού </w:t>
      </w:r>
      <w:r w:rsidR="00D94291">
        <w:t>του</w:t>
      </w:r>
      <w:r w:rsidRPr="005E28A7">
        <w:t>.</w:t>
      </w:r>
    </w:p>
    <w:p w14:paraId="7EE86C7A" w14:textId="1E529E49" w:rsidR="00640AA9" w:rsidRPr="00DF75AE" w:rsidRDefault="008245EA" w:rsidP="00E44573">
      <w:pPr>
        <w:keepNext/>
        <w:keepLines/>
        <w:spacing w:after="120" w:line="240" w:lineRule="auto"/>
        <w:jc w:val="both"/>
        <w:outlineLvl w:val="1"/>
        <w:rPr>
          <w:rFonts w:eastAsia="SimSun" w:cs="Calibri"/>
          <w:b/>
          <w:bCs/>
          <w:color w:val="4F6228"/>
          <w:sz w:val="24"/>
          <w:szCs w:val="24"/>
          <w:lang w:val="en-US"/>
        </w:rPr>
      </w:pPr>
      <w:bookmarkStart w:id="0" w:name="_Hlk3375847"/>
      <w:r>
        <w:rPr>
          <w:rFonts w:eastAsia="SimSun" w:cs="Calibri"/>
          <w:b/>
          <w:bCs/>
          <w:color w:val="4F6228"/>
          <w:sz w:val="24"/>
          <w:szCs w:val="24"/>
        </w:rPr>
        <w:t>Συνοπτικά</w:t>
      </w:r>
    </w:p>
    <w:p w14:paraId="0CF34608" w14:textId="0D4EE941" w:rsidR="003D5EAA" w:rsidRPr="002C6C13" w:rsidRDefault="003D5EAA" w:rsidP="00850B9B">
      <w:pPr>
        <w:numPr>
          <w:ilvl w:val="0"/>
          <w:numId w:val="1"/>
        </w:numPr>
        <w:spacing w:after="120" w:line="240" w:lineRule="auto"/>
        <w:ind w:left="567" w:hanging="425"/>
        <w:contextualSpacing/>
        <w:jc w:val="both"/>
        <w:rPr>
          <w:rFonts w:eastAsia="SimSun" w:cs="Calibri"/>
          <w:b/>
          <w:bCs/>
        </w:rPr>
      </w:pPr>
      <w:bookmarkStart w:id="1" w:name="_Hlk174363391"/>
      <w:bookmarkStart w:id="2" w:name="_Hlk160010974"/>
      <w:r w:rsidRPr="002C6C13">
        <w:rPr>
          <w:rFonts w:eastAsia="SimSun" w:cs="Calibri"/>
          <w:b/>
          <w:bCs/>
        </w:rPr>
        <w:t xml:space="preserve">Ισχυρές επιδόσεις για το </w:t>
      </w:r>
      <w:r w:rsidR="00096508">
        <w:rPr>
          <w:rFonts w:eastAsia="SimSun" w:cs="Calibri"/>
          <w:b/>
          <w:bCs/>
        </w:rPr>
        <w:t>α</w:t>
      </w:r>
      <w:r w:rsidRPr="002C6C13">
        <w:rPr>
          <w:rFonts w:eastAsia="SimSun" w:cs="Calibri"/>
          <w:b/>
          <w:bCs/>
        </w:rPr>
        <w:t>' εξάμηνο του 2024:</w:t>
      </w:r>
    </w:p>
    <w:p w14:paraId="45D25DE4" w14:textId="610B3EB5" w:rsidR="00AA5DAC" w:rsidRPr="002C6C13" w:rsidRDefault="008245EA" w:rsidP="00850B9B">
      <w:pPr>
        <w:numPr>
          <w:ilvl w:val="0"/>
          <w:numId w:val="25"/>
        </w:numPr>
        <w:spacing w:after="120" w:line="240" w:lineRule="auto"/>
        <w:contextualSpacing/>
        <w:jc w:val="both"/>
        <w:rPr>
          <w:rFonts w:eastAsia="SimSun" w:cs="Calibri"/>
        </w:rPr>
      </w:pPr>
      <w:r w:rsidRPr="002C6C13">
        <w:rPr>
          <w:rFonts w:cs="Calibri"/>
          <w:b/>
        </w:rPr>
        <w:t xml:space="preserve">Οι πωλήσεις </w:t>
      </w:r>
      <w:r w:rsidRPr="002A589F">
        <w:rPr>
          <w:rFonts w:cs="Calibri"/>
          <w:bCs/>
        </w:rPr>
        <w:t>ανήλθαν σε</w:t>
      </w:r>
      <w:r w:rsidRPr="002C6C13">
        <w:rPr>
          <w:rFonts w:cs="Calibri"/>
          <w:b/>
        </w:rPr>
        <w:t xml:space="preserve"> 812 εκατ. ευρώ </w:t>
      </w:r>
      <w:r w:rsidRPr="002C6C13">
        <w:rPr>
          <w:rFonts w:cs="Calibri"/>
          <w:bCs/>
        </w:rPr>
        <w:t>με</w:t>
      </w:r>
      <w:r w:rsidRPr="002C6C13">
        <w:rPr>
          <w:rFonts w:cs="Calibri"/>
          <w:b/>
        </w:rPr>
        <w:t xml:space="preserve"> βελτιωμένα περιθώρια κέρδους</w:t>
      </w:r>
      <w:r w:rsidR="003D5EAA" w:rsidRPr="002C6C13">
        <w:rPr>
          <w:rFonts w:cs="Calibri"/>
          <w:b/>
        </w:rPr>
        <w:t xml:space="preserve"> </w:t>
      </w:r>
      <w:r w:rsidR="00096508">
        <w:rPr>
          <w:rFonts w:cs="Calibri"/>
          <w:bCs/>
        </w:rPr>
        <w:t>και στους δύο κλάδους</w:t>
      </w:r>
      <w:r w:rsidRPr="002C6C13">
        <w:rPr>
          <w:rFonts w:cs="Calibri"/>
          <w:bCs/>
        </w:rPr>
        <w:t>.</w:t>
      </w:r>
      <w:r w:rsidRPr="002C6C13">
        <w:rPr>
          <w:rFonts w:cs="Calibri"/>
          <w:b/>
        </w:rPr>
        <w:t xml:space="preserve"> </w:t>
      </w:r>
    </w:p>
    <w:p w14:paraId="3590DE04" w14:textId="703FF989" w:rsidR="00620015" w:rsidRPr="008145F6" w:rsidRDefault="003C51EA" w:rsidP="00850B9B">
      <w:pPr>
        <w:numPr>
          <w:ilvl w:val="0"/>
          <w:numId w:val="25"/>
        </w:numPr>
        <w:spacing w:after="120" w:line="240" w:lineRule="auto"/>
        <w:contextualSpacing/>
        <w:jc w:val="both"/>
        <w:rPr>
          <w:rFonts w:eastAsia="SimSun" w:cs="Calibri"/>
        </w:rPr>
      </w:pPr>
      <w:r w:rsidRPr="002C6C13">
        <w:rPr>
          <w:rFonts w:eastAsia="SimSun" w:cs="Calibri"/>
          <w:b/>
        </w:rPr>
        <w:t xml:space="preserve">Το αναπροσαρμοσμένο </w:t>
      </w:r>
      <w:r w:rsidRPr="002C6C13">
        <w:rPr>
          <w:rFonts w:eastAsia="SimSun" w:cs="Calibri"/>
          <w:b/>
          <w:lang w:val="en-GB"/>
        </w:rPr>
        <w:t>EBITDA</w:t>
      </w:r>
      <w:r w:rsidR="003156DC" w:rsidRPr="002C6C13">
        <w:rPr>
          <w:rStyle w:val="afb"/>
          <w:rFonts w:cs="Calibri"/>
        </w:rPr>
        <w:footnoteReference w:id="2"/>
      </w:r>
      <w:r w:rsidRPr="002C6C13">
        <w:rPr>
          <w:rFonts w:eastAsia="SimSun" w:cs="Calibri"/>
          <w:bCs/>
        </w:rPr>
        <w:t xml:space="preserve"> ανήλθε σε </w:t>
      </w:r>
      <w:r w:rsidRPr="002C6C13">
        <w:rPr>
          <w:rFonts w:eastAsia="SimSun" w:cs="Calibri"/>
          <w:b/>
        </w:rPr>
        <w:t>119</w:t>
      </w:r>
      <w:r w:rsidR="00F12FFA" w:rsidRPr="002C6C13">
        <w:rPr>
          <w:rFonts w:eastAsia="SimSun" w:cs="Calibri"/>
          <w:b/>
        </w:rPr>
        <w:t>,</w:t>
      </w:r>
      <w:r w:rsidR="0032678C" w:rsidRPr="002C6C13">
        <w:rPr>
          <w:rFonts w:eastAsia="SimSun" w:cs="Calibri"/>
          <w:b/>
        </w:rPr>
        <w:t>5</w:t>
      </w:r>
      <w:r w:rsidRPr="002C6C13">
        <w:rPr>
          <w:rFonts w:eastAsia="SimSun" w:cs="Calibri"/>
          <w:b/>
        </w:rPr>
        <w:t xml:space="preserve"> εκατ. </w:t>
      </w:r>
      <w:r w:rsidR="00DF75AE" w:rsidRPr="002C6C13">
        <w:rPr>
          <w:rFonts w:eastAsia="SimSun" w:cs="Calibri"/>
          <w:b/>
        </w:rPr>
        <w:t>ε</w:t>
      </w:r>
      <w:r w:rsidRPr="002C6C13">
        <w:rPr>
          <w:rFonts w:eastAsia="SimSun" w:cs="Calibri"/>
          <w:b/>
        </w:rPr>
        <w:t>υρώ</w:t>
      </w:r>
      <w:r w:rsidR="00910BB3" w:rsidRPr="002C6C13">
        <w:rPr>
          <w:rFonts w:eastAsia="SimSun" w:cs="Calibri"/>
          <w:b/>
        </w:rPr>
        <w:t xml:space="preserve"> </w:t>
      </w:r>
      <w:r w:rsidRPr="002C6C13">
        <w:rPr>
          <w:rFonts w:eastAsia="SimSun" w:cs="Calibri"/>
          <w:bCs/>
        </w:rPr>
        <w:t>(+39% σε ετήσια βάση, περιθώριο κέρδους 14,</w:t>
      </w:r>
      <w:r w:rsidR="0032678C" w:rsidRPr="002C6C13">
        <w:rPr>
          <w:rFonts w:eastAsia="SimSun" w:cs="Calibri"/>
          <w:bCs/>
        </w:rPr>
        <w:t>7</w:t>
      </w:r>
      <w:r w:rsidR="008145F6">
        <w:rPr>
          <w:rFonts w:eastAsia="SimSun" w:cs="Calibri"/>
          <w:bCs/>
        </w:rPr>
        <w:t>%)</w:t>
      </w:r>
      <w:r w:rsidR="009D38DB" w:rsidRPr="008145F6">
        <w:rPr>
          <w:rFonts w:eastAsia="SimSun" w:cs="Calibri"/>
          <w:bCs/>
        </w:rPr>
        <w:t>, α</w:t>
      </w:r>
      <w:r w:rsidR="00096508">
        <w:rPr>
          <w:rFonts w:eastAsia="SimSun" w:cs="Calibri"/>
          <w:bCs/>
        </w:rPr>
        <w:t>ποτυπώνοντας</w:t>
      </w:r>
      <w:r w:rsidR="009D38DB" w:rsidRPr="008145F6">
        <w:rPr>
          <w:rFonts w:eastAsia="SimSun" w:cs="Calibri"/>
          <w:bCs/>
        </w:rPr>
        <w:t xml:space="preserve"> την ισχυρή δυναμική τόσο στον τομέα των καλωδίων, με το αναπροσαρμοσμένο περιθώριο EBITDA να αυξάνεται περαιτέρω στο 14,2% (</w:t>
      </w:r>
      <w:r w:rsidR="00096508">
        <w:rPr>
          <w:rFonts w:eastAsia="SimSun" w:cs="Calibri"/>
          <w:bCs/>
        </w:rPr>
        <w:t>α</w:t>
      </w:r>
      <w:r w:rsidR="009D38DB" w:rsidRPr="008145F6">
        <w:rPr>
          <w:rFonts w:eastAsia="SimSun" w:cs="Calibri"/>
          <w:bCs/>
        </w:rPr>
        <w:t xml:space="preserve">' εξάμηνο 2023: 12,1%), όσο και στον τομέα των </w:t>
      </w:r>
      <w:r w:rsidR="00096508">
        <w:rPr>
          <w:rFonts w:eastAsia="SimSun" w:cs="Calibri"/>
          <w:bCs/>
        </w:rPr>
        <w:t>σωλήνων χάλυβα</w:t>
      </w:r>
      <w:r w:rsidR="009D38DB" w:rsidRPr="008145F6">
        <w:rPr>
          <w:rFonts w:eastAsia="SimSun" w:cs="Calibri"/>
          <w:bCs/>
        </w:rPr>
        <w:t xml:space="preserve">, με το αναπροσαρμοσμένο περιθώριο EBITDA να </w:t>
      </w:r>
      <w:r w:rsidR="0078107F">
        <w:rPr>
          <w:rFonts w:eastAsia="SimSun" w:cs="Calibri"/>
          <w:bCs/>
        </w:rPr>
        <w:t>ανέρχεται σε</w:t>
      </w:r>
      <w:r w:rsidR="009D38DB" w:rsidRPr="008145F6">
        <w:rPr>
          <w:rFonts w:eastAsia="SimSun" w:cs="Calibri"/>
          <w:bCs/>
        </w:rPr>
        <w:t xml:space="preserve"> 16,1%, σχεδόν διπλάσιο από </w:t>
      </w:r>
      <w:r w:rsidR="00AE3E55">
        <w:rPr>
          <w:rFonts w:eastAsia="SimSun" w:cs="Calibri"/>
          <w:bCs/>
        </w:rPr>
        <w:t xml:space="preserve">το </w:t>
      </w:r>
      <w:r w:rsidR="0078107F">
        <w:rPr>
          <w:rFonts w:eastAsia="SimSun" w:cs="Calibri"/>
          <w:bCs/>
        </w:rPr>
        <w:t>αντίστοιχο</w:t>
      </w:r>
      <w:r w:rsidR="009D38DB" w:rsidRPr="008145F6">
        <w:rPr>
          <w:rFonts w:eastAsia="SimSun" w:cs="Calibri"/>
          <w:bCs/>
        </w:rPr>
        <w:t xml:space="preserve"> του </w:t>
      </w:r>
      <w:r w:rsidR="00096508">
        <w:rPr>
          <w:rFonts w:eastAsia="SimSun" w:cs="Calibri"/>
          <w:bCs/>
        </w:rPr>
        <w:t>α</w:t>
      </w:r>
      <w:r w:rsidR="009D38DB" w:rsidRPr="008145F6">
        <w:rPr>
          <w:rFonts w:eastAsia="SimSun" w:cs="Calibri"/>
          <w:bCs/>
        </w:rPr>
        <w:t>' εξαμήνου 2023.</w:t>
      </w:r>
    </w:p>
    <w:p w14:paraId="382DCCE2" w14:textId="77777777" w:rsidR="009D38DB" w:rsidRPr="002C6C13" w:rsidRDefault="009D38DB" w:rsidP="00850B9B">
      <w:pPr>
        <w:numPr>
          <w:ilvl w:val="0"/>
          <w:numId w:val="26"/>
        </w:numPr>
        <w:spacing w:after="120" w:line="240" w:lineRule="auto"/>
        <w:contextualSpacing/>
        <w:jc w:val="both"/>
        <w:rPr>
          <w:rFonts w:eastAsia="SimSun" w:cs="Calibri"/>
        </w:rPr>
      </w:pPr>
      <w:r w:rsidRPr="002C6C13">
        <w:rPr>
          <w:rFonts w:cs="Calibri"/>
          <w:b/>
          <w:bCs/>
        </w:rPr>
        <w:t>Το ανεκτέλεστο υπόλοιπο παραγγελιών</w:t>
      </w:r>
      <w:r w:rsidRPr="002C6C13">
        <w:rPr>
          <w:rStyle w:val="afb"/>
          <w:rFonts w:cs="Calibri"/>
        </w:rPr>
        <w:footnoteReference w:id="3"/>
      </w:r>
      <w:r w:rsidRPr="002C6C13">
        <w:rPr>
          <w:rFonts w:cs="Calibri"/>
        </w:rPr>
        <w:t xml:space="preserve"> </w:t>
      </w:r>
      <w:r w:rsidRPr="002C6C13">
        <w:rPr>
          <w:rFonts w:cs="Calibri"/>
          <w:b/>
          <w:bCs/>
        </w:rPr>
        <w:t xml:space="preserve">αυξήθηκε σε 3,38 δισ. ευρώ </w:t>
      </w:r>
      <w:r w:rsidRPr="002C6C13">
        <w:rPr>
          <w:rFonts w:cs="Calibri"/>
        </w:rPr>
        <w:t>στις 30 Ιουνίου 2024 λόγω της σημαντικής ανάθεσης παραγγελιών κατά το πρώτο εξάμηνο του έτους.</w:t>
      </w:r>
    </w:p>
    <w:p w14:paraId="3F11AD22" w14:textId="3432CDFF" w:rsidR="009D38DB" w:rsidRPr="002C6C13" w:rsidRDefault="00CC1392" w:rsidP="00850B9B">
      <w:pPr>
        <w:numPr>
          <w:ilvl w:val="0"/>
          <w:numId w:val="1"/>
        </w:numPr>
        <w:spacing w:after="120" w:line="240" w:lineRule="auto"/>
        <w:ind w:left="567" w:hanging="425"/>
        <w:contextualSpacing/>
        <w:jc w:val="both"/>
        <w:rPr>
          <w:rFonts w:eastAsia="SimSun" w:cs="Calibri"/>
          <w:b/>
          <w:bCs/>
        </w:rPr>
      </w:pPr>
      <w:r>
        <w:rPr>
          <w:rFonts w:eastAsia="SimSun" w:cs="Calibri"/>
          <w:b/>
          <w:bCs/>
        </w:rPr>
        <w:t>Πιθανή</w:t>
      </w:r>
      <w:r w:rsidR="009D38DB" w:rsidRPr="002C6C13">
        <w:rPr>
          <w:rFonts w:eastAsia="SimSun" w:cs="Calibri"/>
          <w:b/>
          <w:bCs/>
        </w:rPr>
        <w:t xml:space="preserve"> άντληση κεφαλαί</w:t>
      </w:r>
      <w:r w:rsidR="002A589F">
        <w:rPr>
          <w:rFonts w:eastAsia="SimSun" w:cs="Calibri"/>
          <w:b/>
          <w:bCs/>
        </w:rPr>
        <w:t>ων</w:t>
      </w:r>
      <w:r w:rsidR="009D38DB" w:rsidRPr="002C6C13">
        <w:rPr>
          <w:rFonts w:eastAsia="SimSun" w:cs="Calibri"/>
          <w:b/>
          <w:bCs/>
        </w:rPr>
        <w:t xml:space="preserve"> έως 200 εκατ</w:t>
      </w:r>
      <w:r w:rsidR="009746F1">
        <w:rPr>
          <w:rFonts w:eastAsia="SimSun" w:cs="Calibri"/>
          <w:b/>
          <w:bCs/>
        </w:rPr>
        <w:t xml:space="preserve">. </w:t>
      </w:r>
      <w:r w:rsidR="009D38DB" w:rsidRPr="002C6C13">
        <w:rPr>
          <w:rFonts w:eastAsia="SimSun" w:cs="Calibri"/>
          <w:b/>
          <w:bCs/>
        </w:rPr>
        <w:t>ευρώ για την επιτάχυνση του στρατηγικού σχεδ</w:t>
      </w:r>
      <w:r w:rsidR="00946A0A">
        <w:rPr>
          <w:rFonts w:eastAsia="SimSun" w:cs="Calibri"/>
          <w:b/>
          <w:bCs/>
        </w:rPr>
        <w:t>ίου</w:t>
      </w:r>
      <w:r w:rsidR="009D38DB" w:rsidRPr="002C6C13">
        <w:rPr>
          <w:rFonts w:eastAsia="SimSun" w:cs="Calibri"/>
          <w:b/>
          <w:bCs/>
        </w:rPr>
        <w:t>:</w:t>
      </w:r>
    </w:p>
    <w:p w14:paraId="6BC82F17" w14:textId="176CB440" w:rsidR="009D38DB" w:rsidRPr="002C6C13" w:rsidRDefault="009D38DB" w:rsidP="00850B9B">
      <w:pPr>
        <w:numPr>
          <w:ilvl w:val="0"/>
          <w:numId w:val="27"/>
        </w:numPr>
        <w:spacing w:after="120" w:line="240" w:lineRule="auto"/>
        <w:contextualSpacing/>
        <w:jc w:val="both"/>
        <w:rPr>
          <w:rFonts w:eastAsia="SimSun" w:cs="Calibri"/>
        </w:rPr>
      </w:pPr>
      <w:r w:rsidRPr="002C6C13">
        <w:rPr>
          <w:rFonts w:eastAsia="SimSun" w:cs="Calibri"/>
          <w:b/>
          <w:bCs/>
        </w:rPr>
        <w:t xml:space="preserve">Η </w:t>
      </w:r>
      <w:r w:rsidR="00FB1712" w:rsidRPr="00FB1712">
        <w:rPr>
          <w:rFonts w:eastAsia="SimSun" w:cs="Calibri"/>
          <w:b/>
          <w:bCs/>
        </w:rPr>
        <w:t xml:space="preserve">Ενδεχόμενη </w:t>
      </w:r>
      <w:r w:rsidRPr="002C6C13">
        <w:rPr>
          <w:rFonts w:eastAsia="SimSun" w:cs="Calibri"/>
          <w:b/>
          <w:bCs/>
        </w:rPr>
        <w:t>Αύξηση Μετοχικού Κεφαλαίου</w:t>
      </w:r>
      <w:r w:rsidRPr="002C6C13">
        <w:rPr>
          <w:rFonts w:eastAsia="SimSun" w:cs="Calibri"/>
        </w:rPr>
        <w:t xml:space="preserve"> </w:t>
      </w:r>
      <w:r w:rsidRPr="002C6C13">
        <w:rPr>
          <w:rFonts w:eastAsia="SimSun" w:cs="Calibri"/>
          <w:b/>
          <w:bCs/>
        </w:rPr>
        <w:t xml:space="preserve">θα στηρίξει την επέκταση στις ΗΠΑ </w:t>
      </w:r>
      <w:r w:rsidRPr="009746F1">
        <w:rPr>
          <w:rFonts w:eastAsia="SimSun" w:cs="Calibri"/>
        </w:rPr>
        <w:t>και γενικούς</w:t>
      </w:r>
      <w:r w:rsidRPr="002C6C13">
        <w:rPr>
          <w:rFonts w:eastAsia="SimSun" w:cs="Calibri"/>
        </w:rPr>
        <w:t xml:space="preserve"> εταιρικούς σκοπούς, </w:t>
      </w:r>
      <w:r w:rsidR="00716297">
        <w:rPr>
          <w:rFonts w:eastAsia="SimSun" w:cs="Calibri"/>
        </w:rPr>
        <w:t>και στο βαθμό που απαιτείται</w:t>
      </w:r>
      <w:r w:rsidR="003F1C01">
        <w:rPr>
          <w:rFonts w:eastAsia="SimSun" w:cs="Calibri"/>
        </w:rPr>
        <w:t>,</w:t>
      </w:r>
      <w:r w:rsidR="00716297">
        <w:rPr>
          <w:rFonts w:eastAsia="SimSun" w:cs="Calibri"/>
        </w:rPr>
        <w:t xml:space="preserve"> θα χρηματοδοτήσει</w:t>
      </w:r>
      <w:r w:rsidR="008C210C">
        <w:rPr>
          <w:rFonts w:eastAsia="SimSun" w:cs="Calibri"/>
        </w:rPr>
        <w:t xml:space="preserve"> </w:t>
      </w:r>
      <w:r w:rsidR="007D6610">
        <w:rPr>
          <w:rFonts w:eastAsia="SimSun" w:cs="Calibri"/>
        </w:rPr>
        <w:t xml:space="preserve">περαιτέρω </w:t>
      </w:r>
      <w:r w:rsidRPr="002C6C13">
        <w:rPr>
          <w:rFonts w:eastAsia="SimSun" w:cs="Calibri"/>
        </w:rPr>
        <w:t>βελτιώσε</w:t>
      </w:r>
      <w:r w:rsidR="00716297">
        <w:rPr>
          <w:rFonts w:eastAsia="SimSun" w:cs="Calibri"/>
        </w:rPr>
        <w:t>ις</w:t>
      </w:r>
      <w:r w:rsidRPr="002C6C13">
        <w:rPr>
          <w:rFonts w:eastAsia="SimSun" w:cs="Calibri"/>
        </w:rPr>
        <w:t xml:space="preserve"> στις υφιστάμενες εγκαταστάσεις του Ομίλου στην Ελλάδα.</w:t>
      </w:r>
    </w:p>
    <w:p w14:paraId="09AC8EAC" w14:textId="5BF4A23D" w:rsidR="00BF47B3" w:rsidRDefault="003F6373" w:rsidP="00850B9B">
      <w:pPr>
        <w:numPr>
          <w:ilvl w:val="0"/>
          <w:numId w:val="27"/>
        </w:numPr>
        <w:spacing w:after="120" w:line="240" w:lineRule="auto"/>
        <w:contextualSpacing/>
        <w:jc w:val="both"/>
        <w:rPr>
          <w:rFonts w:eastAsia="SimSun" w:cs="Calibri"/>
        </w:rPr>
      </w:pPr>
      <w:r>
        <w:rPr>
          <w:rFonts w:eastAsia="SimSun" w:cs="Calibri"/>
          <w:b/>
          <w:bCs/>
        </w:rPr>
        <w:t>Θ</w:t>
      </w:r>
      <w:r w:rsidRPr="002C6C13">
        <w:rPr>
          <w:rFonts w:eastAsia="SimSun" w:cs="Calibri"/>
          <w:b/>
          <w:bCs/>
        </w:rPr>
        <w:t>α πραγματοποιηθεί</w:t>
      </w:r>
      <w:r>
        <w:rPr>
          <w:rFonts w:eastAsia="SimSun" w:cs="Calibri"/>
          <w:b/>
          <w:bCs/>
        </w:rPr>
        <w:t xml:space="preserve"> </w:t>
      </w:r>
      <w:r w:rsidRPr="002C6C13">
        <w:rPr>
          <w:rFonts w:eastAsia="SimSun" w:cs="Calibri"/>
          <w:b/>
          <w:bCs/>
        </w:rPr>
        <w:t xml:space="preserve">στις αρχές Οκτωβρίου </w:t>
      </w:r>
      <w:r w:rsidR="00716297">
        <w:rPr>
          <w:rFonts w:eastAsia="SimSun" w:cs="Calibri"/>
          <w:b/>
          <w:bCs/>
        </w:rPr>
        <w:t>Έ</w:t>
      </w:r>
      <w:r w:rsidR="009D38DB" w:rsidRPr="002C6C13">
        <w:rPr>
          <w:rFonts w:eastAsia="SimSun" w:cs="Calibri"/>
          <w:b/>
          <w:bCs/>
        </w:rPr>
        <w:t xml:space="preserve">κτακτη </w:t>
      </w:r>
      <w:r w:rsidR="00716297">
        <w:rPr>
          <w:rFonts w:eastAsia="SimSun" w:cs="Calibri"/>
          <w:b/>
          <w:bCs/>
        </w:rPr>
        <w:t>Γ</w:t>
      </w:r>
      <w:r w:rsidR="009D38DB" w:rsidRPr="002C6C13">
        <w:rPr>
          <w:rFonts w:eastAsia="SimSun" w:cs="Calibri"/>
          <w:b/>
          <w:bCs/>
        </w:rPr>
        <w:t>ενική</w:t>
      </w:r>
      <w:r w:rsidR="00716297">
        <w:rPr>
          <w:rFonts w:eastAsia="SimSun" w:cs="Calibri"/>
          <w:b/>
          <w:bCs/>
        </w:rPr>
        <w:t xml:space="preserve"> Σ</w:t>
      </w:r>
      <w:r w:rsidR="009D38DB" w:rsidRPr="002C6C13">
        <w:rPr>
          <w:rFonts w:eastAsia="SimSun" w:cs="Calibri"/>
          <w:b/>
          <w:bCs/>
        </w:rPr>
        <w:t>υνέλευση των μετόχων.</w:t>
      </w:r>
      <w:r w:rsidR="009D38DB" w:rsidRPr="002C6C13">
        <w:rPr>
          <w:rFonts w:eastAsia="SimSun" w:cs="Calibri"/>
        </w:rPr>
        <w:t xml:space="preserve"> Η </w:t>
      </w:r>
      <w:r w:rsidR="008C210C">
        <w:rPr>
          <w:rFonts w:eastAsia="SimSun" w:cs="Calibri"/>
        </w:rPr>
        <w:t>Ενδεχόμενη Α</w:t>
      </w:r>
      <w:r w:rsidR="009D38DB" w:rsidRPr="002C6C13">
        <w:rPr>
          <w:rFonts w:eastAsia="SimSun" w:cs="Calibri"/>
        </w:rPr>
        <w:t xml:space="preserve">ύξηση </w:t>
      </w:r>
      <w:r w:rsidR="008C210C">
        <w:rPr>
          <w:rFonts w:eastAsia="SimSun" w:cs="Calibri"/>
        </w:rPr>
        <w:t>Μετοχικού Κ</w:t>
      </w:r>
      <w:r w:rsidR="009D38DB" w:rsidRPr="002C6C13">
        <w:rPr>
          <w:rFonts w:eastAsia="SimSun" w:cs="Calibri"/>
        </w:rPr>
        <w:t xml:space="preserve">εφαλαίου </w:t>
      </w:r>
      <w:r w:rsidR="00BF47B3">
        <w:rPr>
          <w:rFonts w:eastAsia="SimSun" w:cs="Calibri"/>
        </w:rPr>
        <w:t xml:space="preserve">θα πραγματοποιηθεί </w:t>
      </w:r>
      <w:r w:rsidR="00AE3E55">
        <w:rPr>
          <w:rFonts w:eastAsia="SimSun" w:cs="Calibri"/>
        </w:rPr>
        <w:t>υπό την αίρεση</w:t>
      </w:r>
      <w:r w:rsidR="00BF47B3">
        <w:rPr>
          <w:rFonts w:eastAsia="SimSun" w:cs="Calibri"/>
        </w:rPr>
        <w:t xml:space="preserve"> </w:t>
      </w:r>
      <w:r w:rsidR="00AE3E55">
        <w:rPr>
          <w:rFonts w:eastAsia="SimSun" w:cs="Calibri"/>
        </w:rPr>
        <w:t>των απαιτούμενων</w:t>
      </w:r>
      <w:r w:rsidR="00BF47B3">
        <w:rPr>
          <w:rFonts w:eastAsia="SimSun" w:cs="Calibri"/>
        </w:rPr>
        <w:t xml:space="preserve"> </w:t>
      </w:r>
      <w:r w:rsidR="00BF47B3" w:rsidRPr="00BF47B3">
        <w:rPr>
          <w:rFonts w:eastAsia="SimSun" w:cs="Calibri"/>
        </w:rPr>
        <w:t>κανονιστικ</w:t>
      </w:r>
      <w:r w:rsidR="00AE3E55">
        <w:rPr>
          <w:rFonts w:eastAsia="SimSun" w:cs="Calibri"/>
        </w:rPr>
        <w:t xml:space="preserve">ών </w:t>
      </w:r>
      <w:r w:rsidR="00BF47B3" w:rsidRPr="00BF47B3">
        <w:rPr>
          <w:rFonts w:eastAsia="SimSun" w:cs="Calibri"/>
        </w:rPr>
        <w:t>εγκρίσε</w:t>
      </w:r>
      <w:r w:rsidR="00AE3E55">
        <w:rPr>
          <w:rFonts w:eastAsia="SimSun" w:cs="Calibri"/>
        </w:rPr>
        <w:t>ων</w:t>
      </w:r>
      <w:r w:rsidR="00BF47B3">
        <w:rPr>
          <w:rFonts w:eastAsia="SimSun" w:cs="Calibri"/>
        </w:rPr>
        <w:t xml:space="preserve"> καθώς</w:t>
      </w:r>
      <w:r w:rsidR="00BF47B3" w:rsidRPr="00BF47B3">
        <w:rPr>
          <w:rFonts w:eastAsia="SimSun" w:cs="Calibri"/>
        </w:rPr>
        <w:t xml:space="preserve"> και </w:t>
      </w:r>
      <w:r w:rsidR="00AE3E55">
        <w:rPr>
          <w:rFonts w:eastAsia="SimSun" w:cs="Calibri"/>
        </w:rPr>
        <w:t>των</w:t>
      </w:r>
      <w:r w:rsidR="00850B9B">
        <w:rPr>
          <w:rFonts w:eastAsia="SimSun" w:cs="Calibri"/>
        </w:rPr>
        <w:t xml:space="preserve"> </w:t>
      </w:r>
      <w:r w:rsidR="00AE3E55">
        <w:rPr>
          <w:rFonts w:eastAsia="SimSun" w:cs="Calibri"/>
        </w:rPr>
        <w:t>επικρατουσών σ</w:t>
      </w:r>
      <w:r w:rsidR="00AE3E55" w:rsidRPr="00BF47B3">
        <w:rPr>
          <w:rFonts w:eastAsia="SimSun" w:cs="Calibri"/>
        </w:rPr>
        <w:t>υνθηκ</w:t>
      </w:r>
      <w:r w:rsidR="00AE3E55">
        <w:rPr>
          <w:rFonts w:eastAsia="SimSun" w:cs="Calibri"/>
        </w:rPr>
        <w:t>ών</w:t>
      </w:r>
      <w:r w:rsidR="00BF47B3">
        <w:rPr>
          <w:rFonts w:eastAsia="SimSun" w:cs="Calibri"/>
        </w:rPr>
        <w:t xml:space="preserve"> </w:t>
      </w:r>
      <w:r w:rsidR="00AE3E55">
        <w:rPr>
          <w:rFonts w:eastAsia="SimSun" w:cs="Calibri"/>
        </w:rPr>
        <w:t>της</w:t>
      </w:r>
      <w:r w:rsidR="00BF47B3" w:rsidRPr="00BF47B3">
        <w:rPr>
          <w:rFonts w:eastAsia="SimSun" w:cs="Calibri"/>
        </w:rPr>
        <w:t xml:space="preserve"> αγορά</w:t>
      </w:r>
      <w:r w:rsidR="00AE3E55">
        <w:rPr>
          <w:rFonts w:eastAsia="SimSun" w:cs="Calibri"/>
        </w:rPr>
        <w:t>ς</w:t>
      </w:r>
      <w:r w:rsidR="00BF47B3">
        <w:rPr>
          <w:rFonts w:eastAsia="SimSun" w:cs="Calibri"/>
        </w:rPr>
        <w:t>.</w:t>
      </w:r>
    </w:p>
    <w:p w14:paraId="4888844F" w14:textId="6AC05E5B" w:rsidR="008428D2" w:rsidRPr="002C6C13" w:rsidRDefault="004846F7" w:rsidP="00850B9B">
      <w:pPr>
        <w:numPr>
          <w:ilvl w:val="0"/>
          <w:numId w:val="1"/>
        </w:numPr>
        <w:spacing w:after="120" w:line="240" w:lineRule="auto"/>
        <w:ind w:left="567" w:hanging="425"/>
        <w:contextualSpacing/>
        <w:jc w:val="both"/>
        <w:rPr>
          <w:rFonts w:eastAsia="SimSun" w:cs="Calibri"/>
          <w:b/>
          <w:bCs/>
        </w:rPr>
      </w:pPr>
      <w:r>
        <w:rPr>
          <w:rFonts w:eastAsia="SimSun" w:cs="Calibri"/>
          <w:b/>
          <w:bCs/>
        </w:rPr>
        <w:t>Επικαιροποίηση εκτ</w:t>
      </w:r>
      <w:r w:rsidR="002A589F">
        <w:rPr>
          <w:rFonts w:eastAsia="SimSun" w:cs="Calibri"/>
          <w:b/>
          <w:bCs/>
        </w:rPr>
        <w:t>ιμήσεων</w:t>
      </w:r>
      <w:r>
        <w:rPr>
          <w:rFonts w:eastAsia="SimSun" w:cs="Calibri"/>
          <w:b/>
          <w:bCs/>
        </w:rPr>
        <w:t xml:space="preserve"> για ετήσι</w:t>
      </w:r>
      <w:r w:rsidR="002A589F">
        <w:rPr>
          <w:rFonts w:eastAsia="SimSun" w:cs="Calibri"/>
          <w:b/>
          <w:bCs/>
        </w:rPr>
        <w:t xml:space="preserve">α λειτουργική κερδοφορία </w:t>
      </w:r>
      <w:r w:rsidR="008428D2" w:rsidRPr="002C6C13">
        <w:rPr>
          <w:rFonts w:eastAsia="SimSun" w:cs="Calibri"/>
          <w:b/>
          <w:bCs/>
        </w:rPr>
        <w:t>και</w:t>
      </w:r>
      <w:r>
        <w:rPr>
          <w:rFonts w:eastAsia="SimSun" w:cs="Calibri"/>
          <w:b/>
          <w:bCs/>
        </w:rPr>
        <w:t xml:space="preserve"> </w:t>
      </w:r>
      <w:r w:rsidR="002A589F">
        <w:rPr>
          <w:rFonts w:eastAsia="SimSun" w:cs="Calibri"/>
          <w:b/>
          <w:bCs/>
        </w:rPr>
        <w:t xml:space="preserve">μεσοπρόθεσμες οικονομικές </w:t>
      </w:r>
      <w:r w:rsidR="00F80CB0">
        <w:rPr>
          <w:rFonts w:eastAsia="SimSun" w:cs="Calibri"/>
          <w:b/>
          <w:bCs/>
        </w:rPr>
        <w:t>επιδιώξεις</w:t>
      </w:r>
      <w:r w:rsidR="008428D2" w:rsidRPr="002C6C13">
        <w:rPr>
          <w:rFonts w:eastAsia="SimSun" w:cs="Calibri"/>
          <w:b/>
          <w:bCs/>
        </w:rPr>
        <w:t>:</w:t>
      </w:r>
    </w:p>
    <w:p w14:paraId="43578B63" w14:textId="327806D9" w:rsidR="0028110B" w:rsidRPr="002C6C13" w:rsidRDefault="002A589F" w:rsidP="00850B9B">
      <w:pPr>
        <w:numPr>
          <w:ilvl w:val="0"/>
          <w:numId w:val="28"/>
        </w:numPr>
        <w:spacing w:after="120" w:line="240" w:lineRule="auto"/>
        <w:contextualSpacing/>
        <w:jc w:val="both"/>
        <w:rPr>
          <w:rFonts w:eastAsia="SimSun" w:cs="Calibri"/>
          <w:bCs/>
        </w:rPr>
      </w:pPr>
      <w:r>
        <w:rPr>
          <w:rFonts w:eastAsia="SimSun" w:cs="Calibri"/>
          <w:b/>
          <w:bCs/>
        </w:rPr>
        <w:t>Το</w:t>
      </w:r>
      <w:r w:rsidRPr="002C6C13">
        <w:rPr>
          <w:rFonts w:eastAsia="SimSun" w:cs="Calibri"/>
          <w:b/>
          <w:bCs/>
        </w:rPr>
        <w:t xml:space="preserve"> αναπροσαρμοσμένο </w:t>
      </w:r>
      <w:r w:rsidRPr="002C6C13">
        <w:rPr>
          <w:rFonts w:eastAsia="SimSun" w:cs="Calibri"/>
          <w:b/>
          <w:bCs/>
          <w:lang w:val="en-US"/>
        </w:rPr>
        <w:t>EBITDA</w:t>
      </w:r>
      <w:r w:rsidRPr="002C6C13">
        <w:rPr>
          <w:rFonts w:eastAsia="SimSun" w:cs="Calibri"/>
          <w:b/>
          <w:bCs/>
        </w:rPr>
        <w:t xml:space="preserve"> </w:t>
      </w:r>
      <w:r w:rsidR="0028110B" w:rsidRPr="002C6C13">
        <w:rPr>
          <w:rFonts w:eastAsia="SimSun" w:cs="Calibri"/>
          <w:b/>
          <w:bCs/>
        </w:rPr>
        <w:t>για το οικονομικό έτος 2024 ε</w:t>
      </w:r>
      <w:r>
        <w:rPr>
          <w:rFonts w:eastAsia="SimSun" w:cs="Calibri"/>
          <w:b/>
          <w:bCs/>
        </w:rPr>
        <w:t xml:space="preserve">κτιμάται πλέον </w:t>
      </w:r>
      <w:r w:rsidR="0028110B" w:rsidRPr="002C6C13">
        <w:rPr>
          <w:rFonts w:eastAsia="SimSun" w:cs="Calibri"/>
          <w:b/>
          <w:bCs/>
        </w:rPr>
        <w:t xml:space="preserve">μεταξύ 245 και 265 εκατ. ευρώ </w:t>
      </w:r>
      <w:r w:rsidR="0028110B" w:rsidRPr="002C6C13">
        <w:rPr>
          <w:rFonts w:eastAsia="SimSun" w:cs="Calibri"/>
        </w:rPr>
        <w:t>(από 230-250 εκατ. ευρώ).</w:t>
      </w:r>
    </w:p>
    <w:p w14:paraId="4CDB56CF" w14:textId="7AB57C52" w:rsidR="008428D2" w:rsidRPr="002C6C13" w:rsidRDefault="0078107F" w:rsidP="00850B9B">
      <w:pPr>
        <w:numPr>
          <w:ilvl w:val="0"/>
          <w:numId w:val="28"/>
        </w:numPr>
        <w:spacing w:after="120" w:line="240" w:lineRule="auto"/>
        <w:contextualSpacing/>
        <w:jc w:val="both"/>
        <w:rPr>
          <w:rFonts w:eastAsia="SimSun" w:cs="Calibri"/>
          <w:b/>
        </w:rPr>
      </w:pPr>
      <w:r>
        <w:rPr>
          <w:rFonts w:eastAsia="SimSun" w:cs="Calibri"/>
          <w:bCs/>
        </w:rPr>
        <w:t>Δεδομέν</w:t>
      </w:r>
      <w:r w:rsidR="002A589F">
        <w:rPr>
          <w:rFonts w:eastAsia="SimSun" w:cs="Calibri"/>
          <w:bCs/>
        </w:rPr>
        <w:t>ων</w:t>
      </w:r>
      <w:r>
        <w:rPr>
          <w:rFonts w:eastAsia="SimSun" w:cs="Calibri"/>
          <w:bCs/>
        </w:rPr>
        <w:t xml:space="preserve"> της </w:t>
      </w:r>
      <w:r w:rsidR="002A589F">
        <w:rPr>
          <w:rFonts w:eastAsia="SimSun" w:cs="Calibri"/>
          <w:bCs/>
        </w:rPr>
        <w:t xml:space="preserve">νέων </w:t>
      </w:r>
      <w:r>
        <w:rPr>
          <w:rFonts w:eastAsia="SimSun" w:cs="Calibri"/>
          <w:bCs/>
        </w:rPr>
        <w:t>εκτ</w:t>
      </w:r>
      <w:r w:rsidR="002A589F">
        <w:rPr>
          <w:rFonts w:eastAsia="SimSun" w:cs="Calibri"/>
          <w:bCs/>
        </w:rPr>
        <w:t xml:space="preserve">ιμήσεων για </w:t>
      </w:r>
      <w:r>
        <w:rPr>
          <w:rFonts w:eastAsia="SimSun" w:cs="Calibri"/>
          <w:bCs/>
        </w:rPr>
        <w:t>τις ετήσιες οικονομικές επιδόσεις, το ιστορικά υψηλό επίπεδο του</w:t>
      </w:r>
      <w:r w:rsidR="008428D2" w:rsidRPr="002C6C13">
        <w:rPr>
          <w:rFonts w:eastAsia="SimSun" w:cs="Calibri"/>
          <w:bCs/>
        </w:rPr>
        <w:t xml:space="preserve"> ανεκτέλεστο</w:t>
      </w:r>
      <w:r>
        <w:rPr>
          <w:rFonts w:eastAsia="SimSun" w:cs="Calibri"/>
          <w:bCs/>
        </w:rPr>
        <w:t>υ</w:t>
      </w:r>
      <w:r w:rsidR="008428D2" w:rsidRPr="002C6C13">
        <w:rPr>
          <w:rFonts w:eastAsia="SimSun" w:cs="Calibri"/>
          <w:bCs/>
        </w:rPr>
        <w:t xml:space="preserve"> υπόλοιπο</w:t>
      </w:r>
      <w:r>
        <w:rPr>
          <w:rFonts w:eastAsia="SimSun" w:cs="Calibri"/>
          <w:bCs/>
        </w:rPr>
        <w:t>υ</w:t>
      </w:r>
      <w:r w:rsidR="008428D2" w:rsidRPr="002C6C13">
        <w:rPr>
          <w:rFonts w:eastAsia="SimSun" w:cs="Calibri"/>
          <w:bCs/>
        </w:rPr>
        <w:t xml:space="preserve"> και των θετικών προοπτικών της αγοράς, </w:t>
      </w:r>
      <w:r w:rsidR="008428D2" w:rsidRPr="002C6C13">
        <w:rPr>
          <w:rFonts w:eastAsia="SimSun" w:cs="Calibri"/>
          <w:b/>
        </w:rPr>
        <w:t xml:space="preserve">ο Όμιλος </w:t>
      </w:r>
      <w:r w:rsidR="002A589F">
        <w:rPr>
          <w:rFonts w:eastAsia="SimSun" w:cs="Calibri"/>
          <w:b/>
        </w:rPr>
        <w:t xml:space="preserve">θέτει μεσοπρόθεσμες οικονομικές </w:t>
      </w:r>
      <w:r w:rsidR="00F80CB0">
        <w:rPr>
          <w:rFonts w:eastAsia="SimSun" w:cs="Calibri"/>
          <w:b/>
        </w:rPr>
        <w:t>επιδιώξεις</w:t>
      </w:r>
      <w:r>
        <w:rPr>
          <w:rFonts w:eastAsia="SimSun" w:cs="Calibri"/>
          <w:b/>
        </w:rPr>
        <w:t xml:space="preserve"> </w:t>
      </w:r>
      <w:r w:rsidR="002A589F">
        <w:rPr>
          <w:rFonts w:eastAsia="SimSun" w:cs="Calibri"/>
          <w:b/>
        </w:rPr>
        <w:t>που</w:t>
      </w:r>
      <w:r w:rsidR="008428D2" w:rsidRPr="002C6C13">
        <w:rPr>
          <w:rFonts w:eastAsia="SimSun" w:cs="Calibri"/>
          <w:b/>
        </w:rPr>
        <w:t xml:space="preserve"> περιλαμβάνουν ισχυρή οργανική </w:t>
      </w:r>
      <w:r w:rsidR="002E2912">
        <w:rPr>
          <w:rFonts w:eastAsia="SimSun" w:cs="Calibri"/>
          <w:b/>
        </w:rPr>
        <w:t>αύξηση των</w:t>
      </w:r>
      <w:r w:rsidR="008428D2" w:rsidRPr="002C6C13">
        <w:rPr>
          <w:rFonts w:eastAsia="SimSun" w:cs="Calibri"/>
          <w:b/>
        </w:rPr>
        <w:t xml:space="preserve"> </w:t>
      </w:r>
      <w:r w:rsidR="00850B9B">
        <w:rPr>
          <w:rFonts w:eastAsia="SimSun" w:cs="Calibri"/>
          <w:b/>
        </w:rPr>
        <w:t>πωλήσεων</w:t>
      </w:r>
      <w:r w:rsidR="008428D2" w:rsidRPr="002C6C13">
        <w:rPr>
          <w:rFonts w:eastAsia="SimSun" w:cs="Calibri"/>
          <w:b/>
        </w:rPr>
        <w:t xml:space="preserve"> και αναπροσαρμοσμένο EBITDA </w:t>
      </w:r>
      <w:r w:rsidR="002A589F">
        <w:rPr>
          <w:rFonts w:eastAsia="SimSun" w:cs="Calibri"/>
          <w:b/>
        </w:rPr>
        <w:t xml:space="preserve">μεταξύ </w:t>
      </w:r>
      <w:r w:rsidR="008428D2" w:rsidRPr="002C6C13">
        <w:rPr>
          <w:rFonts w:eastAsia="SimSun" w:cs="Calibri"/>
          <w:b/>
        </w:rPr>
        <w:t>380 – 420 εκατ</w:t>
      </w:r>
      <w:r>
        <w:rPr>
          <w:rFonts w:eastAsia="SimSun" w:cs="Calibri"/>
          <w:b/>
        </w:rPr>
        <w:t>.</w:t>
      </w:r>
      <w:r w:rsidR="008428D2" w:rsidRPr="002C6C13">
        <w:rPr>
          <w:rFonts w:eastAsia="SimSun" w:cs="Calibri"/>
          <w:b/>
        </w:rPr>
        <w:t xml:space="preserve"> ευρώ.</w:t>
      </w:r>
    </w:p>
    <w:p w14:paraId="1361A252" w14:textId="77777777" w:rsidR="008428D2" w:rsidRDefault="008428D2" w:rsidP="008428D2">
      <w:pPr>
        <w:spacing w:after="120" w:line="240" w:lineRule="auto"/>
        <w:contextualSpacing/>
        <w:jc w:val="both"/>
        <w:rPr>
          <w:rFonts w:eastAsia="SimSun" w:cs="Calibri"/>
          <w:bCs/>
        </w:rPr>
      </w:pPr>
    </w:p>
    <w:bookmarkEnd w:id="1"/>
    <w:p w14:paraId="0C3E8511" w14:textId="66EB1184" w:rsidR="00912F75" w:rsidRDefault="00912F75">
      <w:pPr>
        <w:spacing w:after="0" w:line="240" w:lineRule="auto"/>
        <w:rPr>
          <w:rFonts w:eastAsia="SimSun" w:cs="Calibri"/>
          <w:bCs/>
        </w:rPr>
      </w:pPr>
      <w:r>
        <w:rPr>
          <w:rFonts w:eastAsia="SimSun" w:cs="Calibri"/>
          <w:bCs/>
        </w:rPr>
        <w:br w:type="page"/>
      </w:r>
    </w:p>
    <w:p w14:paraId="630BF262" w14:textId="77777777" w:rsidR="0028110B" w:rsidRPr="00550A38" w:rsidRDefault="0028110B" w:rsidP="0028110B">
      <w:pPr>
        <w:spacing w:after="120" w:line="240" w:lineRule="auto"/>
        <w:ind w:left="567"/>
        <w:contextualSpacing/>
        <w:jc w:val="both"/>
        <w:rPr>
          <w:rFonts w:eastAsia="SimSun" w:cs="Calibri"/>
          <w:bCs/>
        </w:rPr>
      </w:pPr>
    </w:p>
    <w:tbl>
      <w:tblPr>
        <w:tblW w:w="0" w:type="auto"/>
        <w:jc w:val="center"/>
        <w:tblLook w:val="04A0" w:firstRow="1" w:lastRow="0" w:firstColumn="1" w:lastColumn="0" w:noHBand="0" w:noVBand="1"/>
      </w:tblPr>
      <w:tblGrid>
        <w:gridCol w:w="3527"/>
        <w:gridCol w:w="4755"/>
      </w:tblGrid>
      <w:tr w:rsidR="000C3E15" w:rsidRPr="008414D9" w14:paraId="79DFF8B8" w14:textId="77777777" w:rsidTr="00C27590">
        <w:trPr>
          <w:trHeight w:val="280"/>
          <w:jc w:val="center"/>
        </w:trPr>
        <w:tc>
          <w:tcPr>
            <w:tcW w:w="3527" w:type="dxa"/>
            <w:shd w:val="clear" w:color="auto" w:fill="auto"/>
          </w:tcPr>
          <w:bookmarkEnd w:id="0"/>
          <w:bookmarkEnd w:id="2"/>
          <w:p w14:paraId="1614A636" w14:textId="2A070FF4" w:rsidR="003D46E1" w:rsidRPr="008414D9" w:rsidRDefault="00C57F2C" w:rsidP="00620015">
            <w:pPr>
              <w:spacing w:after="240" w:line="360" w:lineRule="auto"/>
              <w:contextualSpacing/>
              <w:jc w:val="both"/>
              <w:rPr>
                <w:rFonts w:eastAsia="HGGothicM"/>
                <w:b/>
                <w:sz w:val="20"/>
                <w:szCs w:val="20"/>
                <w:u w:val="single"/>
                <w:lang w:val="en-GB"/>
              </w:rPr>
            </w:pPr>
            <w:r>
              <w:rPr>
                <w:rFonts w:eastAsia="HGGothicM"/>
                <w:b/>
                <w:sz w:val="20"/>
                <w:szCs w:val="20"/>
                <w:u w:val="single"/>
              </w:rPr>
              <w:t>Πωλήσεις</w:t>
            </w:r>
            <w:r w:rsidRPr="009259F9">
              <w:rPr>
                <w:rFonts w:eastAsia="HGGothicM"/>
                <w:b/>
                <w:sz w:val="20"/>
                <w:szCs w:val="20"/>
                <w:u w:val="single"/>
                <w:lang w:val="en-GB"/>
              </w:rPr>
              <w:t xml:space="preserve"> (</w:t>
            </w:r>
            <w:r>
              <w:rPr>
                <w:rFonts w:eastAsia="HGGothicM"/>
                <w:b/>
                <w:sz w:val="20"/>
                <w:szCs w:val="20"/>
                <w:u w:val="single"/>
              </w:rPr>
              <w:t>σε εκατ. ευρώ</w:t>
            </w:r>
            <w:r w:rsidRPr="009259F9">
              <w:rPr>
                <w:rFonts w:eastAsia="HGGothicM"/>
                <w:b/>
                <w:sz w:val="20"/>
                <w:szCs w:val="20"/>
                <w:u w:val="single"/>
                <w:lang w:val="en-GB"/>
              </w:rPr>
              <w:t>)</w:t>
            </w:r>
          </w:p>
        </w:tc>
        <w:tc>
          <w:tcPr>
            <w:tcW w:w="4755" w:type="dxa"/>
            <w:shd w:val="clear" w:color="auto" w:fill="auto"/>
          </w:tcPr>
          <w:p w14:paraId="31392F7F" w14:textId="0751AEA4" w:rsidR="003D46E1" w:rsidRPr="00664167" w:rsidRDefault="00C57F2C" w:rsidP="00620015">
            <w:pPr>
              <w:spacing w:after="240" w:line="360" w:lineRule="auto"/>
              <w:contextualSpacing/>
              <w:jc w:val="both"/>
              <w:rPr>
                <w:rFonts w:eastAsia="HGGothicM"/>
                <w:i/>
                <w:sz w:val="20"/>
                <w:szCs w:val="20"/>
              </w:rPr>
            </w:pPr>
            <w:r>
              <w:rPr>
                <w:rFonts w:eastAsia="HGGothicM"/>
                <w:i/>
                <w:sz w:val="20"/>
                <w:szCs w:val="20"/>
              </w:rPr>
              <w:t>Ανά τομέα:</w:t>
            </w:r>
          </w:p>
        </w:tc>
      </w:tr>
      <w:tr w:rsidR="000C3E15" w:rsidRPr="008414D9" w14:paraId="75E5FE9E" w14:textId="77777777" w:rsidTr="00C27590">
        <w:trPr>
          <w:trHeight w:val="1893"/>
          <w:jc w:val="center"/>
        </w:trPr>
        <w:tc>
          <w:tcPr>
            <w:tcW w:w="3527" w:type="dxa"/>
            <w:shd w:val="clear" w:color="auto" w:fill="auto"/>
            <w:vAlign w:val="bottom"/>
          </w:tcPr>
          <w:p w14:paraId="2055A607" w14:textId="6A0CCB92" w:rsidR="002A4453" w:rsidRPr="00664167" w:rsidRDefault="00664167" w:rsidP="003739DE">
            <w:pPr>
              <w:spacing w:after="120" w:line="240" w:lineRule="auto"/>
              <w:contextualSpacing/>
              <w:rPr>
                <w:rFonts w:eastAsia="HGGothicM"/>
                <w:b/>
                <w:sz w:val="20"/>
                <w:szCs w:val="20"/>
              </w:rPr>
            </w:pPr>
            <w:r>
              <w:rPr>
                <w:rFonts w:eastAsia="HGGothicM"/>
                <w:b/>
                <w:sz w:val="20"/>
                <w:szCs w:val="20"/>
              </w:rPr>
              <w:t xml:space="preserve"> </w:t>
            </w:r>
            <w:r w:rsidR="00C27590">
              <w:rPr>
                <w:noProof/>
              </w:rPr>
              <w:drawing>
                <wp:inline distT="0" distB="0" distL="0" distR="0" wp14:anchorId="07EA8C8A" wp14:editId="7CF5A44E">
                  <wp:extent cx="1692000" cy="2028581"/>
                  <wp:effectExtent l="0" t="0" r="3810" b="0"/>
                  <wp:docPr id="639325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25919" name=""/>
                          <pic:cNvPicPr/>
                        </pic:nvPicPr>
                        <pic:blipFill rotWithShape="1">
                          <a:blip r:embed="rId12"/>
                          <a:srcRect b="52248"/>
                          <a:stretch/>
                        </pic:blipFill>
                        <pic:spPr bwMode="auto">
                          <a:xfrm>
                            <a:off x="0" y="0"/>
                            <a:ext cx="1692000" cy="2028581"/>
                          </a:xfrm>
                          <a:prstGeom prst="rect">
                            <a:avLst/>
                          </a:prstGeom>
                          <a:ln>
                            <a:noFill/>
                          </a:ln>
                          <a:extLst>
                            <a:ext uri="{53640926-AAD7-44D8-BBD7-CCE9431645EC}">
                              <a14:shadowObscured xmlns:a14="http://schemas.microsoft.com/office/drawing/2010/main"/>
                            </a:ext>
                          </a:extLst>
                        </pic:spPr>
                      </pic:pic>
                    </a:graphicData>
                  </a:graphic>
                </wp:inline>
              </w:drawing>
            </w:r>
          </w:p>
        </w:tc>
        <w:tc>
          <w:tcPr>
            <w:tcW w:w="4755" w:type="dxa"/>
            <w:shd w:val="clear" w:color="auto" w:fill="auto"/>
            <w:vAlign w:val="bottom"/>
          </w:tcPr>
          <w:p w14:paraId="10CF25B3" w14:textId="6697F0EC" w:rsidR="002F08E2" w:rsidRPr="00664167" w:rsidRDefault="00C27590" w:rsidP="00C27590">
            <w:pPr>
              <w:spacing w:after="120" w:line="240" w:lineRule="auto"/>
              <w:contextualSpacing/>
              <w:jc w:val="right"/>
              <w:rPr>
                <w:rFonts w:eastAsia="HGGothicM"/>
                <w:b/>
                <w:sz w:val="20"/>
                <w:szCs w:val="20"/>
                <w:u w:val="single"/>
              </w:rPr>
            </w:pPr>
            <w:r>
              <w:rPr>
                <w:noProof/>
              </w:rPr>
              <w:drawing>
                <wp:inline distT="0" distB="0" distL="0" distR="0" wp14:anchorId="6E028132" wp14:editId="071A29C2">
                  <wp:extent cx="2879725" cy="2009775"/>
                  <wp:effectExtent l="0" t="0" r="0" b="9525"/>
                  <wp:docPr id="2107502795" name="Picture 1" descr="A close-up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02795" name="Picture 1" descr="A close-up of a pie chart&#10;&#10;Description automatically generated"/>
                          <pic:cNvPicPr/>
                        </pic:nvPicPr>
                        <pic:blipFill rotWithShape="1">
                          <a:blip r:embed="rId13"/>
                          <a:srcRect r="53849" b="4492"/>
                          <a:stretch/>
                        </pic:blipFill>
                        <pic:spPr bwMode="auto">
                          <a:xfrm>
                            <a:off x="0" y="0"/>
                            <a:ext cx="2880000" cy="20099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92E4FF" w14:textId="0122AF67" w:rsidR="00C27590" w:rsidRDefault="00C27590"/>
    <w:tbl>
      <w:tblPr>
        <w:tblW w:w="0" w:type="auto"/>
        <w:jc w:val="center"/>
        <w:tblLook w:val="04A0" w:firstRow="1" w:lastRow="0" w:firstColumn="1" w:lastColumn="0" w:noHBand="0" w:noVBand="1"/>
      </w:tblPr>
      <w:tblGrid>
        <w:gridCol w:w="3527"/>
        <w:gridCol w:w="4755"/>
      </w:tblGrid>
      <w:tr w:rsidR="000C3E15" w:rsidRPr="008414D9" w14:paraId="11AF7C42" w14:textId="77777777" w:rsidTr="00C27590">
        <w:trPr>
          <w:trHeight w:val="572"/>
          <w:jc w:val="center"/>
        </w:trPr>
        <w:tc>
          <w:tcPr>
            <w:tcW w:w="3527" w:type="dxa"/>
            <w:shd w:val="clear" w:color="auto" w:fill="auto"/>
          </w:tcPr>
          <w:p w14:paraId="1365F541" w14:textId="7467F52F" w:rsidR="00990498" w:rsidRPr="00C27590" w:rsidRDefault="00C27590" w:rsidP="00C27590">
            <w:pPr>
              <w:spacing w:after="240" w:line="360" w:lineRule="auto"/>
              <w:contextualSpacing/>
              <w:rPr>
                <w:rFonts w:eastAsia="HGGothicM"/>
                <w:b/>
                <w:sz w:val="20"/>
                <w:szCs w:val="20"/>
                <w:u w:val="single"/>
              </w:rPr>
            </w:pPr>
            <w:r>
              <w:rPr>
                <w:b/>
                <w:sz w:val="20"/>
                <w:u w:val="single"/>
              </w:rPr>
              <w:t>α</w:t>
            </w:r>
            <w:r w:rsidRPr="00B22FB5">
              <w:rPr>
                <w:b/>
                <w:sz w:val="20"/>
                <w:u w:val="single"/>
              </w:rPr>
              <w:t>-</w:t>
            </w:r>
            <w:r w:rsidRPr="009259F9">
              <w:rPr>
                <w:b/>
                <w:sz w:val="20"/>
                <w:u w:val="single"/>
                <w:lang w:val="en-GB"/>
              </w:rPr>
              <w:t>EBITDA</w:t>
            </w:r>
            <w:r w:rsidRPr="00B22FB5">
              <w:rPr>
                <w:rFonts w:eastAsia="HGGothicM"/>
                <w:b/>
                <w:i/>
                <w:sz w:val="20"/>
                <w:szCs w:val="20"/>
                <w:u w:val="single"/>
              </w:rPr>
              <w:t xml:space="preserve"> </w:t>
            </w:r>
            <w:r w:rsidRPr="00B22FB5">
              <w:rPr>
                <w:rFonts w:eastAsia="HGGothicM"/>
                <w:b/>
                <w:sz w:val="20"/>
                <w:szCs w:val="20"/>
                <w:u w:val="single"/>
              </w:rPr>
              <w:t>(</w:t>
            </w:r>
            <w:r>
              <w:rPr>
                <w:rFonts w:eastAsia="HGGothicM"/>
                <w:b/>
                <w:sz w:val="20"/>
                <w:szCs w:val="20"/>
                <w:u w:val="single"/>
              </w:rPr>
              <w:t>σε εκατ. ευρώ</w:t>
            </w:r>
            <w:r w:rsidRPr="00B22FB5">
              <w:rPr>
                <w:rFonts w:eastAsia="HGGothicM"/>
                <w:b/>
                <w:sz w:val="20"/>
                <w:szCs w:val="20"/>
                <w:u w:val="single"/>
              </w:rPr>
              <w:t>)</w:t>
            </w:r>
            <w:r w:rsidRPr="000C3E15">
              <w:rPr>
                <w:rFonts w:eastAsia="HGGothicM"/>
                <w:b/>
                <w:sz w:val="20"/>
                <w:szCs w:val="20"/>
                <w:u w:val="single"/>
              </w:rPr>
              <w:t xml:space="preserve"> </w:t>
            </w:r>
          </w:p>
        </w:tc>
        <w:tc>
          <w:tcPr>
            <w:tcW w:w="4755" w:type="dxa"/>
            <w:shd w:val="clear" w:color="auto" w:fill="auto"/>
          </w:tcPr>
          <w:p w14:paraId="497E69D9" w14:textId="17FCD55A" w:rsidR="00990498" w:rsidRPr="00C27590" w:rsidRDefault="00C27590" w:rsidP="008A62F1">
            <w:pPr>
              <w:spacing w:before="240" w:after="0" w:line="360" w:lineRule="auto"/>
              <w:contextualSpacing/>
              <w:rPr>
                <w:rFonts w:eastAsia="HGGothicM"/>
                <w:b/>
                <w:sz w:val="20"/>
                <w:szCs w:val="20"/>
                <w:u w:val="single"/>
              </w:rPr>
            </w:pPr>
            <w:r>
              <w:rPr>
                <w:rFonts w:eastAsia="HGGothicM"/>
                <w:i/>
                <w:sz w:val="20"/>
                <w:szCs w:val="20"/>
              </w:rPr>
              <w:t>Ανά τομέα:</w:t>
            </w:r>
          </w:p>
        </w:tc>
      </w:tr>
      <w:tr w:rsidR="0085380E" w:rsidRPr="008414D9" w14:paraId="70666A04" w14:textId="77777777" w:rsidTr="00C27590">
        <w:trPr>
          <w:trHeight w:val="2150"/>
          <w:jc w:val="center"/>
        </w:trPr>
        <w:tc>
          <w:tcPr>
            <w:tcW w:w="3527" w:type="dxa"/>
            <w:shd w:val="clear" w:color="auto" w:fill="auto"/>
          </w:tcPr>
          <w:p w14:paraId="3A586B4B" w14:textId="03AA935B" w:rsidR="00C27590" w:rsidRPr="00664167" w:rsidRDefault="00C27590" w:rsidP="0085380E">
            <w:pPr>
              <w:spacing w:after="240" w:line="360" w:lineRule="auto"/>
              <w:contextualSpacing/>
              <w:rPr>
                <w:rFonts w:eastAsia="HGGothicM"/>
                <w:b/>
                <w:sz w:val="20"/>
                <w:szCs w:val="20"/>
                <w:u w:val="single"/>
              </w:rPr>
            </w:pPr>
            <w:r>
              <w:rPr>
                <w:noProof/>
              </w:rPr>
              <w:drawing>
                <wp:inline distT="0" distB="0" distL="0" distR="0" wp14:anchorId="41E3C673" wp14:editId="437734BD">
                  <wp:extent cx="1692000" cy="1819355"/>
                  <wp:effectExtent l="0" t="0" r="3810" b="0"/>
                  <wp:docPr id="1677680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25919" name=""/>
                          <pic:cNvPicPr/>
                        </pic:nvPicPr>
                        <pic:blipFill rotWithShape="1">
                          <a:blip r:embed="rId12"/>
                          <a:srcRect t="57173"/>
                          <a:stretch/>
                        </pic:blipFill>
                        <pic:spPr bwMode="auto">
                          <a:xfrm>
                            <a:off x="0" y="0"/>
                            <a:ext cx="1692000" cy="1819355"/>
                          </a:xfrm>
                          <a:prstGeom prst="rect">
                            <a:avLst/>
                          </a:prstGeom>
                          <a:ln>
                            <a:noFill/>
                          </a:ln>
                          <a:extLst>
                            <a:ext uri="{53640926-AAD7-44D8-BBD7-CCE9431645EC}">
                              <a14:shadowObscured xmlns:a14="http://schemas.microsoft.com/office/drawing/2010/main"/>
                            </a:ext>
                          </a:extLst>
                        </pic:spPr>
                      </pic:pic>
                    </a:graphicData>
                  </a:graphic>
                </wp:inline>
              </w:drawing>
            </w:r>
          </w:p>
        </w:tc>
        <w:tc>
          <w:tcPr>
            <w:tcW w:w="4755" w:type="dxa"/>
            <w:shd w:val="clear" w:color="auto" w:fill="auto"/>
          </w:tcPr>
          <w:p w14:paraId="6D18EDC4" w14:textId="0478FF3C" w:rsidR="0085380E" w:rsidRPr="00620015" w:rsidRDefault="00C27590" w:rsidP="0085380E">
            <w:pPr>
              <w:spacing w:after="240" w:line="360" w:lineRule="auto"/>
              <w:contextualSpacing/>
              <w:jc w:val="center"/>
              <w:rPr>
                <w:rFonts w:eastAsia="HGGothicM"/>
                <w:b/>
                <w:sz w:val="20"/>
                <w:szCs w:val="20"/>
                <w:u w:val="single"/>
                <w:lang w:val="en-GB"/>
              </w:rPr>
            </w:pPr>
            <w:r>
              <w:rPr>
                <w:noProof/>
              </w:rPr>
              <w:drawing>
                <wp:inline distT="0" distB="0" distL="0" distR="0" wp14:anchorId="30E446B6" wp14:editId="2E078876">
                  <wp:extent cx="2879286" cy="2038350"/>
                  <wp:effectExtent l="0" t="0" r="0" b="0"/>
                  <wp:docPr id="454161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61034" name=""/>
                          <pic:cNvPicPr/>
                        </pic:nvPicPr>
                        <pic:blipFill rotWithShape="1">
                          <a:blip r:embed="rId13"/>
                          <a:srcRect l="53969" b="3372"/>
                          <a:stretch/>
                        </pic:blipFill>
                        <pic:spPr bwMode="auto">
                          <a:xfrm>
                            <a:off x="0" y="0"/>
                            <a:ext cx="2880000" cy="20388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D5469B" w14:textId="663E5000" w:rsidR="00664167" w:rsidRPr="00782420" w:rsidRDefault="00664167" w:rsidP="00664167">
      <w:pPr>
        <w:spacing w:after="0" w:line="240" w:lineRule="auto"/>
        <w:rPr>
          <w:rFonts w:cs="Calibri"/>
          <w:lang w:val="en-US"/>
        </w:rPr>
      </w:pPr>
      <w:bookmarkStart w:id="3" w:name="_Hlk3375753"/>
    </w:p>
    <w:p w14:paraId="51E82F21" w14:textId="7340884E" w:rsidR="007D149D" w:rsidRPr="000C3E15" w:rsidRDefault="000C3E15" w:rsidP="002A589F">
      <w:pPr>
        <w:spacing w:after="120" w:line="240" w:lineRule="auto"/>
        <w:jc w:val="both"/>
        <w:rPr>
          <w:rFonts w:cs="Calibri"/>
        </w:rPr>
      </w:pPr>
      <w:r>
        <w:rPr>
          <w:rFonts w:cs="Calibri"/>
        </w:rPr>
        <w:t>Σχολιάζοντας</w:t>
      </w:r>
      <w:r w:rsidRPr="000C3E15">
        <w:rPr>
          <w:rFonts w:cs="Calibri"/>
        </w:rPr>
        <w:t xml:space="preserve"> </w:t>
      </w:r>
      <w:r>
        <w:rPr>
          <w:rFonts w:cs="Calibri"/>
        </w:rPr>
        <w:t>τις</w:t>
      </w:r>
      <w:r w:rsidRPr="000C3E15">
        <w:rPr>
          <w:rFonts w:cs="Calibri"/>
        </w:rPr>
        <w:t xml:space="preserve"> </w:t>
      </w:r>
      <w:r>
        <w:rPr>
          <w:rFonts w:cs="Calibri"/>
        </w:rPr>
        <w:t>επιδόσεις</w:t>
      </w:r>
      <w:r w:rsidRPr="000C3E15">
        <w:rPr>
          <w:rFonts w:cs="Calibri"/>
        </w:rPr>
        <w:t xml:space="preserve"> </w:t>
      </w:r>
      <w:r>
        <w:rPr>
          <w:rFonts w:cs="Calibri"/>
        </w:rPr>
        <w:t>του</w:t>
      </w:r>
      <w:r w:rsidRPr="000C3E15">
        <w:rPr>
          <w:rFonts w:cs="Calibri"/>
        </w:rPr>
        <w:t xml:space="preserve"> </w:t>
      </w:r>
      <w:r>
        <w:rPr>
          <w:rFonts w:cs="Calibri"/>
        </w:rPr>
        <w:t>Ομίλου</w:t>
      </w:r>
      <w:r w:rsidRPr="000C3E15">
        <w:rPr>
          <w:rFonts w:cs="Calibri"/>
        </w:rPr>
        <w:t xml:space="preserve">, </w:t>
      </w:r>
      <w:r>
        <w:rPr>
          <w:rFonts w:cs="Calibri"/>
        </w:rPr>
        <w:t>ο</w:t>
      </w:r>
      <w:r w:rsidRPr="000C3E15">
        <w:rPr>
          <w:rFonts w:cs="Calibri"/>
        </w:rPr>
        <w:t xml:space="preserve"> </w:t>
      </w:r>
      <w:r>
        <w:rPr>
          <w:rFonts w:cs="Calibri"/>
        </w:rPr>
        <w:t>κ</w:t>
      </w:r>
      <w:r w:rsidRPr="000C3E15">
        <w:rPr>
          <w:rFonts w:cs="Calibri"/>
        </w:rPr>
        <w:t xml:space="preserve">. </w:t>
      </w:r>
      <w:r>
        <w:rPr>
          <w:rFonts w:cs="Calibri"/>
        </w:rPr>
        <w:t>Αλέξης</w:t>
      </w:r>
      <w:r w:rsidRPr="000C3E15">
        <w:rPr>
          <w:rFonts w:cs="Calibri"/>
        </w:rPr>
        <w:t xml:space="preserve"> </w:t>
      </w:r>
      <w:r>
        <w:rPr>
          <w:rFonts w:cs="Calibri"/>
        </w:rPr>
        <w:t>Αλεξίου</w:t>
      </w:r>
      <w:r w:rsidRPr="000C3E15">
        <w:rPr>
          <w:rFonts w:cs="Calibri"/>
        </w:rPr>
        <w:t xml:space="preserve">, </w:t>
      </w:r>
      <w:r>
        <w:rPr>
          <w:rFonts w:cs="Calibri"/>
        </w:rPr>
        <w:t>Διευθύνων</w:t>
      </w:r>
      <w:r w:rsidRPr="000C3E15">
        <w:rPr>
          <w:rFonts w:cs="Calibri"/>
        </w:rPr>
        <w:t xml:space="preserve"> </w:t>
      </w:r>
      <w:r>
        <w:rPr>
          <w:rFonts w:cs="Calibri"/>
        </w:rPr>
        <w:t xml:space="preserve">Σύμβουλος της </w:t>
      </w:r>
      <w:r>
        <w:rPr>
          <w:rFonts w:cs="Calibri"/>
          <w:lang w:val="en-US"/>
        </w:rPr>
        <w:t>Cenergy</w:t>
      </w:r>
      <w:r w:rsidRPr="000C3E15">
        <w:rPr>
          <w:rFonts w:cs="Calibri"/>
        </w:rPr>
        <w:t xml:space="preserve"> </w:t>
      </w:r>
      <w:r>
        <w:rPr>
          <w:rFonts w:cs="Calibri"/>
          <w:lang w:val="en-US"/>
        </w:rPr>
        <w:t>Holdings</w:t>
      </w:r>
      <w:r w:rsidRPr="000C3E15">
        <w:rPr>
          <w:rFonts w:cs="Calibri"/>
        </w:rPr>
        <w:t>,</w:t>
      </w:r>
      <w:r w:rsidR="002E2912">
        <w:rPr>
          <w:rFonts w:cs="Calibri"/>
        </w:rPr>
        <w:t xml:space="preserve"> </w:t>
      </w:r>
      <w:r>
        <w:rPr>
          <w:rFonts w:cs="Calibri"/>
        </w:rPr>
        <w:t>δήλωσε</w:t>
      </w:r>
      <w:r w:rsidRPr="000C3E15">
        <w:rPr>
          <w:rFonts w:cs="Calibri"/>
        </w:rPr>
        <w:t xml:space="preserve">: </w:t>
      </w:r>
    </w:p>
    <w:p w14:paraId="44A176B5" w14:textId="571F6B73" w:rsidR="000C3E15" w:rsidRPr="00D27596" w:rsidRDefault="000C3E15" w:rsidP="002A589F">
      <w:pPr>
        <w:spacing w:after="120" w:line="240" w:lineRule="auto"/>
        <w:jc w:val="both"/>
        <w:rPr>
          <w:rFonts w:cs="Calibri"/>
          <w:i/>
        </w:rPr>
      </w:pPr>
      <w:r w:rsidRPr="000C3E15">
        <w:rPr>
          <w:rFonts w:cs="Calibri"/>
          <w:i/>
        </w:rPr>
        <w:t>"</w:t>
      </w:r>
      <w:r w:rsidRPr="00D27596">
        <w:rPr>
          <w:rFonts w:cs="Calibri"/>
          <w:i/>
        </w:rPr>
        <w:t xml:space="preserve">Η συνεχής </w:t>
      </w:r>
      <w:r w:rsidR="00537046" w:rsidRPr="00D27596">
        <w:rPr>
          <w:rFonts w:cs="Calibri"/>
          <w:i/>
        </w:rPr>
        <w:t>βελτίωση</w:t>
      </w:r>
      <w:r w:rsidRPr="00D27596">
        <w:rPr>
          <w:rFonts w:cs="Calibri"/>
          <w:i/>
        </w:rPr>
        <w:t xml:space="preserve"> των περιθωρίων κέρδους και η ισχυρή κερδοφορία που επιτεύχθηκε κατά το πρώτο εξάμηνο του έτους επιβεβαιώνουν τη στρατηγική της </w:t>
      </w:r>
      <w:r w:rsidRPr="00D27596">
        <w:rPr>
          <w:rFonts w:cs="Calibri"/>
          <w:i/>
          <w:lang w:val="en-GB"/>
        </w:rPr>
        <w:t>Cenergy</w:t>
      </w:r>
      <w:r w:rsidRPr="00D27596">
        <w:rPr>
          <w:rFonts w:cs="Calibri"/>
          <w:i/>
        </w:rPr>
        <w:t xml:space="preserve"> </w:t>
      </w:r>
      <w:r w:rsidRPr="00D27596">
        <w:rPr>
          <w:rFonts w:cs="Calibri"/>
          <w:i/>
          <w:lang w:val="en-GB"/>
        </w:rPr>
        <w:t>Holdings</w:t>
      </w:r>
      <w:r w:rsidR="002A589F">
        <w:rPr>
          <w:rFonts w:cs="Calibri"/>
          <w:i/>
        </w:rPr>
        <w:t xml:space="preserve"> γύρω από τη </w:t>
      </w:r>
      <w:r w:rsidR="00537046" w:rsidRPr="00D27596">
        <w:rPr>
          <w:rFonts w:cs="Calibri"/>
          <w:i/>
        </w:rPr>
        <w:t>δημιουργία</w:t>
      </w:r>
      <w:r w:rsidRPr="00D27596">
        <w:rPr>
          <w:rFonts w:cs="Calibri"/>
          <w:i/>
        </w:rPr>
        <w:t xml:space="preserve"> αξία</w:t>
      </w:r>
      <w:r w:rsidR="00537046" w:rsidRPr="00D27596">
        <w:rPr>
          <w:rFonts w:cs="Calibri"/>
          <w:i/>
        </w:rPr>
        <w:t>ς</w:t>
      </w:r>
      <w:r w:rsidRPr="00D27596">
        <w:rPr>
          <w:rFonts w:cs="Calibri"/>
          <w:i/>
        </w:rPr>
        <w:t xml:space="preserve">. Τα περιθώρια κερδοφορίας του τομέα των </w:t>
      </w:r>
      <w:r w:rsidR="00150675" w:rsidRPr="00D27596">
        <w:rPr>
          <w:rFonts w:cs="Calibri"/>
          <w:i/>
        </w:rPr>
        <w:t>σωλήνων χάλυβα</w:t>
      </w:r>
      <w:r w:rsidRPr="00D27596">
        <w:rPr>
          <w:rFonts w:cs="Calibri"/>
          <w:i/>
        </w:rPr>
        <w:t xml:space="preserve"> αυξήθηκαν σημαντικά οδηγώντας τα περιθώρια κέρδους του Ομίλου σε </w:t>
      </w:r>
      <w:r w:rsidR="00442337" w:rsidRPr="00D27596">
        <w:rPr>
          <w:rFonts w:cs="Calibri"/>
          <w:i/>
        </w:rPr>
        <w:t xml:space="preserve">ιστορικά </w:t>
      </w:r>
      <w:r w:rsidR="002A589F" w:rsidRPr="00D27596">
        <w:rPr>
          <w:rFonts w:cs="Calibri"/>
          <w:i/>
        </w:rPr>
        <w:t xml:space="preserve">υψηλά </w:t>
      </w:r>
      <w:r w:rsidRPr="00D27596">
        <w:rPr>
          <w:rFonts w:cs="Calibri"/>
          <w:i/>
        </w:rPr>
        <w:t xml:space="preserve">επίπεδα. Ταυτόχρονα, ο τομέας των καλωδίων συνέχισε να επωφελείται από την επέκταση των δικτύων ηλεκτρικής ενέργειας και τη </w:t>
      </w:r>
      <w:r w:rsidR="00273B6B">
        <w:rPr>
          <w:rFonts w:cs="Calibri"/>
          <w:i/>
        </w:rPr>
        <w:t>συνεχή άνοδο</w:t>
      </w:r>
      <w:r w:rsidRPr="00D27596">
        <w:rPr>
          <w:rFonts w:cs="Calibri"/>
          <w:i/>
        </w:rPr>
        <w:t xml:space="preserve"> των έργων </w:t>
      </w:r>
      <w:r w:rsidR="00442337" w:rsidRPr="00D27596">
        <w:rPr>
          <w:rFonts w:cs="Calibri"/>
          <w:i/>
        </w:rPr>
        <w:t>Α</w:t>
      </w:r>
      <w:r w:rsidR="002A589F">
        <w:rPr>
          <w:rFonts w:cs="Calibri"/>
          <w:i/>
        </w:rPr>
        <w:t>ΠΕ πετυχαίνοντας,</w:t>
      </w:r>
      <w:r w:rsidRPr="00D27596">
        <w:rPr>
          <w:rFonts w:cs="Calibri"/>
          <w:i/>
        </w:rPr>
        <w:t xml:space="preserve"> για άλλη μια φορά, ισχυρές επιδόσεις. </w:t>
      </w:r>
    </w:p>
    <w:p w14:paraId="422BD04E" w14:textId="119E7764" w:rsidR="00EB1C3C" w:rsidRPr="002C6C13" w:rsidRDefault="00655502" w:rsidP="002A589F">
      <w:pPr>
        <w:spacing w:after="120" w:line="240" w:lineRule="auto"/>
        <w:jc w:val="both"/>
        <w:rPr>
          <w:rFonts w:cs="Calibri"/>
          <w:i/>
        </w:rPr>
      </w:pPr>
      <w:r w:rsidRPr="00D27596">
        <w:rPr>
          <w:rFonts w:cs="Calibri"/>
          <w:i/>
        </w:rPr>
        <w:t>Η</w:t>
      </w:r>
      <w:r w:rsidR="00EB1C3C">
        <w:rPr>
          <w:rFonts w:cs="Calibri"/>
          <w:i/>
        </w:rPr>
        <w:t xml:space="preserve"> </w:t>
      </w:r>
      <w:r w:rsidR="00D23D6F">
        <w:rPr>
          <w:rFonts w:cs="Calibri"/>
          <w:i/>
        </w:rPr>
        <w:t>επικαιροποιημένη</w:t>
      </w:r>
      <w:r w:rsidR="00EB1C3C">
        <w:rPr>
          <w:rFonts w:cs="Calibri"/>
          <w:i/>
        </w:rPr>
        <w:t xml:space="preserve"> </w:t>
      </w:r>
      <w:r w:rsidRPr="00D27596">
        <w:rPr>
          <w:rFonts w:cs="Calibri"/>
          <w:i/>
        </w:rPr>
        <w:t>εκτίμηση</w:t>
      </w:r>
      <w:r w:rsidR="00373D84" w:rsidRPr="00D27596">
        <w:rPr>
          <w:rFonts w:cs="Calibri"/>
          <w:i/>
        </w:rPr>
        <w:t xml:space="preserve"> για τα οικονομικά αποτελέσματα του</w:t>
      </w:r>
      <w:r w:rsidR="000C3E15" w:rsidRPr="00D27596">
        <w:rPr>
          <w:rFonts w:cs="Calibri"/>
          <w:i/>
        </w:rPr>
        <w:t xml:space="preserve"> 2024 </w:t>
      </w:r>
      <w:r w:rsidR="00373D84" w:rsidRPr="00D27596">
        <w:rPr>
          <w:rFonts w:cs="Calibri"/>
          <w:i/>
        </w:rPr>
        <w:t>πηγάζ</w:t>
      </w:r>
      <w:r w:rsidR="00B90D7B">
        <w:rPr>
          <w:rFonts w:cs="Calibri"/>
          <w:i/>
        </w:rPr>
        <w:t>ει</w:t>
      </w:r>
      <w:r w:rsidR="000C3E15" w:rsidRPr="00D27596">
        <w:rPr>
          <w:rFonts w:cs="Calibri"/>
          <w:i/>
        </w:rPr>
        <w:t xml:space="preserve"> από τα  ισχυρά αποτελέσματα του πρώτου εξαμήνου</w:t>
      </w:r>
      <w:r w:rsidR="002409D5" w:rsidRPr="00D27596">
        <w:rPr>
          <w:rFonts w:cs="Calibri"/>
          <w:i/>
        </w:rPr>
        <w:t xml:space="preserve">, </w:t>
      </w:r>
      <w:r w:rsidR="000C3E15" w:rsidRPr="00D27596">
        <w:rPr>
          <w:rFonts w:cs="Calibri"/>
          <w:i/>
        </w:rPr>
        <w:t>το αυξανόμενο ανεκτέλεστο υπόλοιπο</w:t>
      </w:r>
      <w:r w:rsidR="008D50A9">
        <w:rPr>
          <w:rFonts w:cs="Calibri"/>
          <w:i/>
        </w:rPr>
        <w:t>,</w:t>
      </w:r>
      <w:r w:rsidR="002409D5" w:rsidRPr="00D27596">
        <w:rPr>
          <w:rFonts w:cs="Calibri"/>
          <w:i/>
        </w:rPr>
        <w:t xml:space="preserve"> καθώς </w:t>
      </w:r>
      <w:r w:rsidR="00C3290F" w:rsidRPr="00D27596">
        <w:rPr>
          <w:rFonts w:cs="Calibri"/>
          <w:i/>
        </w:rPr>
        <w:t>και</w:t>
      </w:r>
      <w:r w:rsidR="000C3E15" w:rsidRPr="00D27596">
        <w:rPr>
          <w:rFonts w:cs="Calibri"/>
          <w:i/>
        </w:rPr>
        <w:t xml:space="preserve"> </w:t>
      </w:r>
      <w:r w:rsidR="00373D84" w:rsidRPr="00D27596">
        <w:rPr>
          <w:rFonts w:cs="Calibri"/>
          <w:i/>
        </w:rPr>
        <w:t xml:space="preserve">από </w:t>
      </w:r>
      <w:r w:rsidR="000C3E15" w:rsidRPr="00D27596">
        <w:rPr>
          <w:rFonts w:cs="Calibri"/>
          <w:i/>
        </w:rPr>
        <w:t xml:space="preserve">την </w:t>
      </w:r>
      <w:r w:rsidR="00FC2AFB" w:rsidRPr="00D27596">
        <w:rPr>
          <w:rFonts w:cs="Calibri"/>
          <w:i/>
        </w:rPr>
        <w:t>προσήλωσή</w:t>
      </w:r>
      <w:r w:rsidR="000C3E15" w:rsidRPr="00D27596">
        <w:rPr>
          <w:rFonts w:cs="Calibri"/>
          <w:i/>
        </w:rPr>
        <w:t xml:space="preserve"> μας στην επιτυχή </w:t>
      </w:r>
      <w:r w:rsidR="00F31274">
        <w:rPr>
          <w:rFonts w:cs="Calibri"/>
          <w:i/>
        </w:rPr>
        <w:t>εκτέλεση</w:t>
      </w:r>
      <w:r w:rsidR="000C3E15" w:rsidRPr="00D27596">
        <w:rPr>
          <w:rFonts w:cs="Calibri"/>
          <w:i/>
        </w:rPr>
        <w:t xml:space="preserve"> απαιτητικών ενεργειακών έργων για τη μεταφορά ενέργειας σε όλο τον</w:t>
      </w:r>
      <w:r w:rsidR="000C3E15" w:rsidRPr="000C3E15">
        <w:rPr>
          <w:rFonts w:cs="Calibri"/>
          <w:i/>
        </w:rPr>
        <w:t xml:space="preserve"> κόσμο</w:t>
      </w:r>
      <w:r w:rsidR="00DF75AE">
        <w:rPr>
          <w:rFonts w:cs="Calibri"/>
          <w:i/>
        </w:rPr>
        <w:t>.</w:t>
      </w:r>
    </w:p>
    <w:p w14:paraId="213F1276" w14:textId="36B59645" w:rsidR="00EB1C3C" w:rsidRPr="00EE2182" w:rsidRDefault="00EB1C3C" w:rsidP="002A589F">
      <w:pPr>
        <w:spacing w:after="120" w:line="240" w:lineRule="auto"/>
        <w:jc w:val="both"/>
        <w:rPr>
          <w:rFonts w:cs="Calibri"/>
          <w:i/>
        </w:rPr>
      </w:pPr>
      <w:r w:rsidRPr="00EB1C3C">
        <w:rPr>
          <w:rFonts w:cs="Calibri"/>
          <w:i/>
        </w:rPr>
        <w:t xml:space="preserve">Η </w:t>
      </w:r>
      <w:r w:rsidRPr="001414BC">
        <w:rPr>
          <w:rFonts w:cs="Calibri"/>
          <w:i/>
        </w:rPr>
        <w:t>Cenergy</w:t>
      </w:r>
      <w:r w:rsidRPr="00EB1C3C">
        <w:rPr>
          <w:rFonts w:cs="Calibri"/>
          <w:i/>
        </w:rPr>
        <w:t xml:space="preserve"> </w:t>
      </w:r>
      <w:r w:rsidRPr="001414BC">
        <w:rPr>
          <w:rFonts w:cs="Calibri"/>
          <w:i/>
        </w:rPr>
        <w:t>Holdings</w:t>
      </w:r>
      <w:r w:rsidRPr="00EB1C3C">
        <w:rPr>
          <w:rFonts w:cs="Calibri"/>
          <w:i/>
        </w:rPr>
        <w:t xml:space="preserve"> εισέρχεται πλέον σε μια νέα περίοδο ανάπτυξης. </w:t>
      </w:r>
      <w:r w:rsidR="002D476D">
        <w:rPr>
          <w:rFonts w:cs="Calibri"/>
          <w:i/>
        </w:rPr>
        <w:t xml:space="preserve">Οι </w:t>
      </w:r>
      <w:r w:rsidRPr="00EB1C3C">
        <w:rPr>
          <w:rFonts w:cs="Calibri"/>
          <w:i/>
        </w:rPr>
        <w:t>ισχυρ</w:t>
      </w:r>
      <w:r w:rsidR="002D476D">
        <w:rPr>
          <w:rFonts w:cs="Calibri"/>
          <w:i/>
        </w:rPr>
        <w:t>ές</w:t>
      </w:r>
      <w:r w:rsidRPr="00EB1C3C">
        <w:rPr>
          <w:rFonts w:cs="Calibri"/>
          <w:i/>
        </w:rPr>
        <w:t xml:space="preserve"> </w:t>
      </w:r>
      <w:r w:rsidR="00825D9A">
        <w:rPr>
          <w:rFonts w:cs="Calibri"/>
          <w:i/>
        </w:rPr>
        <w:t>επ</w:t>
      </w:r>
      <w:r w:rsidR="002D476D">
        <w:rPr>
          <w:rFonts w:cs="Calibri"/>
          <w:i/>
        </w:rPr>
        <w:t xml:space="preserve">ιδόσεις ολόκληρου </w:t>
      </w:r>
      <w:r w:rsidRPr="00EB1C3C">
        <w:rPr>
          <w:rFonts w:cs="Calibri"/>
          <w:i/>
        </w:rPr>
        <w:t xml:space="preserve">του Ομίλου </w:t>
      </w:r>
      <w:r w:rsidR="002D476D">
        <w:rPr>
          <w:rFonts w:cs="Calibri"/>
          <w:i/>
        </w:rPr>
        <w:t>τα</w:t>
      </w:r>
      <w:r>
        <w:rPr>
          <w:rFonts w:cs="Calibri"/>
          <w:i/>
        </w:rPr>
        <w:t xml:space="preserve"> τελευτα</w:t>
      </w:r>
      <w:r w:rsidR="00AE3E55">
        <w:rPr>
          <w:rFonts w:cs="Calibri"/>
          <w:i/>
        </w:rPr>
        <w:t>ία</w:t>
      </w:r>
      <w:r>
        <w:rPr>
          <w:rFonts w:cs="Calibri"/>
          <w:i/>
        </w:rPr>
        <w:t xml:space="preserve"> τρίμην</w:t>
      </w:r>
      <w:r w:rsidR="00AE3E55">
        <w:rPr>
          <w:rFonts w:cs="Calibri"/>
          <w:i/>
        </w:rPr>
        <w:t>α</w:t>
      </w:r>
      <w:r w:rsidRPr="00EB1C3C">
        <w:rPr>
          <w:rFonts w:cs="Calibri"/>
          <w:i/>
        </w:rPr>
        <w:t xml:space="preserve"> και η ελκυστική μεσοπρόθεσμη προοπτική, ειδικά στον τομέα των καλωδίων, υποστηρίζει τη</w:t>
      </w:r>
      <w:r w:rsidR="002D476D">
        <w:rPr>
          <w:rFonts w:cs="Calibri"/>
          <w:i/>
        </w:rPr>
        <w:t>ν πρόσφατη ανακοίνωσή μας να</w:t>
      </w:r>
      <w:r w:rsidRPr="00EB1C3C">
        <w:rPr>
          <w:rFonts w:cs="Calibri"/>
          <w:i/>
        </w:rPr>
        <w:t xml:space="preserve"> επιτ</w:t>
      </w:r>
      <w:r w:rsidR="002D476D">
        <w:rPr>
          <w:rFonts w:cs="Calibri"/>
          <w:i/>
        </w:rPr>
        <w:t xml:space="preserve">αχύνουμε </w:t>
      </w:r>
      <w:r w:rsidRPr="00EB1C3C">
        <w:rPr>
          <w:rFonts w:cs="Calibri"/>
          <w:i/>
        </w:rPr>
        <w:t>τη</w:t>
      </w:r>
      <w:r w:rsidR="002D476D">
        <w:rPr>
          <w:rFonts w:cs="Calibri"/>
          <w:i/>
        </w:rPr>
        <w:t>ν</w:t>
      </w:r>
      <w:r w:rsidRPr="00EB1C3C">
        <w:rPr>
          <w:rFonts w:cs="Calibri"/>
          <w:i/>
        </w:rPr>
        <w:t xml:space="preserve"> επέκταση της παραγωγικής ικανότητας στις ΗΠΑ</w:t>
      </w:r>
      <w:r w:rsidR="002D476D">
        <w:rPr>
          <w:rFonts w:cs="Calibri"/>
          <w:i/>
        </w:rPr>
        <w:t xml:space="preserve"> ταυτόχρονα με μια ενδεχόμενη αύξηση κεφαλαίου</w:t>
      </w:r>
      <w:r w:rsidRPr="00EB1C3C">
        <w:rPr>
          <w:rFonts w:cs="Calibri"/>
          <w:i/>
        </w:rPr>
        <w:t xml:space="preserve">. Η </w:t>
      </w:r>
      <w:r w:rsidR="002D476D">
        <w:rPr>
          <w:rFonts w:cs="Calibri"/>
          <w:i/>
        </w:rPr>
        <w:t xml:space="preserve">αμερικανική </w:t>
      </w:r>
      <w:r w:rsidRPr="00EB1C3C">
        <w:rPr>
          <w:rFonts w:cs="Calibri"/>
          <w:i/>
        </w:rPr>
        <w:t xml:space="preserve">αγορά </w:t>
      </w:r>
      <w:r w:rsidR="002D476D">
        <w:rPr>
          <w:rFonts w:cs="Calibri"/>
          <w:i/>
        </w:rPr>
        <w:t xml:space="preserve">είναι </w:t>
      </w:r>
      <w:r w:rsidRPr="00EB1C3C">
        <w:rPr>
          <w:rFonts w:cs="Calibri"/>
          <w:i/>
        </w:rPr>
        <w:t xml:space="preserve">μια μεγάλη </w:t>
      </w:r>
      <w:r w:rsidR="00AE3E55">
        <w:rPr>
          <w:rFonts w:cs="Calibri"/>
          <w:i/>
        </w:rPr>
        <w:t xml:space="preserve">και </w:t>
      </w:r>
      <w:r w:rsidR="002D476D">
        <w:rPr>
          <w:rFonts w:cs="Calibri"/>
          <w:i/>
        </w:rPr>
        <w:t xml:space="preserve">γρήγορα </w:t>
      </w:r>
      <w:r w:rsidRPr="00EB1C3C">
        <w:rPr>
          <w:rFonts w:cs="Calibri"/>
          <w:i/>
        </w:rPr>
        <w:t>αναπτυσσόμενη αγορά</w:t>
      </w:r>
      <w:r>
        <w:rPr>
          <w:rFonts w:cs="Calibri"/>
          <w:i/>
        </w:rPr>
        <w:t xml:space="preserve"> </w:t>
      </w:r>
      <w:r w:rsidRPr="00EB1C3C">
        <w:rPr>
          <w:rFonts w:cs="Calibri"/>
          <w:i/>
        </w:rPr>
        <w:t>με ελκυστικ</w:t>
      </w:r>
      <w:r>
        <w:rPr>
          <w:rFonts w:cs="Calibri"/>
          <w:i/>
        </w:rPr>
        <w:t>ά</w:t>
      </w:r>
      <w:r w:rsidRPr="00EB1C3C">
        <w:rPr>
          <w:rFonts w:cs="Calibri"/>
          <w:i/>
        </w:rPr>
        <w:t xml:space="preserve"> </w:t>
      </w:r>
      <w:r w:rsidR="00AE3E55">
        <w:rPr>
          <w:rFonts w:cs="Calibri"/>
          <w:i/>
        </w:rPr>
        <w:t xml:space="preserve">χαρακτηριστικά για </w:t>
      </w:r>
      <w:r w:rsidRPr="00EB1C3C">
        <w:rPr>
          <w:rFonts w:cs="Calibri"/>
          <w:i/>
        </w:rPr>
        <w:t>τον τομέα των καλωδίων, και η απόφαση για επέκταση στις ΗΠΑ αποτελεί μέρος της στρατηγικής του</w:t>
      </w:r>
      <w:r w:rsidR="00ED0004">
        <w:rPr>
          <w:rFonts w:cs="Calibri"/>
          <w:i/>
        </w:rPr>
        <w:t xml:space="preserve"> Ομίλου</w:t>
      </w:r>
      <w:r w:rsidRPr="00EB1C3C">
        <w:rPr>
          <w:rFonts w:cs="Calibri"/>
          <w:i/>
        </w:rPr>
        <w:t xml:space="preserve"> </w:t>
      </w:r>
      <w:r w:rsidR="00825D9A" w:rsidRPr="00D27596">
        <w:rPr>
          <w:rFonts w:cs="Calibri"/>
          <w:i/>
        </w:rPr>
        <w:t>για την επίτευξη κερδοφόρ</w:t>
      </w:r>
      <w:r w:rsidR="00825D9A">
        <w:rPr>
          <w:rFonts w:cs="Calibri"/>
          <w:i/>
        </w:rPr>
        <w:t>ας και</w:t>
      </w:r>
      <w:r w:rsidR="00825D9A" w:rsidRPr="00D27596">
        <w:rPr>
          <w:rFonts w:cs="Calibri"/>
          <w:i/>
        </w:rPr>
        <w:t xml:space="preserve"> βιώσιμης ανάπτυξης</w:t>
      </w:r>
      <w:r w:rsidR="00825D9A">
        <w:rPr>
          <w:rFonts w:cs="Calibri"/>
          <w:i/>
        </w:rPr>
        <w:t xml:space="preserve">, διατηρώντας την προσήλωση </w:t>
      </w:r>
      <w:r w:rsidR="00F11D4C">
        <w:rPr>
          <w:rFonts w:cs="Calibri"/>
          <w:i/>
        </w:rPr>
        <w:t xml:space="preserve">του </w:t>
      </w:r>
      <w:r w:rsidR="00825D9A" w:rsidRPr="00D27596">
        <w:rPr>
          <w:rFonts w:cs="Calibri"/>
          <w:i/>
        </w:rPr>
        <w:t>στη</w:t>
      </w:r>
      <w:r w:rsidR="002D476D">
        <w:rPr>
          <w:rFonts w:cs="Calibri"/>
          <w:i/>
        </w:rPr>
        <w:t xml:space="preserve">ν κερδοφορία </w:t>
      </w:r>
      <w:r w:rsidR="00825D9A" w:rsidRPr="00D27596">
        <w:rPr>
          <w:rFonts w:cs="Calibri"/>
          <w:i/>
        </w:rPr>
        <w:t>μέσα από το</w:t>
      </w:r>
      <w:r w:rsidR="002D476D">
        <w:rPr>
          <w:rFonts w:cs="Calibri"/>
          <w:i/>
        </w:rPr>
        <w:t>ν σαφή</w:t>
      </w:r>
      <w:r w:rsidR="00825D9A" w:rsidRPr="00D27596">
        <w:rPr>
          <w:rFonts w:cs="Calibri"/>
          <w:i/>
        </w:rPr>
        <w:t xml:space="preserve"> ρόλο </w:t>
      </w:r>
      <w:r w:rsidR="00825D9A">
        <w:rPr>
          <w:rFonts w:cs="Calibri"/>
          <w:i/>
        </w:rPr>
        <w:t xml:space="preserve">που διαθέτει </w:t>
      </w:r>
      <w:r w:rsidR="00825D9A" w:rsidRPr="00D27596">
        <w:rPr>
          <w:rFonts w:cs="Calibri"/>
          <w:i/>
        </w:rPr>
        <w:t>στο νέο παγκόσμιο ενεργειακό τοπίο.</w:t>
      </w:r>
      <w:r w:rsidR="00EE2182" w:rsidRPr="00EE2182">
        <w:rPr>
          <w:rFonts w:cs="Calibri"/>
          <w:i/>
        </w:rPr>
        <w:t>”</w:t>
      </w:r>
    </w:p>
    <w:p w14:paraId="5E63AC98" w14:textId="7F2A271D" w:rsidR="00DB7A95" w:rsidRPr="002D735A" w:rsidRDefault="004F233B" w:rsidP="006B321F">
      <w:pPr>
        <w:keepNext/>
        <w:keepLines/>
        <w:spacing w:after="120" w:line="240" w:lineRule="auto"/>
        <w:jc w:val="both"/>
        <w:outlineLvl w:val="1"/>
        <w:rPr>
          <w:rFonts w:eastAsia="SimSun" w:cs="Calibri"/>
          <w:b/>
          <w:bCs/>
          <w:color w:val="4F6228"/>
          <w:sz w:val="24"/>
          <w:szCs w:val="24"/>
        </w:rPr>
      </w:pPr>
      <w:r>
        <w:rPr>
          <w:rFonts w:eastAsia="SimSun" w:cs="Calibri"/>
          <w:b/>
          <w:bCs/>
          <w:color w:val="4F6228"/>
          <w:sz w:val="24"/>
          <w:szCs w:val="24"/>
        </w:rPr>
        <w:t>Επισκόπηση</w:t>
      </w:r>
    </w:p>
    <w:p w14:paraId="02DAAC3B" w14:textId="3304341C" w:rsidR="002D735A" w:rsidRPr="00352128" w:rsidRDefault="002D735A" w:rsidP="002D735A">
      <w:pPr>
        <w:spacing w:after="120" w:line="240" w:lineRule="auto"/>
        <w:jc w:val="both"/>
        <w:rPr>
          <w:rFonts w:cs="Calibri"/>
        </w:rPr>
      </w:pPr>
      <w:bookmarkStart w:id="4" w:name="_Hlk174363473"/>
      <w:bookmarkStart w:id="5" w:name="_Hlk160010989"/>
      <w:r w:rsidRPr="002D735A">
        <w:rPr>
          <w:rFonts w:cs="Calibri"/>
        </w:rPr>
        <w:t xml:space="preserve">Η </w:t>
      </w:r>
      <w:r w:rsidRPr="002D735A">
        <w:rPr>
          <w:rFonts w:cs="Calibri"/>
          <w:lang w:val="en-GB"/>
        </w:rPr>
        <w:t>Cenergy</w:t>
      </w:r>
      <w:r w:rsidRPr="002D735A">
        <w:rPr>
          <w:rFonts w:cs="Calibri"/>
        </w:rPr>
        <w:t xml:space="preserve"> </w:t>
      </w:r>
      <w:r w:rsidRPr="002D735A">
        <w:rPr>
          <w:rFonts w:cs="Calibri"/>
          <w:lang w:val="en-GB"/>
        </w:rPr>
        <w:t>Holdings</w:t>
      </w:r>
      <w:r w:rsidRPr="002D735A">
        <w:rPr>
          <w:rFonts w:cs="Calibri"/>
        </w:rPr>
        <w:t xml:space="preserve"> συνέχισε τις θετικές οικονομικές </w:t>
      </w:r>
      <w:r w:rsidR="002D476D">
        <w:rPr>
          <w:rFonts w:cs="Calibri"/>
        </w:rPr>
        <w:t xml:space="preserve">της </w:t>
      </w:r>
      <w:r w:rsidRPr="002D735A">
        <w:rPr>
          <w:rFonts w:cs="Calibri"/>
        </w:rPr>
        <w:t xml:space="preserve">επιδόσεις, </w:t>
      </w:r>
      <w:r w:rsidR="002D476D">
        <w:rPr>
          <w:rFonts w:cs="Calibri"/>
        </w:rPr>
        <w:t xml:space="preserve">με </w:t>
      </w:r>
      <w:r w:rsidR="00B90D7B" w:rsidRPr="002D735A">
        <w:rPr>
          <w:rFonts w:cs="Calibri"/>
        </w:rPr>
        <w:t xml:space="preserve">αύξηση 39% </w:t>
      </w:r>
      <w:r w:rsidR="00B90D7B">
        <w:rPr>
          <w:rFonts w:cs="Calibri"/>
        </w:rPr>
        <w:t>σε όρους</w:t>
      </w:r>
      <w:r w:rsidR="00B90D7B" w:rsidRPr="002D735A">
        <w:rPr>
          <w:rFonts w:cs="Calibri"/>
        </w:rPr>
        <w:t xml:space="preserve"> </w:t>
      </w:r>
      <w:r w:rsidR="00B90D7B">
        <w:rPr>
          <w:rFonts w:cs="Calibri"/>
        </w:rPr>
        <w:t>ανα</w:t>
      </w:r>
      <w:r w:rsidR="00B90D7B" w:rsidRPr="002D735A">
        <w:rPr>
          <w:rFonts w:cs="Calibri"/>
        </w:rPr>
        <w:t>προσαρμοσμένο</w:t>
      </w:r>
      <w:r w:rsidR="00B90D7B">
        <w:rPr>
          <w:rFonts w:cs="Calibri"/>
        </w:rPr>
        <w:t>υ</w:t>
      </w:r>
      <w:r w:rsidR="00B90D7B" w:rsidRPr="002D735A">
        <w:rPr>
          <w:rFonts w:cs="Calibri"/>
        </w:rPr>
        <w:t xml:space="preserve"> </w:t>
      </w:r>
      <w:r w:rsidR="00B90D7B" w:rsidRPr="002D735A">
        <w:rPr>
          <w:rFonts w:cs="Calibri"/>
          <w:lang w:val="en-GB"/>
        </w:rPr>
        <w:t>EBITDA</w:t>
      </w:r>
      <w:r w:rsidR="00B90D7B" w:rsidRPr="002D735A">
        <w:rPr>
          <w:rFonts w:cs="Calibri"/>
        </w:rPr>
        <w:t xml:space="preserve"> </w:t>
      </w:r>
      <w:r w:rsidR="00B90D7B">
        <w:rPr>
          <w:rFonts w:cs="Calibri"/>
        </w:rPr>
        <w:t xml:space="preserve">για </w:t>
      </w:r>
      <w:r w:rsidR="002647C1" w:rsidRPr="002D735A">
        <w:rPr>
          <w:rFonts w:cs="Calibri"/>
        </w:rPr>
        <w:t>το πρώτο εξάμηνο του 2024</w:t>
      </w:r>
      <w:r w:rsidRPr="002D735A">
        <w:rPr>
          <w:rFonts w:cs="Calibri"/>
        </w:rPr>
        <w:t xml:space="preserve">, χάρη στη συμβολή και των δύο τομέων. </w:t>
      </w:r>
      <w:r>
        <w:rPr>
          <w:rFonts w:cs="Calibri"/>
        </w:rPr>
        <w:t>Ο τομέας καλωδίων</w:t>
      </w:r>
      <w:r w:rsidRPr="002D735A">
        <w:rPr>
          <w:rFonts w:cs="Calibri"/>
        </w:rPr>
        <w:t xml:space="preserve"> αύξησ</w:t>
      </w:r>
      <w:r>
        <w:rPr>
          <w:rFonts w:cs="Calibri"/>
        </w:rPr>
        <w:t>ε</w:t>
      </w:r>
      <w:r w:rsidRPr="002D735A">
        <w:rPr>
          <w:rFonts w:cs="Calibri"/>
        </w:rPr>
        <w:t xml:space="preserve"> </w:t>
      </w:r>
      <w:r w:rsidR="002647C1">
        <w:rPr>
          <w:rFonts w:cs="Calibri"/>
        </w:rPr>
        <w:t>την κερδοφορία</w:t>
      </w:r>
      <w:r w:rsidRPr="002D735A">
        <w:rPr>
          <w:rFonts w:cs="Calibri"/>
        </w:rPr>
        <w:t xml:space="preserve"> του, καθώς συνέχισ</w:t>
      </w:r>
      <w:r>
        <w:rPr>
          <w:rFonts w:cs="Calibri"/>
        </w:rPr>
        <w:t>ε</w:t>
      </w:r>
      <w:r w:rsidRPr="002D735A">
        <w:rPr>
          <w:rFonts w:cs="Calibri"/>
        </w:rPr>
        <w:t xml:space="preserve"> να εκτελ</w:t>
      </w:r>
      <w:r>
        <w:rPr>
          <w:rFonts w:cs="Calibri"/>
        </w:rPr>
        <w:t>εί</w:t>
      </w:r>
      <w:r w:rsidRPr="002D735A">
        <w:rPr>
          <w:rFonts w:cs="Calibri"/>
        </w:rPr>
        <w:t xml:space="preserve"> με επιτυχία το</w:t>
      </w:r>
      <w:r>
        <w:rPr>
          <w:rFonts w:cs="Calibri"/>
        </w:rPr>
        <w:t xml:space="preserve"> ιστορικά </w:t>
      </w:r>
      <w:r w:rsidRPr="002D735A">
        <w:rPr>
          <w:rFonts w:cs="Calibri"/>
        </w:rPr>
        <w:t>υψηλό ανεκτέλεστο υπόλοιπο παραγγελιών, ενώ ο</w:t>
      </w:r>
      <w:r>
        <w:rPr>
          <w:rFonts w:cs="Calibri"/>
        </w:rPr>
        <w:t xml:space="preserve"> τομέας</w:t>
      </w:r>
      <w:r w:rsidRPr="002D735A">
        <w:rPr>
          <w:rFonts w:cs="Calibri"/>
        </w:rPr>
        <w:t xml:space="preserve"> </w:t>
      </w:r>
      <w:r w:rsidR="00150675">
        <w:rPr>
          <w:rFonts w:cs="Calibri"/>
        </w:rPr>
        <w:t>των σωλήνων χάλυβα</w:t>
      </w:r>
      <w:r w:rsidR="00B90D7B">
        <w:rPr>
          <w:rFonts w:cs="Calibri"/>
        </w:rPr>
        <w:t>,</w:t>
      </w:r>
      <w:r w:rsidRPr="002D735A">
        <w:rPr>
          <w:rFonts w:cs="Calibri"/>
        </w:rPr>
        <w:t xml:space="preserve"> </w:t>
      </w:r>
      <w:r w:rsidR="002647C1">
        <w:rPr>
          <w:rFonts w:cs="Calibri"/>
        </w:rPr>
        <w:t>στηριζόμενος</w:t>
      </w:r>
      <w:r w:rsidRPr="002D735A">
        <w:rPr>
          <w:rFonts w:cs="Calibri"/>
        </w:rPr>
        <w:t xml:space="preserve"> </w:t>
      </w:r>
      <w:r w:rsidR="002647C1">
        <w:rPr>
          <w:rFonts w:cs="Calibri"/>
        </w:rPr>
        <w:t>σ</w:t>
      </w:r>
      <w:r w:rsidRPr="002D735A">
        <w:rPr>
          <w:rFonts w:cs="Calibri"/>
        </w:rPr>
        <w:t xml:space="preserve">τα βελτιωμένα περιθώρια κέρδους </w:t>
      </w:r>
      <w:r w:rsidR="002647C1">
        <w:rPr>
          <w:rFonts w:cs="Calibri"/>
        </w:rPr>
        <w:t>λόγω</w:t>
      </w:r>
      <w:r w:rsidRPr="002D735A">
        <w:rPr>
          <w:rFonts w:cs="Calibri"/>
        </w:rPr>
        <w:t xml:space="preserve"> </w:t>
      </w:r>
      <w:r w:rsidR="002647C1">
        <w:rPr>
          <w:rFonts w:cs="Calibri"/>
        </w:rPr>
        <w:t>του μείγματος των</w:t>
      </w:r>
      <w:r w:rsidRPr="002D735A">
        <w:rPr>
          <w:rFonts w:cs="Calibri"/>
        </w:rPr>
        <w:t xml:space="preserve"> έργων που εκτελέστηκαν κατά το πρώτο εξάμηνο</w:t>
      </w:r>
      <w:r w:rsidR="00B90D7B">
        <w:rPr>
          <w:rFonts w:cs="Calibri"/>
        </w:rPr>
        <w:t>,</w:t>
      </w:r>
      <w:r w:rsidR="002647C1">
        <w:rPr>
          <w:rFonts w:cs="Calibri"/>
        </w:rPr>
        <w:t xml:space="preserve"> πέτυχε</w:t>
      </w:r>
      <w:r w:rsidR="002647C1" w:rsidRPr="002D735A">
        <w:rPr>
          <w:rFonts w:cs="Calibri"/>
        </w:rPr>
        <w:t xml:space="preserve"> </w:t>
      </w:r>
      <w:r w:rsidR="00B90D7B">
        <w:rPr>
          <w:rFonts w:cs="Calibri"/>
        </w:rPr>
        <w:t xml:space="preserve">σημαντικά </w:t>
      </w:r>
      <w:r w:rsidR="002647C1" w:rsidRPr="002D735A">
        <w:rPr>
          <w:rFonts w:cs="Calibri"/>
        </w:rPr>
        <w:t xml:space="preserve">ισχυρότερες επιδόσεις </w:t>
      </w:r>
      <w:r w:rsidR="002647C1">
        <w:rPr>
          <w:rFonts w:cs="Calibri"/>
        </w:rPr>
        <w:t xml:space="preserve">έναντι του </w:t>
      </w:r>
      <w:r w:rsidR="002647C1" w:rsidRPr="002D735A">
        <w:rPr>
          <w:rFonts w:cs="Calibri"/>
        </w:rPr>
        <w:t>2023</w:t>
      </w:r>
      <w:r w:rsidR="002647C1">
        <w:rPr>
          <w:rFonts w:cs="Calibri"/>
        </w:rPr>
        <w:t>.</w:t>
      </w:r>
    </w:p>
    <w:p w14:paraId="1A0E081C" w14:textId="5AEA908A" w:rsidR="002D735A" w:rsidRPr="002D735A" w:rsidRDefault="002D735A" w:rsidP="002D735A">
      <w:pPr>
        <w:spacing w:after="120" w:line="240" w:lineRule="auto"/>
        <w:jc w:val="both"/>
        <w:rPr>
          <w:rFonts w:cs="Calibri"/>
        </w:rPr>
      </w:pPr>
      <w:r w:rsidRPr="002D735A">
        <w:rPr>
          <w:rFonts w:cs="Calibri"/>
        </w:rPr>
        <w:t xml:space="preserve">Η ζήτηση για τα προϊόντα καλωδίων παρέμεινε ικανοποιητική </w:t>
      </w:r>
      <w:r w:rsidR="00F31274">
        <w:rPr>
          <w:rFonts w:cs="Calibri"/>
        </w:rPr>
        <w:t>συμβάλλοντας στη στήριξη των τιμών</w:t>
      </w:r>
      <w:r w:rsidRPr="002D735A">
        <w:rPr>
          <w:rFonts w:cs="Calibri"/>
        </w:rPr>
        <w:t xml:space="preserve">, ενώ τα ενεργειακά έργα και στους δύο τομείς εκτελέστηκαν ομαλά, αποτελώντας τον κύριο πυλώνα της αύξησης της κερδοφορίας του </w:t>
      </w:r>
      <w:r w:rsidR="00A94AE5">
        <w:rPr>
          <w:rFonts w:cs="Calibri"/>
        </w:rPr>
        <w:t>Ο</w:t>
      </w:r>
      <w:r w:rsidRPr="002D735A">
        <w:rPr>
          <w:rFonts w:cs="Calibri"/>
        </w:rPr>
        <w:t>μίλου.</w:t>
      </w:r>
      <w:r w:rsidR="002647C1">
        <w:rPr>
          <w:rFonts w:cs="Calibri"/>
        </w:rPr>
        <w:t xml:space="preserve"> </w:t>
      </w:r>
      <w:r w:rsidRPr="002D735A">
        <w:rPr>
          <w:rFonts w:cs="Calibri"/>
        </w:rPr>
        <w:t>Η λειτουργική κερδοφορία (</w:t>
      </w:r>
      <w:r>
        <w:rPr>
          <w:rFonts w:cs="Calibri"/>
        </w:rPr>
        <w:t>ανα</w:t>
      </w:r>
      <w:r w:rsidRPr="002D735A">
        <w:rPr>
          <w:rFonts w:cs="Calibri"/>
        </w:rPr>
        <w:t xml:space="preserve">προσαρμοσμένο </w:t>
      </w:r>
      <w:r w:rsidRPr="002D735A">
        <w:rPr>
          <w:rFonts w:cs="Calibri"/>
          <w:lang w:val="en-GB"/>
        </w:rPr>
        <w:t>EBITDA</w:t>
      </w:r>
      <w:r w:rsidRPr="002D735A">
        <w:rPr>
          <w:rFonts w:cs="Calibri"/>
        </w:rPr>
        <w:t>) ανήλθε σε 119,</w:t>
      </w:r>
      <w:r w:rsidR="0032678C">
        <w:rPr>
          <w:rFonts w:cs="Calibri"/>
        </w:rPr>
        <w:t>5</w:t>
      </w:r>
      <w:r w:rsidRPr="002D735A">
        <w:rPr>
          <w:rFonts w:cs="Calibri"/>
        </w:rPr>
        <w:t xml:space="preserve"> εκατ. ευρώ, ενώ τα κέρδη μετά από φόρους </w:t>
      </w:r>
      <w:r w:rsidR="002D476D">
        <w:rPr>
          <w:rFonts w:cs="Calibri"/>
        </w:rPr>
        <w:t>έφτασαν τα</w:t>
      </w:r>
      <w:r w:rsidRPr="002D735A">
        <w:rPr>
          <w:rFonts w:cs="Calibri"/>
        </w:rPr>
        <w:t xml:space="preserve"> 56,</w:t>
      </w:r>
      <w:r w:rsidR="0032678C">
        <w:rPr>
          <w:rFonts w:cs="Calibri"/>
        </w:rPr>
        <w:t>5</w:t>
      </w:r>
      <w:r w:rsidRPr="002D735A">
        <w:rPr>
          <w:rFonts w:cs="Calibri"/>
        </w:rPr>
        <w:t xml:space="preserve"> εκατ. ευρώ.</w:t>
      </w:r>
    </w:p>
    <w:p w14:paraId="5328E4C5" w14:textId="08F3CF11" w:rsidR="00EE79A9" w:rsidRPr="00DC6011" w:rsidRDefault="002D735A" w:rsidP="002D735A">
      <w:pPr>
        <w:spacing w:after="120" w:line="240" w:lineRule="auto"/>
        <w:jc w:val="both"/>
        <w:rPr>
          <w:rFonts w:cs="Calibri"/>
        </w:rPr>
      </w:pPr>
      <w:r w:rsidRPr="002D735A">
        <w:rPr>
          <w:rFonts w:cs="Calibri"/>
        </w:rPr>
        <w:t xml:space="preserve">Τόσο η </w:t>
      </w:r>
      <w:r w:rsidR="002647C1">
        <w:rPr>
          <w:rFonts w:cs="Calibri"/>
          <w:lang w:val="en-US"/>
        </w:rPr>
        <w:t>Hellenic</w:t>
      </w:r>
      <w:r w:rsidR="002647C1" w:rsidRPr="002647C1">
        <w:rPr>
          <w:rFonts w:cs="Calibri"/>
        </w:rPr>
        <w:t xml:space="preserve"> </w:t>
      </w:r>
      <w:r w:rsidR="002647C1">
        <w:rPr>
          <w:rFonts w:cs="Calibri"/>
          <w:lang w:val="en-US"/>
        </w:rPr>
        <w:t>Cables</w:t>
      </w:r>
      <w:r w:rsidRPr="002D735A">
        <w:rPr>
          <w:rFonts w:cs="Calibri"/>
        </w:rPr>
        <w:t xml:space="preserve"> όσο και η Σωληνουργεία Κορίνθου διατήρησαν την ισχυρή εμπορική τους </w:t>
      </w:r>
      <w:r w:rsidR="002D476D">
        <w:rPr>
          <w:rFonts w:cs="Calibri"/>
        </w:rPr>
        <w:t>παρουσία</w:t>
      </w:r>
      <w:r w:rsidRPr="002D735A">
        <w:rPr>
          <w:rFonts w:cs="Calibri"/>
        </w:rPr>
        <w:t>, εξασφαλίζοντας νέες αναθέσεις έργων που αύξησαν το συνολικό ανεκτέλεστο υπόλοιπο</w:t>
      </w:r>
      <w:r w:rsidR="002647C1">
        <w:rPr>
          <w:rFonts w:cs="Calibri"/>
        </w:rPr>
        <w:t xml:space="preserve"> παραγγελιών</w:t>
      </w:r>
      <w:r w:rsidRPr="002D735A">
        <w:rPr>
          <w:rFonts w:cs="Calibri"/>
        </w:rPr>
        <w:t xml:space="preserve"> </w:t>
      </w:r>
      <w:r w:rsidR="002D476D" w:rsidRPr="002D735A">
        <w:rPr>
          <w:rFonts w:cs="Calibri"/>
        </w:rPr>
        <w:t>σ</w:t>
      </w:r>
      <w:r w:rsidR="002D476D">
        <w:rPr>
          <w:rFonts w:cs="Calibri"/>
        </w:rPr>
        <w:t>τα</w:t>
      </w:r>
      <w:r w:rsidR="002D476D" w:rsidRPr="002D735A">
        <w:rPr>
          <w:rFonts w:cs="Calibri"/>
        </w:rPr>
        <w:t xml:space="preserve"> 3,38 δισ. ευρώ </w:t>
      </w:r>
      <w:r w:rsidRPr="002D735A">
        <w:rPr>
          <w:rFonts w:cs="Calibri"/>
        </w:rPr>
        <w:t xml:space="preserve">στις 30 Ιουνίου 2024 (31 Δεκεμβρίου 2023: 3,15 δισ. ευρώ).  Οι πρόσφατες αναθέσεις </w:t>
      </w:r>
      <w:r w:rsidRPr="0068082D">
        <w:rPr>
          <w:rFonts w:cs="Calibri"/>
        </w:rPr>
        <w:t>περιλαμβάνουν το έργο 118</w:t>
      </w:r>
      <w:r w:rsidR="002D476D">
        <w:rPr>
          <w:rFonts w:cs="Calibri"/>
        </w:rPr>
        <w:t> </w:t>
      </w:r>
      <w:r w:rsidRPr="0068082D">
        <w:rPr>
          <w:rFonts w:cs="Calibri"/>
        </w:rPr>
        <w:t>χλμ</w:t>
      </w:r>
      <w:r w:rsidR="002D476D">
        <w:rPr>
          <w:rFonts w:cs="Calibri"/>
        </w:rPr>
        <w:t>.</w:t>
      </w:r>
      <w:r w:rsidRPr="0068082D">
        <w:rPr>
          <w:rFonts w:cs="Calibri"/>
        </w:rPr>
        <w:t xml:space="preserve"> </w:t>
      </w:r>
      <w:r w:rsidR="007320FA">
        <w:rPr>
          <w:rFonts w:cs="Calibri"/>
        </w:rPr>
        <w:t xml:space="preserve">για το κοίτασμα </w:t>
      </w:r>
      <w:r w:rsidR="00995EF5" w:rsidRPr="00995EF5">
        <w:rPr>
          <w:rFonts w:cs="Calibri"/>
        </w:rPr>
        <w:t xml:space="preserve">βαθέων υδάτων </w:t>
      </w:r>
      <w:r w:rsidRPr="0068082D">
        <w:rPr>
          <w:rFonts w:cs="Calibri"/>
          <w:lang w:val="en-GB"/>
        </w:rPr>
        <w:t>Trion</w:t>
      </w:r>
      <w:r w:rsidRPr="0068082D">
        <w:rPr>
          <w:rFonts w:cs="Calibri"/>
        </w:rPr>
        <w:t xml:space="preserve"> στον </w:t>
      </w:r>
      <w:r w:rsidR="007320FA">
        <w:rPr>
          <w:rFonts w:cs="Calibri"/>
        </w:rPr>
        <w:t>κ</w:t>
      </w:r>
      <w:r w:rsidRPr="0068082D">
        <w:rPr>
          <w:rFonts w:cs="Calibri"/>
        </w:rPr>
        <w:t xml:space="preserve">όλπο του Μεξικού από την </w:t>
      </w:r>
      <w:r w:rsidRPr="00373D84">
        <w:rPr>
          <w:rFonts w:cs="Calibri"/>
          <w:lang w:val="en-GB"/>
        </w:rPr>
        <w:t>Woodside</w:t>
      </w:r>
      <w:r w:rsidRPr="00373D84">
        <w:rPr>
          <w:rFonts w:cs="Calibri"/>
        </w:rPr>
        <w:t xml:space="preserve">, </w:t>
      </w:r>
      <w:r w:rsidR="00373D84" w:rsidRPr="00373D84">
        <w:rPr>
          <w:rFonts w:cs="Calibri"/>
        </w:rPr>
        <w:t xml:space="preserve">τη </w:t>
      </w:r>
      <w:r w:rsidRPr="00373D84">
        <w:rPr>
          <w:rFonts w:cs="Calibri"/>
        </w:rPr>
        <w:t>σύμβαση</w:t>
      </w:r>
      <w:r w:rsidRPr="0068082D">
        <w:rPr>
          <w:rFonts w:cs="Calibri"/>
        </w:rPr>
        <w:t xml:space="preserve"> </w:t>
      </w:r>
      <w:r w:rsidR="00373D84">
        <w:rPr>
          <w:rFonts w:cs="Calibri"/>
        </w:rPr>
        <w:t xml:space="preserve">περίπου </w:t>
      </w:r>
      <w:r w:rsidRPr="0068082D">
        <w:rPr>
          <w:rFonts w:cs="Calibri"/>
        </w:rPr>
        <w:t>200</w:t>
      </w:r>
      <w:r w:rsidR="002D476D">
        <w:rPr>
          <w:rFonts w:cs="Calibri"/>
        </w:rPr>
        <w:t> </w:t>
      </w:r>
      <w:r w:rsidRPr="0068082D">
        <w:rPr>
          <w:rFonts w:cs="Calibri"/>
        </w:rPr>
        <w:t xml:space="preserve">εκατ. ευρώ με την </w:t>
      </w:r>
      <w:r w:rsidRPr="0068082D">
        <w:rPr>
          <w:rFonts w:cs="Calibri"/>
          <w:lang w:val="en-GB"/>
        </w:rPr>
        <w:t>Elia</w:t>
      </w:r>
      <w:r w:rsidRPr="0068082D">
        <w:rPr>
          <w:rFonts w:cs="Calibri"/>
        </w:rPr>
        <w:t xml:space="preserve"> </w:t>
      </w:r>
      <w:r w:rsidR="00703514">
        <w:rPr>
          <w:rFonts w:cs="Calibri"/>
        </w:rPr>
        <w:t xml:space="preserve">για </w:t>
      </w:r>
      <w:r w:rsidR="00703514" w:rsidRPr="00703514">
        <w:rPr>
          <w:rFonts w:cs="Calibri"/>
        </w:rPr>
        <w:t>υποβρύχιο σ</w:t>
      </w:r>
      <w:r w:rsidR="00703514">
        <w:rPr>
          <w:rFonts w:cs="Calibri"/>
        </w:rPr>
        <w:t>ύστημα</w:t>
      </w:r>
      <w:r w:rsidR="00703514" w:rsidRPr="00703514">
        <w:rPr>
          <w:rFonts w:cs="Calibri"/>
        </w:rPr>
        <w:t xml:space="preserve"> τριών </w:t>
      </w:r>
      <w:r w:rsidR="00703514" w:rsidRPr="00AA24A8">
        <w:rPr>
          <w:rFonts w:cs="Calibri"/>
          <w:lang w:val="en-GB"/>
        </w:rPr>
        <w:t>export</w:t>
      </w:r>
      <w:r w:rsidR="00703514" w:rsidRPr="00703514">
        <w:rPr>
          <w:rFonts w:cs="Calibri"/>
        </w:rPr>
        <w:t xml:space="preserve"> καλωδίων </w:t>
      </w:r>
      <w:r w:rsidRPr="0068082D">
        <w:rPr>
          <w:rFonts w:cs="Calibri"/>
        </w:rPr>
        <w:t>220</w:t>
      </w:r>
      <w:r w:rsidRPr="0068082D">
        <w:rPr>
          <w:rFonts w:cs="Calibri"/>
          <w:lang w:val="en-GB"/>
        </w:rPr>
        <w:t>kV</w:t>
      </w:r>
      <w:r w:rsidRPr="0068082D">
        <w:rPr>
          <w:rFonts w:cs="Calibri"/>
        </w:rPr>
        <w:t xml:space="preserve"> συνολικού μήκους 165</w:t>
      </w:r>
      <w:r w:rsidR="002D476D">
        <w:rPr>
          <w:rFonts w:cs="Calibri"/>
        </w:rPr>
        <w:t> </w:t>
      </w:r>
      <w:r w:rsidR="007320FA">
        <w:rPr>
          <w:rFonts w:cs="Calibri"/>
        </w:rPr>
        <w:t>χ</w:t>
      </w:r>
      <w:r w:rsidR="002D476D">
        <w:rPr>
          <w:rFonts w:cs="Calibri"/>
        </w:rPr>
        <w:t>λμ.</w:t>
      </w:r>
      <w:r w:rsidRPr="0068082D">
        <w:rPr>
          <w:rFonts w:cs="Calibri"/>
        </w:rPr>
        <w:t xml:space="preserve"> για τη διασύνδεση της περιοχής του αιολικού πάρκου </w:t>
      </w:r>
      <w:r w:rsidRPr="0068082D">
        <w:rPr>
          <w:rFonts w:cs="Calibri"/>
          <w:lang w:val="en-GB"/>
        </w:rPr>
        <w:t>Princess</w:t>
      </w:r>
      <w:r w:rsidRPr="0068082D">
        <w:rPr>
          <w:rFonts w:cs="Calibri"/>
        </w:rPr>
        <w:t xml:space="preserve"> </w:t>
      </w:r>
      <w:r w:rsidRPr="0068082D">
        <w:rPr>
          <w:rFonts w:cs="Calibri"/>
          <w:lang w:val="en-GB"/>
        </w:rPr>
        <w:t>Elisabeth</w:t>
      </w:r>
      <w:r w:rsidRPr="0068082D">
        <w:rPr>
          <w:rFonts w:cs="Calibri"/>
        </w:rPr>
        <w:t xml:space="preserve"> στο Βέλγιο, </w:t>
      </w:r>
      <w:r w:rsidR="00D755C9">
        <w:rPr>
          <w:rFonts w:cs="Calibri"/>
        </w:rPr>
        <w:t>τ</w:t>
      </w:r>
      <w:r w:rsidRPr="0068082D">
        <w:rPr>
          <w:rFonts w:cs="Calibri"/>
        </w:rPr>
        <w:t>ο</w:t>
      </w:r>
      <w:r w:rsidR="00D755C9">
        <w:rPr>
          <w:rFonts w:cs="Calibri"/>
        </w:rPr>
        <w:t>ν</w:t>
      </w:r>
      <w:r w:rsidRPr="0068082D">
        <w:rPr>
          <w:rFonts w:cs="Calibri"/>
        </w:rPr>
        <w:t xml:space="preserve"> αγωγό </w:t>
      </w:r>
      <w:r w:rsidRPr="0068082D">
        <w:rPr>
          <w:rFonts w:cs="Calibri"/>
          <w:lang w:val="en-GB"/>
        </w:rPr>
        <w:t>Utsira</w:t>
      </w:r>
      <w:r w:rsidRPr="0068082D">
        <w:rPr>
          <w:rFonts w:cs="Calibri"/>
        </w:rPr>
        <w:t xml:space="preserve"> </w:t>
      </w:r>
      <w:r w:rsidRPr="0068082D">
        <w:rPr>
          <w:rFonts w:cs="Calibri"/>
          <w:lang w:val="en-GB"/>
        </w:rPr>
        <w:t>High</w:t>
      </w:r>
      <w:r w:rsidRPr="0068082D">
        <w:rPr>
          <w:rFonts w:cs="Calibri"/>
        </w:rPr>
        <w:t xml:space="preserve"> στη Βόρεια Θάλασσα από την </w:t>
      </w:r>
      <w:r w:rsidRPr="0068082D">
        <w:rPr>
          <w:rFonts w:cs="Calibri"/>
          <w:lang w:val="en-GB"/>
        </w:rPr>
        <w:t>TechnipFMC</w:t>
      </w:r>
      <w:r w:rsidRPr="0068082D">
        <w:rPr>
          <w:rFonts w:cs="Calibri"/>
        </w:rPr>
        <w:t xml:space="preserve"> και δύο συμβάσεις με την </w:t>
      </w:r>
      <w:r w:rsidRPr="0068082D">
        <w:rPr>
          <w:rFonts w:cs="Calibri"/>
          <w:lang w:val="en-GB"/>
        </w:rPr>
        <w:t>Amprion</w:t>
      </w:r>
      <w:r w:rsidRPr="0068082D">
        <w:rPr>
          <w:rFonts w:cs="Calibri"/>
        </w:rPr>
        <w:t xml:space="preserve"> </w:t>
      </w:r>
      <w:r w:rsidRPr="0068082D">
        <w:rPr>
          <w:rFonts w:cs="Calibri"/>
          <w:lang w:val="en-GB"/>
        </w:rPr>
        <w:t>GmbH</w:t>
      </w:r>
      <w:r w:rsidRPr="0068082D">
        <w:rPr>
          <w:rFonts w:cs="Calibri"/>
        </w:rPr>
        <w:t xml:space="preserve"> για έργα </w:t>
      </w:r>
      <w:r w:rsidR="002D476D">
        <w:rPr>
          <w:rFonts w:cs="Calibri"/>
        </w:rPr>
        <w:t xml:space="preserve">μεταφοράς ενέργειας </w:t>
      </w:r>
      <w:r w:rsidR="002D476D" w:rsidRPr="0068082D">
        <w:rPr>
          <w:rFonts w:cs="Calibri"/>
        </w:rPr>
        <w:t>στη Γερμανία</w:t>
      </w:r>
      <w:r w:rsidR="002D476D">
        <w:rPr>
          <w:rFonts w:cs="Calibri"/>
        </w:rPr>
        <w:t xml:space="preserve"> «</w:t>
      </w:r>
      <w:r w:rsidR="00A94AE5" w:rsidRPr="0068082D">
        <w:rPr>
          <w:rFonts w:cs="Calibri"/>
        </w:rPr>
        <w:t>με το κλειδί στο χέρι</w:t>
      </w:r>
      <w:r w:rsidR="002D476D">
        <w:rPr>
          <w:rFonts w:cs="Calibri"/>
        </w:rPr>
        <w:t>»</w:t>
      </w:r>
      <w:r w:rsidRPr="0068082D">
        <w:rPr>
          <w:rFonts w:cs="Calibri"/>
        </w:rPr>
        <w:t>.</w:t>
      </w:r>
    </w:p>
    <w:p w14:paraId="0A7AD814" w14:textId="10EE6E37" w:rsidR="00D61A18" w:rsidRDefault="00817A00" w:rsidP="002D735A">
      <w:pPr>
        <w:spacing w:after="120" w:line="240" w:lineRule="auto"/>
        <w:jc w:val="both"/>
        <w:rPr>
          <w:rFonts w:cs="Calibri"/>
        </w:rPr>
      </w:pPr>
      <w:r w:rsidRPr="00D1045C">
        <w:rPr>
          <w:rFonts w:cs="Calibri"/>
        </w:rPr>
        <w:t xml:space="preserve">Στον </w:t>
      </w:r>
      <w:r w:rsidRPr="00D1045C">
        <w:rPr>
          <w:rFonts w:cs="Calibri"/>
          <w:b/>
          <w:bCs/>
        </w:rPr>
        <w:t>τομέα καλωδίων</w:t>
      </w:r>
      <w:r w:rsidRPr="00D1045C">
        <w:rPr>
          <w:rFonts w:cs="Calibri"/>
        </w:rPr>
        <w:t>, η αποτελεσματική εκτέλεση υποβρυχίων</w:t>
      </w:r>
      <w:r>
        <w:rPr>
          <w:rFonts w:cs="Calibri"/>
        </w:rPr>
        <w:t xml:space="preserve"> και χερσαίων</w:t>
      </w:r>
      <w:r w:rsidRPr="00D1045C">
        <w:rPr>
          <w:rFonts w:cs="Calibri"/>
        </w:rPr>
        <w:t xml:space="preserve"> έργων υψηλών προδιαγραφών σε συνδυασμό με την υψηλή αξιοποίηση όλων των γραμμών παραγωγής ήταν οι κύριοι λόγοι της ανάπτυξης και των καλών επιδόσεων</w:t>
      </w:r>
      <w:r w:rsidR="00D61A18" w:rsidRPr="00D61A18">
        <w:rPr>
          <w:rFonts w:cs="Calibri"/>
        </w:rPr>
        <w:t>.</w:t>
      </w:r>
      <w:r w:rsidR="004C16E4">
        <w:rPr>
          <w:rFonts w:cs="Calibri"/>
        </w:rPr>
        <w:t xml:space="preserve"> </w:t>
      </w:r>
      <w:r>
        <w:rPr>
          <w:rFonts w:cs="Calibri"/>
        </w:rPr>
        <w:t>Οι πωλήσεις</w:t>
      </w:r>
      <w:r w:rsidR="00D61A18" w:rsidRPr="00D61A18">
        <w:rPr>
          <w:rFonts w:cs="Calibri"/>
        </w:rPr>
        <w:t xml:space="preserve"> </w:t>
      </w:r>
      <w:r w:rsidR="00F54DD0">
        <w:rPr>
          <w:rFonts w:cs="Calibri"/>
        </w:rPr>
        <w:t>έργ</w:t>
      </w:r>
      <w:r w:rsidR="00972986">
        <w:rPr>
          <w:rFonts w:cs="Calibri"/>
        </w:rPr>
        <w:t>ων καλωδίων</w:t>
      </w:r>
      <w:r w:rsidR="00D61A18" w:rsidRPr="00D61A18">
        <w:rPr>
          <w:rFonts w:cs="Calibri"/>
        </w:rPr>
        <w:t xml:space="preserve"> αυξήθηκαν κατά 70%, </w:t>
      </w:r>
      <w:r w:rsidR="00C9374E">
        <w:rPr>
          <w:rFonts w:cs="Calibri"/>
        </w:rPr>
        <w:t>απηχώντας</w:t>
      </w:r>
      <w:r w:rsidR="00C9374E" w:rsidRPr="00D61A18">
        <w:rPr>
          <w:rFonts w:cs="Calibri"/>
        </w:rPr>
        <w:t xml:space="preserve"> </w:t>
      </w:r>
      <w:r w:rsidR="00D61A18" w:rsidRPr="00D61A18">
        <w:rPr>
          <w:rFonts w:cs="Calibri"/>
        </w:rPr>
        <w:t xml:space="preserve">τη </w:t>
      </w:r>
      <w:r w:rsidR="00C9374E">
        <w:rPr>
          <w:rFonts w:cs="Calibri"/>
        </w:rPr>
        <w:t>σ</w:t>
      </w:r>
      <w:r w:rsidR="00D61A18" w:rsidRPr="00D61A18">
        <w:rPr>
          <w:rFonts w:cs="Calibri"/>
        </w:rPr>
        <w:t>τρατηγική</w:t>
      </w:r>
      <w:r w:rsidR="00C9374E">
        <w:rPr>
          <w:rFonts w:cs="Calibri"/>
        </w:rPr>
        <w:t xml:space="preserve"> του Ομίλου για </w:t>
      </w:r>
      <w:r w:rsidR="00065F6A" w:rsidRPr="00817A00">
        <w:t xml:space="preserve">αύξηση προστιθέμενης αξίας </w:t>
      </w:r>
      <w:r w:rsidR="00C9374E">
        <w:t>αντί</w:t>
      </w:r>
      <w:r w:rsidR="00065F6A" w:rsidRPr="00817A00">
        <w:t xml:space="preserve"> όγκου πωλήσεων</w:t>
      </w:r>
      <w:r w:rsidR="00D61A18" w:rsidRPr="00D61A18">
        <w:rPr>
          <w:rFonts w:cs="Calibri"/>
        </w:rPr>
        <w:t>. Ταυτόχρονα, τα καλώδια χαμηλής και μέσης τάσης διατήρησαν τα περιθώρι</w:t>
      </w:r>
      <w:r w:rsidR="00C9374E">
        <w:rPr>
          <w:rFonts w:cs="Calibri"/>
        </w:rPr>
        <w:t>ά</w:t>
      </w:r>
      <w:r w:rsidR="00D61A18" w:rsidRPr="00D61A18">
        <w:rPr>
          <w:rFonts w:cs="Calibri"/>
        </w:rPr>
        <w:t xml:space="preserve"> </w:t>
      </w:r>
      <w:r w:rsidR="0073263F">
        <w:rPr>
          <w:rFonts w:cs="Calibri"/>
        </w:rPr>
        <w:t xml:space="preserve">τους </w:t>
      </w:r>
      <w:r w:rsidR="00D61A18" w:rsidRPr="00D61A18">
        <w:rPr>
          <w:rFonts w:cs="Calibri"/>
        </w:rPr>
        <w:t>στα επίπεδα του 2023.</w:t>
      </w:r>
      <w:r w:rsidR="0073263F">
        <w:rPr>
          <w:rFonts w:cs="Calibri"/>
        </w:rPr>
        <w:t xml:space="preserve"> </w:t>
      </w:r>
      <w:r w:rsidR="00C9374E">
        <w:rPr>
          <w:rFonts w:cs="Calibri"/>
        </w:rPr>
        <w:t xml:space="preserve"> Όλα τ</w:t>
      </w:r>
      <w:r w:rsidR="00D61A18" w:rsidRPr="00D61A18">
        <w:rPr>
          <w:rFonts w:cs="Calibri"/>
        </w:rPr>
        <w:t xml:space="preserve">α παραπάνω είχαν ως αποτέλεσμα τη σημαντική βελτίωση </w:t>
      </w:r>
      <w:r w:rsidR="00C9374E">
        <w:rPr>
          <w:rFonts w:cs="Calibri"/>
        </w:rPr>
        <w:t xml:space="preserve">της λειτουργικής κερδοφορίας </w:t>
      </w:r>
      <w:r w:rsidR="00D61A18" w:rsidRPr="00D61A18">
        <w:rPr>
          <w:rFonts w:cs="Calibri"/>
        </w:rPr>
        <w:t xml:space="preserve">(+33,5% σε ετήσια βάση) </w:t>
      </w:r>
      <w:r w:rsidR="00C9374E">
        <w:rPr>
          <w:rFonts w:cs="Calibri"/>
        </w:rPr>
        <w:t xml:space="preserve">που </w:t>
      </w:r>
      <w:r w:rsidR="0073263F">
        <w:rPr>
          <w:rFonts w:cs="Calibri"/>
        </w:rPr>
        <w:t>ανήλθε</w:t>
      </w:r>
      <w:r w:rsidR="00D61A18" w:rsidRPr="00D61A18">
        <w:rPr>
          <w:rFonts w:cs="Calibri"/>
        </w:rPr>
        <w:t xml:space="preserve"> </w:t>
      </w:r>
      <w:r w:rsidR="00972986">
        <w:rPr>
          <w:rFonts w:cs="Calibri"/>
        </w:rPr>
        <w:t xml:space="preserve">σε </w:t>
      </w:r>
      <w:r w:rsidR="00D61A18" w:rsidRPr="00D61A18">
        <w:rPr>
          <w:rFonts w:cs="Calibri"/>
        </w:rPr>
        <w:t xml:space="preserve">79,4 εκατ. ευρώ. Αρκετές νέες αναθέσεις, τόσο για </w:t>
      </w:r>
      <w:r w:rsidR="0073263F">
        <w:rPr>
          <w:rFonts w:cs="Calibri"/>
        </w:rPr>
        <w:t>υποβρύχια</w:t>
      </w:r>
      <w:r w:rsidR="00D61A18" w:rsidRPr="00D61A18">
        <w:rPr>
          <w:rFonts w:cs="Calibri"/>
        </w:rPr>
        <w:t xml:space="preserve"> όσο και για χερσαία καλώδια, </w:t>
      </w:r>
      <w:r w:rsidR="0073263F">
        <w:rPr>
          <w:rFonts w:cs="Calibri"/>
        </w:rPr>
        <w:t>ενίσχυσαν</w:t>
      </w:r>
      <w:r w:rsidR="00D61A18" w:rsidRPr="00D61A18">
        <w:rPr>
          <w:rFonts w:cs="Calibri"/>
        </w:rPr>
        <w:t xml:space="preserve"> περαιτέρω το ανεκτέλεστο υπόλοιπο</w:t>
      </w:r>
      <w:r w:rsidR="0073263F">
        <w:rPr>
          <w:rFonts w:cs="Calibri"/>
        </w:rPr>
        <w:t xml:space="preserve"> παραγγελιών</w:t>
      </w:r>
      <w:r w:rsidR="00D61A18" w:rsidRPr="00D61A18">
        <w:rPr>
          <w:rFonts w:cs="Calibri"/>
        </w:rPr>
        <w:t xml:space="preserve"> του τομέα</w:t>
      </w:r>
      <w:r w:rsidR="00972986">
        <w:rPr>
          <w:rFonts w:cs="Calibri"/>
        </w:rPr>
        <w:t>,</w:t>
      </w:r>
      <w:r w:rsidR="00D61A18" w:rsidRPr="00D61A18">
        <w:rPr>
          <w:rFonts w:cs="Calibri"/>
        </w:rPr>
        <w:t xml:space="preserve"> </w:t>
      </w:r>
      <w:r w:rsidR="00C9374E">
        <w:rPr>
          <w:rFonts w:cs="Calibri"/>
        </w:rPr>
        <w:t xml:space="preserve">που έφτασε </w:t>
      </w:r>
      <w:r w:rsidR="00D61A18" w:rsidRPr="00D61A18">
        <w:rPr>
          <w:rFonts w:cs="Calibri"/>
        </w:rPr>
        <w:t>νέ</w:t>
      </w:r>
      <w:r w:rsidR="0073263F">
        <w:rPr>
          <w:rFonts w:cs="Calibri"/>
        </w:rPr>
        <w:t>α ιστορικά υψηλά επίπεδα</w:t>
      </w:r>
      <w:r w:rsidR="00C9374E">
        <w:rPr>
          <w:rFonts w:cs="Calibri"/>
        </w:rPr>
        <w:t>, στα</w:t>
      </w:r>
      <w:r w:rsidR="00D61A18" w:rsidRPr="00D61A18">
        <w:rPr>
          <w:rFonts w:cs="Calibri"/>
        </w:rPr>
        <w:t xml:space="preserve"> 2,82</w:t>
      </w:r>
      <w:r w:rsidR="00C9374E">
        <w:rPr>
          <w:rFonts w:cs="Calibri"/>
        </w:rPr>
        <w:t> </w:t>
      </w:r>
      <w:r w:rsidR="00D61A18" w:rsidRPr="00D61A18">
        <w:rPr>
          <w:rFonts w:cs="Calibri"/>
        </w:rPr>
        <w:t>δισ.</w:t>
      </w:r>
      <w:r w:rsidR="00C9374E">
        <w:rPr>
          <w:rFonts w:cs="Calibri"/>
        </w:rPr>
        <w:t> </w:t>
      </w:r>
      <w:r w:rsidR="00D61A18" w:rsidRPr="00D61A18">
        <w:rPr>
          <w:rFonts w:cs="Calibri"/>
        </w:rPr>
        <w:t xml:space="preserve">ευρώ. </w:t>
      </w:r>
      <w:r w:rsidR="0073263F">
        <w:rPr>
          <w:rFonts w:cs="Calibri"/>
        </w:rPr>
        <w:t>Η σταθερή ροή</w:t>
      </w:r>
      <w:r w:rsidR="00D61A18" w:rsidRPr="00D61A18">
        <w:rPr>
          <w:rFonts w:cs="Calibri"/>
        </w:rPr>
        <w:t xml:space="preserve"> έργων </w:t>
      </w:r>
      <w:r w:rsidR="0073263F">
        <w:rPr>
          <w:rFonts w:cs="Calibri"/>
        </w:rPr>
        <w:t>αποτυπώνει</w:t>
      </w:r>
      <w:r w:rsidR="00D61A18" w:rsidRPr="00D61A18">
        <w:rPr>
          <w:rFonts w:cs="Calibri"/>
        </w:rPr>
        <w:t xml:space="preserve"> τον καθοριστικό ρόλο </w:t>
      </w:r>
      <w:r w:rsidR="00F54DD0">
        <w:rPr>
          <w:rFonts w:cs="Calibri"/>
        </w:rPr>
        <w:t xml:space="preserve">της </w:t>
      </w:r>
      <w:r w:rsidR="0073263F">
        <w:rPr>
          <w:rFonts w:cs="Calibri"/>
          <w:lang w:val="en-US"/>
        </w:rPr>
        <w:t>Hellenic</w:t>
      </w:r>
      <w:r w:rsidR="0073263F" w:rsidRPr="0073263F">
        <w:rPr>
          <w:rFonts w:cs="Calibri"/>
        </w:rPr>
        <w:t xml:space="preserve"> </w:t>
      </w:r>
      <w:r w:rsidR="0073263F">
        <w:rPr>
          <w:rFonts w:cs="Calibri"/>
          <w:lang w:val="en-US"/>
        </w:rPr>
        <w:t>Cables</w:t>
      </w:r>
      <w:r w:rsidR="00D61A18" w:rsidRPr="00D61A18">
        <w:rPr>
          <w:rFonts w:cs="Calibri"/>
        </w:rPr>
        <w:t xml:space="preserve"> στην ταχέως αναπτυσσόμενη αγορά ενεργειακής μετάβασης και </w:t>
      </w:r>
      <w:r w:rsidR="00FC4DF7">
        <w:rPr>
          <w:rFonts w:cs="Calibri"/>
        </w:rPr>
        <w:t>τροφοδοτεί</w:t>
      </w:r>
      <w:r w:rsidR="00D61A18" w:rsidRPr="00D61A18">
        <w:rPr>
          <w:rFonts w:cs="Calibri"/>
        </w:rPr>
        <w:t xml:space="preserve"> </w:t>
      </w:r>
      <w:r w:rsidR="00F54DD0">
        <w:rPr>
          <w:rFonts w:cs="Calibri"/>
        </w:rPr>
        <w:t xml:space="preserve">τα </w:t>
      </w:r>
      <w:r w:rsidR="00D61A18" w:rsidRPr="00D61A18">
        <w:rPr>
          <w:rFonts w:cs="Calibri"/>
        </w:rPr>
        <w:t>σχέδια</w:t>
      </w:r>
      <w:r w:rsidR="00D57B9E">
        <w:rPr>
          <w:rFonts w:cs="Calibri"/>
        </w:rPr>
        <w:t xml:space="preserve"> για</w:t>
      </w:r>
      <w:r w:rsidR="00D61A18" w:rsidRPr="00D61A18">
        <w:rPr>
          <w:rFonts w:cs="Calibri"/>
        </w:rPr>
        <w:t xml:space="preserve"> περαιτέρω επέκταση</w:t>
      </w:r>
      <w:r w:rsidR="00D57B9E">
        <w:rPr>
          <w:rFonts w:cs="Calibri"/>
        </w:rPr>
        <w:t xml:space="preserve"> με σκοπό </w:t>
      </w:r>
      <w:r w:rsidR="00D61A18" w:rsidRPr="00D61A18">
        <w:rPr>
          <w:rFonts w:cs="Calibri"/>
        </w:rPr>
        <w:t>την εξυπηρέτηση</w:t>
      </w:r>
      <w:r w:rsidR="0073263F">
        <w:rPr>
          <w:rFonts w:cs="Calibri"/>
        </w:rPr>
        <w:t xml:space="preserve"> της αγοράς</w:t>
      </w:r>
      <w:r w:rsidR="008D50A9">
        <w:rPr>
          <w:rFonts w:cs="Calibri"/>
        </w:rPr>
        <w:t>,</w:t>
      </w:r>
      <w:r w:rsidR="00D61A18" w:rsidRPr="00D61A18">
        <w:rPr>
          <w:rFonts w:cs="Calibri"/>
        </w:rPr>
        <w:t xml:space="preserve"> τόσο των </w:t>
      </w:r>
      <w:r w:rsidR="0073263F">
        <w:rPr>
          <w:rFonts w:cs="Calibri"/>
        </w:rPr>
        <w:t>υποβρυχίων</w:t>
      </w:r>
      <w:r w:rsidR="008D50A9">
        <w:rPr>
          <w:rFonts w:cs="Calibri"/>
        </w:rPr>
        <w:t>,</w:t>
      </w:r>
      <w:r w:rsidR="00D61A18" w:rsidRPr="00D61A18">
        <w:rPr>
          <w:rFonts w:cs="Calibri"/>
        </w:rPr>
        <w:t xml:space="preserve"> όσο και των χερσαίων καλωδίων. </w:t>
      </w:r>
      <w:r w:rsidR="00FC4DF7">
        <w:rPr>
          <w:rFonts w:cs="Calibri"/>
        </w:rPr>
        <w:t>Στο πλαίσιο αυτό</w:t>
      </w:r>
      <w:r w:rsidR="00D61A18" w:rsidRPr="00D61A18">
        <w:rPr>
          <w:rFonts w:cs="Calibri"/>
        </w:rPr>
        <w:t xml:space="preserve">, ο τομέας </w:t>
      </w:r>
      <w:r w:rsidR="009D58A2">
        <w:rPr>
          <w:rFonts w:cs="Calibri"/>
        </w:rPr>
        <w:t xml:space="preserve">πραγματοποίησε </w:t>
      </w:r>
      <w:r w:rsidR="009D58A2" w:rsidRPr="00D61A18">
        <w:rPr>
          <w:rFonts w:cs="Calibri"/>
        </w:rPr>
        <w:t>το πρώτο εξάμηνο του 2024</w:t>
      </w:r>
      <w:r w:rsidR="009D58A2">
        <w:rPr>
          <w:rFonts w:cs="Calibri"/>
        </w:rPr>
        <w:t xml:space="preserve"> </w:t>
      </w:r>
      <w:r w:rsidR="00D61A18" w:rsidRPr="00D61A18">
        <w:rPr>
          <w:rFonts w:cs="Calibri"/>
        </w:rPr>
        <w:t xml:space="preserve">συνολικές κεφαλαιουχικές δαπάνες ύψους 105,2 εκατ. ευρώ </w:t>
      </w:r>
      <w:r w:rsidR="00C9374E">
        <w:rPr>
          <w:rFonts w:cs="Calibri"/>
        </w:rPr>
        <w:t xml:space="preserve">που </w:t>
      </w:r>
      <w:r w:rsidR="009D58A2">
        <w:rPr>
          <w:rFonts w:cs="Calibri"/>
        </w:rPr>
        <w:t>αφορούσ</w:t>
      </w:r>
      <w:r w:rsidR="00FC4DF7">
        <w:rPr>
          <w:rFonts w:cs="Calibri"/>
        </w:rPr>
        <w:t>α</w:t>
      </w:r>
      <w:r w:rsidR="009D58A2">
        <w:rPr>
          <w:rFonts w:cs="Calibri"/>
        </w:rPr>
        <w:t>ν</w:t>
      </w:r>
      <w:r w:rsidR="00D61A18" w:rsidRPr="00D61A18">
        <w:rPr>
          <w:rFonts w:cs="Calibri"/>
        </w:rPr>
        <w:t xml:space="preserve"> τη</w:t>
      </w:r>
      <w:r w:rsidR="009D58A2">
        <w:rPr>
          <w:rFonts w:cs="Calibri"/>
        </w:rPr>
        <w:t>ν</w:t>
      </w:r>
      <w:r w:rsidR="00D61A18" w:rsidRPr="00D61A18">
        <w:rPr>
          <w:rFonts w:cs="Calibri"/>
        </w:rPr>
        <w:t xml:space="preserve"> επέκταση του εργοστασίου υπ</w:t>
      </w:r>
      <w:r w:rsidR="00D57B9E">
        <w:rPr>
          <w:rFonts w:cs="Calibri"/>
        </w:rPr>
        <w:t>οβρύχιων</w:t>
      </w:r>
      <w:r w:rsidR="00D61A18" w:rsidRPr="00D61A18">
        <w:rPr>
          <w:rFonts w:cs="Calibri"/>
        </w:rPr>
        <w:t xml:space="preserve"> καλωδίων στην Κόρινθο</w:t>
      </w:r>
      <w:r w:rsidR="00C9374E">
        <w:rPr>
          <w:rFonts w:cs="Calibri"/>
        </w:rPr>
        <w:t xml:space="preserve"> και των </w:t>
      </w:r>
      <w:r w:rsidR="00D61A18" w:rsidRPr="00D61A18">
        <w:rPr>
          <w:rFonts w:cs="Calibri"/>
        </w:rPr>
        <w:t xml:space="preserve">εργοστασίων χερσαίων καλωδίων στη Θήβα και </w:t>
      </w:r>
      <w:r w:rsidR="009D58A2">
        <w:rPr>
          <w:rFonts w:cs="Calibri"/>
        </w:rPr>
        <w:t>σ</w:t>
      </w:r>
      <w:r w:rsidR="00D61A18" w:rsidRPr="00D61A18">
        <w:rPr>
          <w:rFonts w:cs="Calibri"/>
        </w:rPr>
        <w:t>τον Ελ</w:t>
      </w:r>
      <w:r w:rsidR="0068082D">
        <w:rPr>
          <w:rFonts w:cs="Calibri"/>
        </w:rPr>
        <w:t>ε</w:t>
      </w:r>
      <w:r w:rsidR="00D61A18" w:rsidRPr="00D61A18">
        <w:rPr>
          <w:rFonts w:cs="Calibri"/>
        </w:rPr>
        <w:t>ώνα</w:t>
      </w:r>
      <w:r w:rsidR="00C9374E">
        <w:rPr>
          <w:rFonts w:cs="Calibri"/>
        </w:rPr>
        <w:t>,</w:t>
      </w:r>
      <w:r w:rsidR="00D61A18" w:rsidRPr="00D61A18">
        <w:rPr>
          <w:rFonts w:cs="Calibri"/>
        </w:rPr>
        <w:t xml:space="preserve"> </w:t>
      </w:r>
      <w:r w:rsidR="00FC4DF7">
        <w:rPr>
          <w:rFonts w:cs="Calibri"/>
        </w:rPr>
        <w:t xml:space="preserve">καθώς </w:t>
      </w:r>
      <w:r w:rsidR="00D61A18" w:rsidRPr="00D61A18">
        <w:rPr>
          <w:rFonts w:cs="Calibri"/>
        </w:rPr>
        <w:t xml:space="preserve">και </w:t>
      </w:r>
      <w:r w:rsidR="009D58A2">
        <w:rPr>
          <w:rFonts w:cs="Calibri"/>
        </w:rPr>
        <w:t>τη</w:t>
      </w:r>
      <w:r w:rsidR="00D61A18" w:rsidRPr="00D61A18">
        <w:rPr>
          <w:rFonts w:cs="Calibri"/>
        </w:rPr>
        <w:t xml:space="preserve"> νέα παραγωγική μονάδα στη Βαλτιμόρη του Μέριλαντ.</w:t>
      </w:r>
    </w:p>
    <w:p w14:paraId="6BD5B2B4" w14:textId="7C74C674" w:rsidR="00D61A18" w:rsidRDefault="00D61A18" w:rsidP="00152120">
      <w:pPr>
        <w:spacing w:after="120" w:line="240" w:lineRule="auto"/>
        <w:jc w:val="both"/>
        <w:rPr>
          <w:rFonts w:cs="Calibri"/>
        </w:rPr>
      </w:pPr>
      <w:r w:rsidRPr="00D61A18">
        <w:rPr>
          <w:rFonts w:cs="Calibri"/>
        </w:rPr>
        <w:t xml:space="preserve">Στον </w:t>
      </w:r>
      <w:r w:rsidRPr="0032678C">
        <w:rPr>
          <w:rFonts w:cs="Calibri"/>
          <w:b/>
          <w:bCs/>
        </w:rPr>
        <w:t xml:space="preserve">τομέα των </w:t>
      </w:r>
      <w:r w:rsidR="00150675" w:rsidRPr="0032678C">
        <w:rPr>
          <w:rFonts w:cs="Calibri"/>
          <w:b/>
          <w:bCs/>
        </w:rPr>
        <w:t>σωλήνων χάλυβα</w:t>
      </w:r>
      <w:r w:rsidRPr="00D61A18">
        <w:rPr>
          <w:rFonts w:cs="Calibri"/>
        </w:rPr>
        <w:t xml:space="preserve">, το </w:t>
      </w:r>
      <w:r w:rsidR="0066547F">
        <w:rPr>
          <w:rFonts w:cs="Calibri"/>
        </w:rPr>
        <w:t xml:space="preserve">πρώτο εξάμηνο του </w:t>
      </w:r>
      <w:r w:rsidRPr="00D61A18">
        <w:rPr>
          <w:rFonts w:cs="Calibri"/>
        </w:rPr>
        <w:t>2024 ξεκίνησε δυναμικά</w:t>
      </w:r>
      <w:r w:rsidR="00152120">
        <w:rPr>
          <w:rFonts w:cs="Calibri"/>
        </w:rPr>
        <w:t>, συνεχίζοντας τις ισχυρές επιδόσεις του 2023</w:t>
      </w:r>
      <w:r w:rsidRPr="00D61A18">
        <w:rPr>
          <w:rFonts w:cs="Calibri"/>
        </w:rPr>
        <w:t xml:space="preserve">.  </w:t>
      </w:r>
      <w:r w:rsidR="00152120">
        <w:rPr>
          <w:rFonts w:cs="Calibri"/>
        </w:rPr>
        <w:t xml:space="preserve">Παρά το γεγονός ότι </w:t>
      </w:r>
      <w:r w:rsidRPr="00D61A18">
        <w:rPr>
          <w:rFonts w:cs="Calibri"/>
        </w:rPr>
        <w:t>ο</w:t>
      </w:r>
      <w:r w:rsidR="0066547F">
        <w:rPr>
          <w:rFonts w:cs="Calibri"/>
        </w:rPr>
        <w:t xml:space="preserve">ι πωλήσεις </w:t>
      </w:r>
      <w:r w:rsidRPr="00D61A18">
        <w:rPr>
          <w:rFonts w:cs="Calibri"/>
        </w:rPr>
        <w:t>ήταν ελαφρώς χαμηλότερ</w:t>
      </w:r>
      <w:r w:rsidR="0066547F">
        <w:rPr>
          <w:rFonts w:cs="Calibri"/>
        </w:rPr>
        <w:t>ες</w:t>
      </w:r>
      <w:r w:rsidRPr="00D61A18">
        <w:rPr>
          <w:rFonts w:cs="Calibri"/>
        </w:rPr>
        <w:t xml:space="preserve"> (252 εκατ. ευρώ) </w:t>
      </w:r>
      <w:r w:rsidR="00152120">
        <w:rPr>
          <w:rFonts w:cs="Calibri"/>
        </w:rPr>
        <w:t>συγκριτικά</w:t>
      </w:r>
      <w:r w:rsidRPr="00D61A18">
        <w:rPr>
          <w:rFonts w:cs="Calibri"/>
        </w:rPr>
        <w:t xml:space="preserve"> με </w:t>
      </w:r>
      <w:r w:rsidR="002D70DA">
        <w:rPr>
          <w:rFonts w:cs="Calibri"/>
        </w:rPr>
        <w:t xml:space="preserve">τις πωλήσεις </w:t>
      </w:r>
      <w:r w:rsidR="002D70DA" w:rsidRPr="00D61A18">
        <w:rPr>
          <w:rFonts w:cs="Calibri"/>
        </w:rPr>
        <w:t>του πρώτου εξαμήνου του 2023</w:t>
      </w:r>
      <w:r w:rsidRPr="00D61A18">
        <w:rPr>
          <w:rFonts w:cs="Calibri"/>
        </w:rPr>
        <w:t xml:space="preserve">, </w:t>
      </w:r>
      <w:r w:rsidR="005E44A2">
        <w:rPr>
          <w:rFonts w:cs="Calibri"/>
        </w:rPr>
        <w:t>η λειτουργική κερδοφορία</w:t>
      </w:r>
      <w:r w:rsidRPr="00D61A18">
        <w:rPr>
          <w:rFonts w:cs="Calibri"/>
        </w:rPr>
        <w:t xml:space="preserve"> (</w:t>
      </w:r>
      <w:r w:rsidR="0068082D">
        <w:rPr>
          <w:rFonts w:cs="Calibri"/>
        </w:rPr>
        <w:t xml:space="preserve">αναπροσαρμοσμένο </w:t>
      </w:r>
      <w:r w:rsidR="0068082D">
        <w:rPr>
          <w:rFonts w:cs="Calibri"/>
          <w:lang w:val="en-US"/>
        </w:rPr>
        <w:t>EBITDA</w:t>
      </w:r>
      <w:r w:rsidRPr="00D61A18">
        <w:rPr>
          <w:rFonts w:cs="Calibri"/>
        </w:rPr>
        <w:t xml:space="preserve">) </w:t>
      </w:r>
      <w:r w:rsidR="00152120">
        <w:rPr>
          <w:rFonts w:cs="Calibri"/>
        </w:rPr>
        <w:t>αυξήθηκ</w:t>
      </w:r>
      <w:r w:rsidR="005E44A2">
        <w:rPr>
          <w:rFonts w:cs="Calibri"/>
        </w:rPr>
        <w:t>ε</w:t>
      </w:r>
      <w:r w:rsidR="00152120">
        <w:rPr>
          <w:rFonts w:cs="Calibri"/>
        </w:rPr>
        <w:t xml:space="preserve"> και </w:t>
      </w:r>
      <w:r w:rsidR="005E44A2">
        <w:rPr>
          <w:rFonts w:cs="Calibri"/>
        </w:rPr>
        <w:t>διαμορφώθηκε</w:t>
      </w:r>
      <w:r w:rsidR="00152120">
        <w:rPr>
          <w:rFonts w:cs="Calibri"/>
        </w:rPr>
        <w:t xml:space="preserve"> σε </w:t>
      </w:r>
      <w:r w:rsidRPr="00D61A18">
        <w:rPr>
          <w:rFonts w:cs="Calibri"/>
        </w:rPr>
        <w:t>4</w:t>
      </w:r>
      <w:r w:rsidR="0032678C">
        <w:rPr>
          <w:rFonts w:cs="Calibri"/>
        </w:rPr>
        <w:t>0</w:t>
      </w:r>
      <w:r w:rsidRPr="00D61A18">
        <w:rPr>
          <w:rFonts w:cs="Calibri"/>
        </w:rPr>
        <w:t>,</w:t>
      </w:r>
      <w:r w:rsidR="0032678C">
        <w:rPr>
          <w:rFonts w:cs="Calibri"/>
        </w:rPr>
        <w:t>6</w:t>
      </w:r>
      <w:r w:rsidRPr="00D61A18">
        <w:rPr>
          <w:rFonts w:cs="Calibri"/>
        </w:rPr>
        <w:t xml:space="preserve"> εκατ. ευρώ (+5</w:t>
      </w:r>
      <w:r w:rsidR="0032678C">
        <w:rPr>
          <w:rFonts w:cs="Calibri"/>
        </w:rPr>
        <w:t>0</w:t>
      </w:r>
      <w:r w:rsidRPr="00D61A18">
        <w:rPr>
          <w:rFonts w:cs="Calibri"/>
        </w:rPr>
        <w:t>,</w:t>
      </w:r>
      <w:r w:rsidR="0032678C">
        <w:rPr>
          <w:rFonts w:cs="Calibri"/>
        </w:rPr>
        <w:t>1</w:t>
      </w:r>
      <w:r w:rsidRPr="00D61A18">
        <w:rPr>
          <w:rFonts w:cs="Calibri"/>
        </w:rPr>
        <w:t>% σε ετήσια βάση).</w:t>
      </w:r>
      <w:r w:rsidR="00152120">
        <w:rPr>
          <w:rFonts w:cs="Calibri"/>
        </w:rPr>
        <w:t xml:space="preserve"> </w:t>
      </w:r>
      <w:r w:rsidR="00152120" w:rsidRPr="00152120">
        <w:rPr>
          <w:rFonts w:cs="Calibri"/>
        </w:rPr>
        <w:t xml:space="preserve">Η κερδοφορία αυτή ήταν αποτέλεσμα </w:t>
      </w:r>
      <w:r w:rsidR="00152120">
        <w:rPr>
          <w:rFonts w:cs="Calibri"/>
        </w:rPr>
        <w:t xml:space="preserve">των υψηλότερων περιθωρίων κέρδους και </w:t>
      </w:r>
      <w:r w:rsidR="00152120" w:rsidRPr="00152120">
        <w:rPr>
          <w:rFonts w:cs="Calibri"/>
        </w:rPr>
        <w:t>της υψηλής αξιοποίησης της παραγωγικής δυναμικότητας.</w:t>
      </w:r>
      <w:r w:rsidRPr="00D61A18">
        <w:rPr>
          <w:rFonts w:cs="Calibri"/>
        </w:rPr>
        <w:t xml:space="preserve"> Καθ' όλη τη διάρκεια του πρώτου εξαμήνου, </w:t>
      </w:r>
      <w:r w:rsidR="00150675">
        <w:rPr>
          <w:rFonts w:cs="Calibri"/>
        </w:rPr>
        <w:t>ο τομέας σωλήνων χάλυβα</w:t>
      </w:r>
      <w:r w:rsidRPr="00D61A18">
        <w:rPr>
          <w:rFonts w:cs="Calibri"/>
        </w:rPr>
        <w:t xml:space="preserve"> επικεντρώθηκ</w:t>
      </w:r>
      <w:r w:rsidR="00150675">
        <w:rPr>
          <w:rFonts w:cs="Calibri"/>
        </w:rPr>
        <w:t>ε</w:t>
      </w:r>
      <w:r w:rsidRPr="00D61A18">
        <w:rPr>
          <w:rFonts w:cs="Calibri"/>
        </w:rPr>
        <w:t xml:space="preserve"> στην επιτυχή </w:t>
      </w:r>
      <w:r w:rsidR="00BE431C" w:rsidRPr="00444B05">
        <w:rPr>
          <w:rFonts w:cs="Calibri"/>
        </w:rPr>
        <w:t>εκτέλεση</w:t>
      </w:r>
      <w:r w:rsidRPr="00D61A18">
        <w:rPr>
          <w:rFonts w:cs="Calibri"/>
        </w:rPr>
        <w:t xml:space="preserve"> ιδιαίτερα απαιτητικών </w:t>
      </w:r>
      <w:r w:rsidRPr="002D70DA">
        <w:rPr>
          <w:rFonts w:cs="Calibri"/>
        </w:rPr>
        <w:t xml:space="preserve">έργων, όπως ο </w:t>
      </w:r>
      <w:r w:rsidR="002D70DA" w:rsidRPr="002D70DA">
        <w:rPr>
          <w:rFonts w:cs="Calibri"/>
        </w:rPr>
        <w:t xml:space="preserve">υποθαλάσσιος </w:t>
      </w:r>
      <w:r w:rsidRPr="002D70DA">
        <w:rPr>
          <w:rFonts w:cs="Calibri"/>
        </w:rPr>
        <w:t>αγωγός</w:t>
      </w:r>
      <w:r w:rsidR="001E157B">
        <w:rPr>
          <w:rFonts w:cs="Calibri"/>
        </w:rPr>
        <w:t xml:space="preserve"> </w:t>
      </w:r>
      <w:r w:rsidR="001E157B" w:rsidRPr="002D70DA">
        <w:rPr>
          <w:rFonts w:cs="Calibri"/>
        </w:rPr>
        <w:t>τη</w:t>
      </w:r>
      <w:r w:rsidR="001E157B">
        <w:rPr>
          <w:rFonts w:cs="Calibri"/>
        </w:rPr>
        <w:t>ς</w:t>
      </w:r>
      <w:r w:rsidR="001E157B" w:rsidRPr="002D70DA">
        <w:rPr>
          <w:rFonts w:cs="Calibri"/>
        </w:rPr>
        <w:t xml:space="preserve"> </w:t>
      </w:r>
      <w:r w:rsidR="001E157B" w:rsidRPr="00C3072F">
        <w:rPr>
          <w:rFonts w:cs="Calibri"/>
          <w:lang w:val="en-GB"/>
        </w:rPr>
        <w:t>Chevron</w:t>
      </w:r>
      <w:r w:rsidR="001E157B">
        <w:rPr>
          <w:rFonts w:cs="Calibri"/>
        </w:rPr>
        <w:t xml:space="preserve">, </w:t>
      </w:r>
      <w:proofErr w:type="spellStart"/>
      <w:r w:rsidR="001E157B">
        <w:rPr>
          <w:rFonts w:cs="Calibri"/>
        </w:rPr>
        <w:t>ονόματι</w:t>
      </w:r>
      <w:proofErr w:type="spellEnd"/>
      <w:r w:rsidRPr="002D70DA">
        <w:rPr>
          <w:rFonts w:cs="Calibri"/>
        </w:rPr>
        <w:t xml:space="preserve"> </w:t>
      </w:r>
      <w:r w:rsidRPr="00C3072F">
        <w:rPr>
          <w:rFonts w:cs="Calibri"/>
          <w:lang w:val="en-GB"/>
        </w:rPr>
        <w:t>Tamar</w:t>
      </w:r>
      <w:r w:rsidR="001E157B">
        <w:rPr>
          <w:rFonts w:cs="Calibri"/>
        </w:rPr>
        <w:t xml:space="preserve">, </w:t>
      </w:r>
      <w:r w:rsidR="001E157B" w:rsidRPr="002D70DA">
        <w:rPr>
          <w:rFonts w:cs="Calibri"/>
        </w:rPr>
        <w:t>σε μεγάλ</w:t>
      </w:r>
      <w:r w:rsidR="001E157B">
        <w:rPr>
          <w:rFonts w:cs="Calibri"/>
        </w:rPr>
        <w:t>α</w:t>
      </w:r>
      <w:r w:rsidR="001E157B" w:rsidRPr="002D70DA">
        <w:rPr>
          <w:rFonts w:cs="Calibri"/>
        </w:rPr>
        <w:t xml:space="preserve"> βάθ</w:t>
      </w:r>
      <w:r w:rsidR="001E157B">
        <w:rPr>
          <w:rFonts w:cs="Calibri"/>
        </w:rPr>
        <w:t>η</w:t>
      </w:r>
      <w:r w:rsidR="001E157B" w:rsidRPr="002D70DA">
        <w:rPr>
          <w:rFonts w:cs="Calibri"/>
        </w:rPr>
        <w:t xml:space="preserve"> </w:t>
      </w:r>
      <w:r w:rsidR="001E157B">
        <w:rPr>
          <w:rFonts w:cs="Calibri"/>
        </w:rPr>
        <w:t>στα ανοιχτά του Ισραήλ</w:t>
      </w:r>
      <w:r w:rsidRPr="002D70DA">
        <w:rPr>
          <w:rFonts w:cs="Calibri"/>
        </w:rPr>
        <w:t xml:space="preserve">, </w:t>
      </w:r>
      <w:r w:rsidR="001E157B">
        <w:rPr>
          <w:rFonts w:cs="Calibri"/>
        </w:rPr>
        <w:t xml:space="preserve">ένας </w:t>
      </w:r>
      <w:r w:rsidR="002D70DA" w:rsidRPr="002D70DA">
        <w:rPr>
          <w:rFonts w:cs="Calibri"/>
        </w:rPr>
        <w:t>υποθαλάσσιος</w:t>
      </w:r>
      <w:r w:rsidRPr="002D70DA">
        <w:rPr>
          <w:rFonts w:cs="Calibri"/>
        </w:rPr>
        <w:t xml:space="preserve"> αγωγ</w:t>
      </w:r>
      <w:r w:rsidR="002D70DA" w:rsidRPr="002D70DA">
        <w:rPr>
          <w:rFonts w:cs="Calibri"/>
        </w:rPr>
        <w:t>ός</w:t>
      </w:r>
      <w:r w:rsidRPr="002D70DA">
        <w:rPr>
          <w:rFonts w:cs="Calibri"/>
        </w:rPr>
        <w:t xml:space="preserve"> στην Αυστραλία, </w:t>
      </w:r>
      <w:r w:rsidR="001E157B">
        <w:rPr>
          <w:rFonts w:cs="Calibri"/>
        </w:rPr>
        <w:t>ένας</w:t>
      </w:r>
      <w:r w:rsidR="0068082D" w:rsidRPr="002D70DA">
        <w:rPr>
          <w:rFonts w:cs="Calibri"/>
        </w:rPr>
        <w:t xml:space="preserve"> αγωγ</w:t>
      </w:r>
      <w:r w:rsidR="002D70DA" w:rsidRPr="002D70DA">
        <w:rPr>
          <w:rFonts w:cs="Calibri"/>
        </w:rPr>
        <w:t>ό</w:t>
      </w:r>
      <w:r w:rsidR="0068082D" w:rsidRPr="002D70DA">
        <w:rPr>
          <w:rFonts w:cs="Calibri"/>
        </w:rPr>
        <w:t>ς δέσμευσης και αποθήκευσης διοξειδίου του άνθρακα (</w:t>
      </w:r>
      <w:r w:rsidRPr="002D70DA">
        <w:rPr>
          <w:rFonts w:cs="Calibri"/>
        </w:rPr>
        <w:t>CCS</w:t>
      </w:r>
      <w:r w:rsidR="0068082D" w:rsidRPr="002D70DA">
        <w:rPr>
          <w:rFonts w:cs="Calibri"/>
        </w:rPr>
        <w:t>)</w:t>
      </w:r>
      <w:r w:rsidRPr="002D70DA">
        <w:rPr>
          <w:rFonts w:cs="Calibri"/>
        </w:rPr>
        <w:t xml:space="preserve"> στις ΗΠΑ και άλλα</w:t>
      </w:r>
      <w:r w:rsidR="002D70DA">
        <w:rPr>
          <w:rFonts w:cs="Calibri"/>
        </w:rPr>
        <w:t xml:space="preserve"> έργα</w:t>
      </w:r>
      <w:r w:rsidRPr="002D70DA">
        <w:rPr>
          <w:rFonts w:cs="Calibri"/>
        </w:rPr>
        <w:t>.</w:t>
      </w:r>
      <w:r w:rsidR="00152120">
        <w:rPr>
          <w:rFonts w:cs="Calibri"/>
        </w:rPr>
        <w:t xml:space="preserve"> </w:t>
      </w:r>
      <w:r w:rsidR="001E157B">
        <w:rPr>
          <w:rFonts w:cs="Calibri"/>
        </w:rPr>
        <w:t xml:space="preserve"> </w:t>
      </w:r>
      <w:r w:rsidRPr="00D61A18">
        <w:rPr>
          <w:rFonts w:cs="Calibri"/>
        </w:rPr>
        <w:t xml:space="preserve">Επιπλέον, </w:t>
      </w:r>
      <w:r w:rsidR="001E157B">
        <w:rPr>
          <w:rFonts w:cs="Calibri"/>
        </w:rPr>
        <w:t xml:space="preserve">ενισχύθηκε η παραγωγική </w:t>
      </w:r>
      <w:r w:rsidRPr="00D61A18">
        <w:rPr>
          <w:rFonts w:cs="Calibri"/>
        </w:rPr>
        <w:t>δυναμικότητα</w:t>
      </w:r>
      <w:r w:rsidR="00F03D8A" w:rsidRPr="00F03D8A">
        <w:rPr>
          <w:rFonts w:cs="Calibri"/>
        </w:rPr>
        <w:t xml:space="preserve"> </w:t>
      </w:r>
      <w:r w:rsidR="001E157B">
        <w:rPr>
          <w:rFonts w:cs="Calibri"/>
        </w:rPr>
        <w:t xml:space="preserve">στους </w:t>
      </w:r>
      <w:r w:rsidR="00F03D8A" w:rsidRPr="0066547F">
        <w:rPr>
          <w:rFonts w:cs="Calibri"/>
        </w:rPr>
        <w:t>σωλήν</w:t>
      </w:r>
      <w:r w:rsidR="001E157B">
        <w:rPr>
          <w:rFonts w:cs="Calibri"/>
        </w:rPr>
        <w:t>ες</w:t>
      </w:r>
      <w:r w:rsidR="0068082D" w:rsidRPr="0066547F">
        <w:rPr>
          <w:rFonts w:cs="Calibri"/>
        </w:rPr>
        <w:t xml:space="preserve"> ελ</w:t>
      </w:r>
      <w:r w:rsidR="001E157B">
        <w:rPr>
          <w:rFonts w:cs="Calibri"/>
        </w:rPr>
        <w:t xml:space="preserve">ικοειδούς </w:t>
      </w:r>
      <w:r w:rsidR="0068082D" w:rsidRPr="0066547F">
        <w:rPr>
          <w:rFonts w:cs="Calibri"/>
        </w:rPr>
        <w:t>συγκόλληση</w:t>
      </w:r>
      <w:r w:rsidR="00F03D8A" w:rsidRPr="0066547F">
        <w:rPr>
          <w:rFonts w:cs="Calibri"/>
        </w:rPr>
        <w:t>ς</w:t>
      </w:r>
      <w:r w:rsidR="0068082D" w:rsidRPr="0066547F">
        <w:rPr>
          <w:rFonts w:cs="Calibri"/>
        </w:rPr>
        <w:t xml:space="preserve"> βυθισμένου τόξου</w:t>
      </w:r>
      <w:r w:rsidRPr="0066547F">
        <w:rPr>
          <w:rFonts w:cs="Calibri"/>
        </w:rPr>
        <w:t xml:space="preserve"> </w:t>
      </w:r>
      <w:r w:rsidR="0068082D" w:rsidRPr="0066547F">
        <w:rPr>
          <w:rFonts w:cs="Calibri"/>
        </w:rPr>
        <w:t>(</w:t>
      </w:r>
      <w:r w:rsidRPr="0066547F">
        <w:rPr>
          <w:rFonts w:cs="Calibri"/>
        </w:rPr>
        <w:t>HSAW</w:t>
      </w:r>
      <w:r w:rsidR="0068082D" w:rsidRPr="0066547F">
        <w:rPr>
          <w:rFonts w:cs="Calibri"/>
        </w:rPr>
        <w:t>)</w:t>
      </w:r>
      <w:r w:rsidRPr="0066547F">
        <w:rPr>
          <w:rFonts w:cs="Calibri"/>
        </w:rPr>
        <w:t xml:space="preserve"> και η βελτιστοποίηση</w:t>
      </w:r>
      <w:r w:rsidR="005E44A2">
        <w:rPr>
          <w:rFonts w:cs="Calibri"/>
        </w:rPr>
        <w:t xml:space="preserve"> </w:t>
      </w:r>
      <w:r w:rsidR="00972986">
        <w:rPr>
          <w:rFonts w:cs="Calibri"/>
        </w:rPr>
        <w:t xml:space="preserve">της παραγωγικής διαδικασίας </w:t>
      </w:r>
      <w:r w:rsidR="001E157B">
        <w:rPr>
          <w:rFonts w:cs="Calibri"/>
        </w:rPr>
        <w:t xml:space="preserve">στους </w:t>
      </w:r>
      <w:r w:rsidR="00FD7E5E" w:rsidRPr="0066547F">
        <w:rPr>
          <w:rFonts w:asciiTheme="minorHAnsi" w:hAnsiTheme="minorHAnsi" w:cstheme="minorHAnsi"/>
          <w:szCs w:val="20"/>
        </w:rPr>
        <w:t>σωλήν</w:t>
      </w:r>
      <w:r w:rsidR="001E157B">
        <w:rPr>
          <w:rFonts w:asciiTheme="minorHAnsi" w:hAnsiTheme="minorHAnsi" w:cstheme="minorHAnsi"/>
          <w:szCs w:val="20"/>
        </w:rPr>
        <w:t>ες</w:t>
      </w:r>
      <w:r w:rsidR="00FD7E5E" w:rsidRPr="0066547F">
        <w:rPr>
          <w:rFonts w:asciiTheme="minorHAnsi" w:hAnsiTheme="minorHAnsi" w:cstheme="minorHAnsi"/>
          <w:szCs w:val="20"/>
        </w:rPr>
        <w:t xml:space="preserve"> ευθείας ραφής </w:t>
      </w:r>
      <w:r w:rsidR="00FD7E5E" w:rsidRPr="0069597F">
        <w:rPr>
          <w:rFonts w:asciiTheme="minorHAnsi" w:hAnsiTheme="minorHAnsi" w:cstheme="minorHAnsi"/>
          <w:szCs w:val="20"/>
        </w:rPr>
        <w:t>βυθισμένου τόξου</w:t>
      </w:r>
      <w:r w:rsidR="00F03D8A" w:rsidRPr="0069597F">
        <w:rPr>
          <w:rFonts w:cs="Calibri"/>
        </w:rPr>
        <w:t xml:space="preserve"> (</w:t>
      </w:r>
      <w:r w:rsidRPr="0069597F">
        <w:rPr>
          <w:rFonts w:cs="Calibri"/>
        </w:rPr>
        <w:t>LSAW</w:t>
      </w:r>
      <w:r w:rsidR="00F03D8A" w:rsidRPr="0069597F">
        <w:rPr>
          <w:rFonts w:cs="Calibri"/>
        </w:rPr>
        <w:t>)</w:t>
      </w:r>
      <w:r w:rsidRPr="0069597F">
        <w:rPr>
          <w:rFonts w:cs="Calibri"/>
        </w:rPr>
        <w:t xml:space="preserve">, με κεφαλαιουχικές δαπάνες </w:t>
      </w:r>
      <w:r w:rsidR="001E157B">
        <w:rPr>
          <w:rFonts w:cs="Calibri"/>
        </w:rPr>
        <w:t>περίπου</w:t>
      </w:r>
      <w:r w:rsidR="00F03D8A" w:rsidRPr="0069597F">
        <w:rPr>
          <w:rFonts w:cs="Calibri"/>
        </w:rPr>
        <w:t xml:space="preserve"> </w:t>
      </w:r>
      <w:r w:rsidRPr="0069597F">
        <w:rPr>
          <w:rFonts w:cs="Calibri"/>
        </w:rPr>
        <w:t xml:space="preserve">17,1 εκατ. ευρώ. Η Σωληνουργεία Κορίνθου </w:t>
      </w:r>
      <w:r w:rsidR="001E157B">
        <w:rPr>
          <w:rFonts w:cs="Calibri"/>
        </w:rPr>
        <w:t xml:space="preserve">συνεχίζει </w:t>
      </w:r>
      <w:r w:rsidRPr="0069597F">
        <w:rPr>
          <w:rFonts w:cs="Calibri"/>
        </w:rPr>
        <w:t xml:space="preserve">την </w:t>
      </w:r>
      <w:r w:rsidR="005E44A2" w:rsidRPr="0069597F">
        <w:rPr>
          <w:rFonts w:cs="Calibri"/>
        </w:rPr>
        <w:t xml:space="preserve">προσήλωσή της </w:t>
      </w:r>
      <w:r w:rsidRPr="0069597F">
        <w:rPr>
          <w:rFonts w:cs="Calibri"/>
        </w:rPr>
        <w:t>σε</w:t>
      </w:r>
      <w:r w:rsidR="005E44A2" w:rsidRPr="0069597F">
        <w:rPr>
          <w:rFonts w:cs="Calibri"/>
        </w:rPr>
        <w:t xml:space="preserve"> στοχευμένα</w:t>
      </w:r>
      <w:r w:rsidRPr="0069597F">
        <w:rPr>
          <w:rFonts w:cs="Calibri"/>
        </w:rPr>
        <w:t xml:space="preserve"> έργα </w:t>
      </w:r>
      <w:r w:rsidR="001E157B">
        <w:rPr>
          <w:rFonts w:cs="Calibri"/>
        </w:rPr>
        <w:t xml:space="preserve">αγωγών </w:t>
      </w:r>
      <w:r w:rsidRPr="0069597F">
        <w:rPr>
          <w:rFonts w:cs="Calibri"/>
        </w:rPr>
        <w:t>υδρογονανθράκων,</w:t>
      </w:r>
      <w:r w:rsidR="00FD7E5E" w:rsidRPr="0069597F">
        <w:rPr>
          <w:rFonts w:cs="Calibri"/>
        </w:rPr>
        <w:t xml:space="preserve"> </w:t>
      </w:r>
      <w:r w:rsidR="001E157B">
        <w:rPr>
          <w:rFonts w:cs="Calibri"/>
        </w:rPr>
        <w:t>δ</w:t>
      </w:r>
      <w:r w:rsidR="00FD7E5E" w:rsidRPr="0069597F">
        <w:t>έσμευσης και αποθήκευσης διοξειδίου του άνθρακα</w:t>
      </w:r>
      <w:r w:rsidRPr="0069597F">
        <w:rPr>
          <w:rFonts w:cs="Calibri"/>
        </w:rPr>
        <w:t xml:space="preserve"> </w:t>
      </w:r>
      <w:r w:rsidR="00FD7E5E" w:rsidRPr="0069597F">
        <w:rPr>
          <w:rFonts w:cs="Calibri"/>
        </w:rPr>
        <w:t>(</w:t>
      </w:r>
      <w:r w:rsidRPr="0069597F">
        <w:rPr>
          <w:rFonts w:cs="Calibri"/>
        </w:rPr>
        <w:t>CCS</w:t>
      </w:r>
      <w:r w:rsidR="00FD7E5E" w:rsidRPr="0069597F">
        <w:rPr>
          <w:rFonts w:cs="Calibri"/>
        </w:rPr>
        <w:t>)</w:t>
      </w:r>
      <w:r w:rsidRPr="0069597F">
        <w:rPr>
          <w:rFonts w:cs="Calibri"/>
        </w:rPr>
        <w:t xml:space="preserve"> </w:t>
      </w:r>
      <w:r w:rsidR="001E157B">
        <w:rPr>
          <w:rFonts w:cs="Calibri"/>
        </w:rPr>
        <w:t xml:space="preserve">αλλά </w:t>
      </w:r>
      <w:r w:rsidRPr="0069597F">
        <w:rPr>
          <w:rFonts w:cs="Calibri"/>
        </w:rPr>
        <w:t xml:space="preserve">και υδρογόνου, </w:t>
      </w:r>
      <w:r w:rsidR="0069597F" w:rsidRPr="0069597F">
        <w:rPr>
          <w:rFonts w:cs="Calibri"/>
        </w:rPr>
        <w:t>και</w:t>
      </w:r>
      <w:r w:rsidRPr="0069597F">
        <w:rPr>
          <w:rFonts w:cs="Calibri"/>
        </w:rPr>
        <w:t xml:space="preserve"> βελτ</w:t>
      </w:r>
      <w:r w:rsidR="001E157B">
        <w:rPr>
          <w:rFonts w:cs="Calibri"/>
        </w:rPr>
        <w:t xml:space="preserve">ιώνει </w:t>
      </w:r>
      <w:r w:rsidR="00972986">
        <w:rPr>
          <w:rFonts w:cs="Calibri"/>
        </w:rPr>
        <w:t>τη</w:t>
      </w:r>
      <w:r w:rsidR="001E157B">
        <w:rPr>
          <w:rFonts w:cs="Calibri"/>
        </w:rPr>
        <w:t>ν</w:t>
      </w:r>
      <w:r w:rsidRPr="0069597F">
        <w:rPr>
          <w:rFonts w:cs="Calibri"/>
        </w:rPr>
        <w:t xml:space="preserve"> ανταγωνιστική της θέση στην παγκόσμια αγορά τεχνολογιών ενεργειακής μετάβασης</w:t>
      </w:r>
      <w:r w:rsidRPr="00D61A18">
        <w:rPr>
          <w:rFonts w:cs="Calibri"/>
        </w:rPr>
        <w:t xml:space="preserve">. Η </w:t>
      </w:r>
      <w:r w:rsidR="001E157B">
        <w:rPr>
          <w:rFonts w:cs="Calibri"/>
        </w:rPr>
        <w:t>ισχυρή</w:t>
      </w:r>
      <w:r w:rsidRPr="00D61A18">
        <w:rPr>
          <w:rFonts w:cs="Calibri"/>
        </w:rPr>
        <w:t xml:space="preserve"> ανάκαμψη των αγορών ενέργειας </w:t>
      </w:r>
      <w:r w:rsidR="00F54DD0">
        <w:rPr>
          <w:rFonts w:cs="Calibri"/>
        </w:rPr>
        <w:t>για τα αέρια καύσιμα</w:t>
      </w:r>
      <w:r w:rsidRPr="00D61A18">
        <w:rPr>
          <w:rFonts w:cs="Calibri"/>
        </w:rPr>
        <w:t xml:space="preserve"> και μια σειρά σημαντικών έργων που </w:t>
      </w:r>
      <w:r w:rsidR="001E157B">
        <w:rPr>
          <w:rFonts w:cs="Calibri"/>
        </w:rPr>
        <w:t xml:space="preserve">της </w:t>
      </w:r>
      <w:r w:rsidRPr="00D61A18">
        <w:rPr>
          <w:rFonts w:cs="Calibri"/>
        </w:rPr>
        <w:t>ανατέθηκαν</w:t>
      </w:r>
      <w:r w:rsidR="001E157B">
        <w:rPr>
          <w:rFonts w:cs="Calibri"/>
        </w:rPr>
        <w:t xml:space="preserve"> στο πρώτο εξάμηνο του έτους</w:t>
      </w:r>
      <w:r w:rsidRPr="00D61A18">
        <w:rPr>
          <w:rFonts w:cs="Calibri"/>
        </w:rPr>
        <w:t xml:space="preserve">, </w:t>
      </w:r>
      <w:r w:rsidR="0069597F">
        <w:rPr>
          <w:rFonts w:cs="Calibri"/>
        </w:rPr>
        <w:t>διαμόρφωσαν</w:t>
      </w:r>
      <w:r w:rsidRPr="00D61A18">
        <w:rPr>
          <w:rFonts w:cs="Calibri"/>
        </w:rPr>
        <w:t xml:space="preserve"> </w:t>
      </w:r>
      <w:r w:rsidR="001E157B">
        <w:rPr>
          <w:rFonts w:cs="Calibri"/>
        </w:rPr>
        <w:t>το</w:t>
      </w:r>
      <w:r w:rsidRPr="00D61A18">
        <w:rPr>
          <w:rFonts w:cs="Calibri"/>
        </w:rPr>
        <w:t xml:space="preserve"> ανεκτέλεστο υπόλοιπο</w:t>
      </w:r>
      <w:r w:rsidR="005E44A2">
        <w:rPr>
          <w:rFonts w:cs="Calibri"/>
        </w:rPr>
        <w:t xml:space="preserve"> παραγγελιών</w:t>
      </w:r>
      <w:r w:rsidRPr="00D61A18">
        <w:rPr>
          <w:rFonts w:cs="Calibri"/>
        </w:rPr>
        <w:t xml:space="preserve"> </w:t>
      </w:r>
      <w:r w:rsidR="001E157B">
        <w:rPr>
          <w:rFonts w:cs="Calibri"/>
        </w:rPr>
        <w:t>στα</w:t>
      </w:r>
      <w:r w:rsidRPr="00D61A18">
        <w:rPr>
          <w:rFonts w:cs="Calibri"/>
        </w:rPr>
        <w:t xml:space="preserve"> 561</w:t>
      </w:r>
      <w:r w:rsidR="001E157B">
        <w:rPr>
          <w:rFonts w:cs="Calibri"/>
        </w:rPr>
        <w:t> </w:t>
      </w:r>
      <w:r w:rsidRPr="00D61A18">
        <w:rPr>
          <w:rFonts w:cs="Calibri"/>
        </w:rPr>
        <w:t>εκατ.</w:t>
      </w:r>
      <w:r w:rsidR="001E157B">
        <w:rPr>
          <w:rFonts w:cs="Calibri"/>
        </w:rPr>
        <w:t> </w:t>
      </w:r>
      <w:r w:rsidRPr="00D61A18">
        <w:rPr>
          <w:rFonts w:cs="Calibri"/>
        </w:rPr>
        <w:t>ευρώ</w:t>
      </w:r>
      <w:r w:rsidR="001E157B">
        <w:rPr>
          <w:rFonts w:cs="Calibri"/>
        </w:rPr>
        <w:t xml:space="preserve">, γεγονός </w:t>
      </w:r>
      <w:r w:rsidRPr="00D61A18">
        <w:rPr>
          <w:rFonts w:cs="Calibri"/>
        </w:rPr>
        <w:t xml:space="preserve">που </w:t>
      </w:r>
      <w:r w:rsidR="001E157B">
        <w:rPr>
          <w:rFonts w:cs="Calibri"/>
        </w:rPr>
        <w:t xml:space="preserve">δίνει </w:t>
      </w:r>
      <w:r w:rsidRPr="00D61A18">
        <w:rPr>
          <w:rFonts w:cs="Calibri"/>
        </w:rPr>
        <w:t xml:space="preserve">θετικές προοπτικές για το υπόλοιπο του 2024 και </w:t>
      </w:r>
      <w:r w:rsidR="0069597F">
        <w:rPr>
          <w:rFonts w:cs="Calibri"/>
        </w:rPr>
        <w:t>για ένα μ</w:t>
      </w:r>
      <w:r w:rsidRPr="00D61A18">
        <w:rPr>
          <w:rFonts w:cs="Calibri"/>
        </w:rPr>
        <w:t>εγάλο μέρος του 2025.</w:t>
      </w:r>
    </w:p>
    <w:bookmarkEnd w:id="4"/>
    <w:bookmarkEnd w:id="5"/>
    <w:p w14:paraId="1F71CB42" w14:textId="4F216AFA" w:rsidR="005E7E03" w:rsidRPr="00F03D8A" w:rsidRDefault="00F03D8A" w:rsidP="0061611F">
      <w:pPr>
        <w:spacing w:after="0" w:line="240" w:lineRule="auto"/>
        <w:rPr>
          <w:rFonts w:eastAsia="SimSun" w:cs="Calibri"/>
          <w:b/>
          <w:bCs/>
          <w:color w:val="4F6228"/>
          <w:sz w:val="24"/>
          <w:szCs w:val="24"/>
        </w:rPr>
      </w:pPr>
      <w:r w:rsidRPr="00B258B5">
        <w:rPr>
          <w:rFonts w:eastAsia="SimSun" w:cs="Calibri"/>
          <w:b/>
          <w:bCs/>
          <w:color w:val="4F6228"/>
          <w:sz w:val="24"/>
          <w:szCs w:val="24"/>
        </w:rPr>
        <w:t>Οικονομική Επισκόπηση Ομίλου</w:t>
      </w:r>
      <w:bookmarkEnd w:id="3"/>
    </w:p>
    <w:tbl>
      <w:tblPr>
        <w:tblW w:w="9913" w:type="dxa"/>
        <w:tblLayout w:type="fixed"/>
        <w:tblLook w:val="04A0" w:firstRow="1" w:lastRow="0" w:firstColumn="1" w:lastColumn="0" w:noHBand="0" w:noVBand="1"/>
      </w:tblPr>
      <w:tblGrid>
        <w:gridCol w:w="2967"/>
        <w:gridCol w:w="1157"/>
        <w:gridCol w:w="1158"/>
        <w:gridCol w:w="1158"/>
        <w:gridCol w:w="1157"/>
        <w:gridCol w:w="1158"/>
        <w:gridCol w:w="1158"/>
      </w:tblGrid>
      <w:tr w:rsidR="00F03D8A" w:rsidRPr="008414D9" w14:paraId="7B13CBD0" w14:textId="77777777" w:rsidTr="008A2665">
        <w:trPr>
          <w:trHeight w:val="252"/>
          <w:tblHeader/>
        </w:trPr>
        <w:tc>
          <w:tcPr>
            <w:tcW w:w="2967" w:type="dxa"/>
            <w:tcBorders>
              <w:top w:val="single" w:sz="8" w:space="0" w:color="A8D08D"/>
              <w:left w:val="single" w:sz="8" w:space="0" w:color="A8D08D"/>
              <w:bottom w:val="single" w:sz="8" w:space="0" w:color="A8D08D"/>
              <w:right w:val="single" w:sz="8" w:space="0" w:color="A8D08D"/>
            </w:tcBorders>
            <w:shd w:val="clear" w:color="000000" w:fill="476C2E"/>
            <w:noWrap/>
            <w:vAlign w:val="bottom"/>
            <w:hideMark/>
          </w:tcPr>
          <w:p w14:paraId="6B8F5E9E" w14:textId="0975E8DE" w:rsidR="00F03D8A" w:rsidRPr="008414D9" w:rsidRDefault="00F03D8A" w:rsidP="00F03D8A">
            <w:pPr>
              <w:spacing w:after="120" w:line="240" w:lineRule="auto"/>
              <w:rPr>
                <w:rFonts w:eastAsia="Times New Roman" w:cs="Calibri"/>
                <w:b/>
                <w:bCs/>
                <w:i/>
                <w:iCs/>
                <w:color w:val="FFFFFF"/>
                <w:sz w:val="20"/>
                <w:szCs w:val="20"/>
                <w:lang w:val="en-GB"/>
              </w:rPr>
            </w:pPr>
            <w:r w:rsidRPr="006C0543">
              <w:rPr>
                <w:b/>
                <w:i/>
                <w:color w:val="FFFFFF"/>
                <w:sz w:val="20"/>
              </w:rPr>
              <w:t>Ποσά σε χιλιάδες ευρώ</w:t>
            </w:r>
          </w:p>
        </w:tc>
        <w:tc>
          <w:tcPr>
            <w:tcW w:w="1157" w:type="dxa"/>
            <w:tcBorders>
              <w:top w:val="single" w:sz="8" w:space="0" w:color="A8D08D"/>
              <w:left w:val="nil"/>
              <w:bottom w:val="single" w:sz="8" w:space="0" w:color="A8D08D"/>
              <w:right w:val="single" w:sz="8" w:space="0" w:color="A8D08D"/>
            </w:tcBorders>
            <w:shd w:val="clear" w:color="000000" w:fill="476C2E"/>
            <w:noWrap/>
            <w:vAlign w:val="center"/>
            <w:hideMark/>
          </w:tcPr>
          <w:p w14:paraId="2879A816" w14:textId="30B50B85" w:rsidR="00F03D8A" w:rsidRDefault="00F03D8A" w:rsidP="0069597F">
            <w:pPr>
              <w:spacing w:after="0" w:line="240" w:lineRule="auto"/>
              <w:jc w:val="center"/>
              <w:rPr>
                <w:rFonts w:cs="Calibri"/>
                <w:b/>
                <w:bCs/>
                <w:color w:val="FFFFFF"/>
                <w:sz w:val="20"/>
                <w:szCs w:val="20"/>
              </w:rPr>
            </w:pPr>
            <w:r w:rsidRPr="006C0543">
              <w:rPr>
                <w:b/>
                <w:color w:val="FFFFFF"/>
                <w:sz w:val="20"/>
              </w:rPr>
              <w:t>1ο εξ.</w:t>
            </w:r>
          </w:p>
          <w:p w14:paraId="762DC3B7" w14:textId="0BA56B11" w:rsidR="00F03D8A" w:rsidRPr="00F03D8A" w:rsidRDefault="00F03D8A" w:rsidP="0069597F">
            <w:pPr>
              <w:spacing w:after="0" w:line="240" w:lineRule="auto"/>
              <w:jc w:val="center"/>
              <w:rPr>
                <w:rFonts w:cs="Calibri"/>
                <w:b/>
                <w:bCs/>
                <w:color w:val="FFFFFF"/>
                <w:sz w:val="20"/>
                <w:szCs w:val="20"/>
              </w:rPr>
            </w:pPr>
            <w:r>
              <w:rPr>
                <w:rFonts w:cs="Calibri"/>
                <w:b/>
                <w:bCs/>
                <w:color w:val="FFFFFF"/>
                <w:sz w:val="20"/>
                <w:szCs w:val="20"/>
              </w:rPr>
              <w:t>2024</w:t>
            </w:r>
          </w:p>
        </w:tc>
        <w:tc>
          <w:tcPr>
            <w:tcW w:w="1158" w:type="dxa"/>
            <w:tcBorders>
              <w:top w:val="single" w:sz="8" w:space="0" w:color="A8D08D"/>
              <w:left w:val="nil"/>
              <w:bottom w:val="single" w:sz="8" w:space="0" w:color="A8D08D"/>
              <w:right w:val="single" w:sz="8" w:space="0" w:color="A8D08D"/>
            </w:tcBorders>
            <w:shd w:val="clear" w:color="000000" w:fill="476C2E"/>
            <w:noWrap/>
            <w:vAlign w:val="center"/>
            <w:hideMark/>
          </w:tcPr>
          <w:p w14:paraId="506D6EEE" w14:textId="2C87B360" w:rsidR="00F03D8A" w:rsidRDefault="00F03D8A" w:rsidP="0069597F">
            <w:pPr>
              <w:spacing w:after="0" w:line="240" w:lineRule="auto"/>
              <w:jc w:val="center"/>
              <w:rPr>
                <w:rFonts w:cs="Calibri"/>
                <w:b/>
                <w:bCs/>
                <w:color w:val="FFFFFF"/>
                <w:sz w:val="20"/>
                <w:szCs w:val="20"/>
              </w:rPr>
            </w:pPr>
            <w:r w:rsidRPr="006C0543">
              <w:rPr>
                <w:b/>
                <w:color w:val="FFFFFF"/>
                <w:sz w:val="20"/>
              </w:rPr>
              <w:t>1ο εξ.</w:t>
            </w:r>
          </w:p>
          <w:p w14:paraId="54BA281C" w14:textId="1145755C" w:rsidR="00F03D8A" w:rsidRPr="006A1361" w:rsidRDefault="00F03D8A" w:rsidP="0069597F">
            <w:pPr>
              <w:spacing w:after="0" w:line="240" w:lineRule="auto"/>
              <w:jc w:val="center"/>
              <w:rPr>
                <w:rFonts w:cs="Calibri"/>
                <w:b/>
                <w:bCs/>
                <w:color w:val="FFFFFF"/>
                <w:sz w:val="20"/>
                <w:szCs w:val="20"/>
                <w:lang w:val="en-ZA"/>
              </w:rPr>
            </w:pPr>
            <w:r>
              <w:rPr>
                <w:rFonts w:cs="Calibri"/>
                <w:b/>
                <w:bCs/>
                <w:color w:val="FFFFFF"/>
                <w:sz w:val="20"/>
                <w:szCs w:val="20"/>
              </w:rPr>
              <w:t>202</w:t>
            </w:r>
            <w:r>
              <w:rPr>
                <w:rFonts w:cs="Calibri"/>
                <w:b/>
                <w:bCs/>
                <w:color w:val="FFFFFF"/>
                <w:sz w:val="20"/>
                <w:szCs w:val="20"/>
                <w:lang w:val="en-US"/>
              </w:rPr>
              <w:t>3</w:t>
            </w:r>
          </w:p>
        </w:tc>
        <w:tc>
          <w:tcPr>
            <w:tcW w:w="1158" w:type="dxa"/>
            <w:tcBorders>
              <w:top w:val="single" w:sz="8" w:space="0" w:color="A8D08D"/>
              <w:left w:val="nil"/>
              <w:bottom w:val="single" w:sz="8" w:space="0" w:color="A8D08D"/>
              <w:right w:val="single" w:sz="8" w:space="0" w:color="A8D08D"/>
            </w:tcBorders>
            <w:shd w:val="clear" w:color="000000" w:fill="476C2E"/>
            <w:vAlign w:val="center"/>
          </w:tcPr>
          <w:p w14:paraId="04A191EB" w14:textId="0DF18242" w:rsidR="00F03D8A" w:rsidRPr="008414D9" w:rsidRDefault="00F03D8A" w:rsidP="0069597F">
            <w:pPr>
              <w:spacing w:after="0" w:line="240" w:lineRule="auto"/>
              <w:jc w:val="center"/>
              <w:rPr>
                <w:rFonts w:eastAsia="Times New Roman" w:cs="Calibri"/>
                <w:b/>
                <w:bCs/>
                <w:color w:val="FFFFFF"/>
                <w:sz w:val="20"/>
                <w:szCs w:val="20"/>
                <w:lang w:val="en-GB"/>
              </w:rPr>
            </w:pPr>
            <w:r>
              <w:rPr>
                <w:rFonts w:cs="Calibri"/>
                <w:b/>
                <w:bCs/>
                <w:color w:val="FFFFFF"/>
                <w:sz w:val="20"/>
                <w:szCs w:val="20"/>
              </w:rPr>
              <w:t>Μεταβολή</w:t>
            </w:r>
            <w:r w:rsidRPr="00C62621">
              <w:rPr>
                <w:rFonts w:cs="Calibri"/>
                <w:b/>
                <w:bCs/>
                <w:color w:val="FFFFFF"/>
                <w:sz w:val="20"/>
                <w:szCs w:val="20"/>
                <w:lang w:val="en-GB"/>
              </w:rPr>
              <w:t xml:space="preserve"> (%)</w:t>
            </w:r>
          </w:p>
        </w:tc>
        <w:tc>
          <w:tcPr>
            <w:tcW w:w="1157" w:type="dxa"/>
            <w:tcBorders>
              <w:top w:val="single" w:sz="8" w:space="0" w:color="A8D08D"/>
              <w:left w:val="nil"/>
              <w:bottom w:val="single" w:sz="8" w:space="0" w:color="A8D08D"/>
              <w:right w:val="single" w:sz="8" w:space="0" w:color="A8D08D"/>
            </w:tcBorders>
            <w:shd w:val="clear" w:color="000000" w:fill="476C2E"/>
            <w:vAlign w:val="center"/>
          </w:tcPr>
          <w:p w14:paraId="0861F752" w14:textId="6CF93D58" w:rsidR="00F03D8A" w:rsidRPr="00C62621" w:rsidRDefault="00F03D8A" w:rsidP="0069597F">
            <w:pPr>
              <w:spacing w:after="0" w:line="240" w:lineRule="auto"/>
              <w:jc w:val="center"/>
              <w:rPr>
                <w:rFonts w:cs="Calibri"/>
                <w:b/>
                <w:bCs/>
                <w:color w:val="FFFFFF"/>
                <w:sz w:val="20"/>
                <w:szCs w:val="20"/>
                <w:lang w:val="en-GB"/>
              </w:rPr>
            </w:pPr>
            <w:r>
              <w:rPr>
                <w:b/>
                <w:color w:val="FFFFFF"/>
                <w:sz w:val="20"/>
              </w:rPr>
              <w:t>2</w:t>
            </w:r>
            <w:r w:rsidRPr="006C0543">
              <w:rPr>
                <w:b/>
                <w:color w:val="FFFFFF"/>
                <w:sz w:val="20"/>
              </w:rPr>
              <w:t xml:space="preserve">ο </w:t>
            </w:r>
            <w:r>
              <w:rPr>
                <w:b/>
                <w:color w:val="FFFFFF"/>
                <w:sz w:val="20"/>
              </w:rPr>
              <w:t>τριμ</w:t>
            </w:r>
            <w:r w:rsidRPr="006C0543">
              <w:rPr>
                <w:b/>
                <w:color w:val="FFFFFF"/>
                <w:sz w:val="20"/>
              </w:rPr>
              <w:t>.</w:t>
            </w:r>
          </w:p>
          <w:p w14:paraId="45678C62" w14:textId="5572AFE9" w:rsidR="00F03D8A" w:rsidRPr="00F03D8A" w:rsidRDefault="00F03D8A" w:rsidP="0069597F">
            <w:pPr>
              <w:spacing w:after="0" w:line="240" w:lineRule="auto"/>
              <w:jc w:val="center"/>
              <w:rPr>
                <w:rFonts w:cs="Calibri"/>
                <w:b/>
                <w:bCs/>
                <w:color w:val="FFFFFF"/>
                <w:sz w:val="20"/>
                <w:szCs w:val="20"/>
              </w:rPr>
            </w:pPr>
            <w:r w:rsidRPr="00C62621">
              <w:rPr>
                <w:rFonts w:cs="Calibri"/>
                <w:b/>
                <w:bCs/>
                <w:color w:val="FFFFFF"/>
                <w:sz w:val="20"/>
                <w:szCs w:val="20"/>
                <w:lang w:val="en-GB"/>
              </w:rPr>
              <w:t>202</w:t>
            </w:r>
            <w:r>
              <w:rPr>
                <w:rFonts w:cs="Calibri"/>
                <w:b/>
                <w:bCs/>
                <w:color w:val="FFFFFF"/>
                <w:sz w:val="20"/>
                <w:szCs w:val="20"/>
              </w:rPr>
              <w:t>4</w:t>
            </w:r>
          </w:p>
        </w:tc>
        <w:tc>
          <w:tcPr>
            <w:tcW w:w="1158" w:type="dxa"/>
            <w:tcBorders>
              <w:top w:val="single" w:sz="8" w:space="0" w:color="A8D08D"/>
              <w:left w:val="nil"/>
              <w:bottom w:val="single" w:sz="8" w:space="0" w:color="A8D08D"/>
              <w:right w:val="single" w:sz="8" w:space="0" w:color="A8D08D"/>
            </w:tcBorders>
            <w:shd w:val="clear" w:color="000000" w:fill="476C2E"/>
            <w:vAlign w:val="center"/>
          </w:tcPr>
          <w:p w14:paraId="7BF09831" w14:textId="30B34025" w:rsidR="00F03D8A" w:rsidRPr="00C62621" w:rsidRDefault="00F03D8A" w:rsidP="0069597F">
            <w:pPr>
              <w:spacing w:after="0" w:line="240" w:lineRule="auto"/>
              <w:jc w:val="center"/>
              <w:rPr>
                <w:rFonts w:cs="Calibri"/>
                <w:b/>
                <w:bCs/>
                <w:color w:val="FFFFFF"/>
                <w:sz w:val="20"/>
                <w:szCs w:val="20"/>
                <w:lang w:val="en-GB"/>
              </w:rPr>
            </w:pPr>
            <w:r>
              <w:rPr>
                <w:b/>
                <w:color w:val="FFFFFF"/>
                <w:sz w:val="20"/>
                <w:lang w:val="en-US"/>
              </w:rPr>
              <w:t>2</w:t>
            </w:r>
            <w:r w:rsidRPr="006C0543">
              <w:rPr>
                <w:b/>
                <w:color w:val="FFFFFF"/>
                <w:sz w:val="20"/>
              </w:rPr>
              <w:t xml:space="preserve">ο </w:t>
            </w:r>
            <w:r>
              <w:rPr>
                <w:b/>
                <w:color w:val="FFFFFF"/>
                <w:sz w:val="20"/>
              </w:rPr>
              <w:t>τριμ</w:t>
            </w:r>
            <w:r w:rsidRPr="006C0543">
              <w:rPr>
                <w:b/>
                <w:color w:val="FFFFFF"/>
                <w:sz w:val="20"/>
              </w:rPr>
              <w:t>.</w:t>
            </w:r>
          </w:p>
          <w:p w14:paraId="3081654B" w14:textId="061E7F99" w:rsidR="00F03D8A" w:rsidRPr="00F03D8A" w:rsidRDefault="00F03D8A" w:rsidP="0069597F">
            <w:pPr>
              <w:spacing w:after="0" w:line="240" w:lineRule="auto"/>
              <w:jc w:val="center"/>
              <w:rPr>
                <w:rFonts w:cs="Calibri"/>
                <w:b/>
                <w:bCs/>
                <w:color w:val="FFFFFF"/>
                <w:sz w:val="20"/>
                <w:szCs w:val="20"/>
              </w:rPr>
            </w:pPr>
            <w:r w:rsidRPr="00C62621">
              <w:rPr>
                <w:rFonts w:cs="Calibri"/>
                <w:b/>
                <w:bCs/>
                <w:color w:val="FFFFFF"/>
                <w:sz w:val="20"/>
                <w:szCs w:val="20"/>
                <w:lang w:val="en-GB"/>
              </w:rPr>
              <w:t>202</w:t>
            </w:r>
            <w:r>
              <w:rPr>
                <w:rFonts w:cs="Calibri"/>
                <w:b/>
                <w:bCs/>
                <w:color w:val="FFFFFF"/>
                <w:sz w:val="20"/>
                <w:szCs w:val="20"/>
              </w:rPr>
              <w:t>3</w:t>
            </w:r>
          </w:p>
        </w:tc>
        <w:tc>
          <w:tcPr>
            <w:tcW w:w="1158" w:type="dxa"/>
            <w:tcBorders>
              <w:top w:val="single" w:sz="8" w:space="0" w:color="A8D08D"/>
              <w:left w:val="nil"/>
              <w:bottom w:val="single" w:sz="8" w:space="0" w:color="A8D08D"/>
              <w:right w:val="single" w:sz="8" w:space="0" w:color="A8D08D"/>
            </w:tcBorders>
            <w:shd w:val="clear" w:color="000000" w:fill="476C2E"/>
            <w:vAlign w:val="center"/>
          </w:tcPr>
          <w:p w14:paraId="6F17B1FB" w14:textId="11729F4E" w:rsidR="00F03D8A" w:rsidRPr="008414D9" w:rsidRDefault="00F03D8A" w:rsidP="0069597F">
            <w:pPr>
              <w:spacing w:after="0" w:line="240" w:lineRule="auto"/>
              <w:jc w:val="center"/>
              <w:rPr>
                <w:rFonts w:cs="Calibri"/>
                <w:b/>
                <w:bCs/>
                <w:color w:val="FFFFFF"/>
                <w:sz w:val="20"/>
                <w:szCs w:val="20"/>
                <w:lang w:val="en-GB"/>
              </w:rPr>
            </w:pPr>
            <w:r>
              <w:rPr>
                <w:rFonts w:cs="Calibri"/>
                <w:b/>
                <w:bCs/>
                <w:color w:val="FFFFFF"/>
                <w:sz w:val="20"/>
                <w:szCs w:val="20"/>
              </w:rPr>
              <w:t>Μεταβολή</w:t>
            </w:r>
            <w:r w:rsidRPr="00C62621">
              <w:rPr>
                <w:rFonts w:cs="Calibri"/>
                <w:b/>
                <w:bCs/>
                <w:color w:val="FFFFFF"/>
                <w:sz w:val="20"/>
                <w:szCs w:val="20"/>
                <w:lang w:val="en-GB"/>
              </w:rPr>
              <w:t xml:space="preserve"> (%)</w:t>
            </w:r>
          </w:p>
        </w:tc>
      </w:tr>
      <w:tr w:rsidR="003739DE" w:rsidRPr="008414D9" w14:paraId="0ED5E441" w14:textId="77777777" w:rsidTr="006A1361">
        <w:trPr>
          <w:trHeight w:val="252"/>
        </w:trPr>
        <w:tc>
          <w:tcPr>
            <w:tcW w:w="2967" w:type="dxa"/>
            <w:tcBorders>
              <w:top w:val="nil"/>
              <w:left w:val="single" w:sz="8" w:space="0" w:color="A8D08D"/>
              <w:bottom w:val="single" w:sz="8" w:space="0" w:color="A8D08D"/>
              <w:right w:val="single" w:sz="8" w:space="0" w:color="A8D08D"/>
            </w:tcBorders>
            <w:shd w:val="clear" w:color="000000" w:fill="E2EFD9"/>
            <w:noWrap/>
            <w:vAlign w:val="center"/>
            <w:hideMark/>
          </w:tcPr>
          <w:p w14:paraId="417EDE7A" w14:textId="50216075" w:rsidR="003739DE" w:rsidRPr="008414D9" w:rsidRDefault="00F03D8A" w:rsidP="003739DE">
            <w:pPr>
              <w:spacing w:after="120" w:line="240" w:lineRule="auto"/>
              <w:jc w:val="both"/>
              <w:rPr>
                <w:rFonts w:eastAsia="Times New Roman" w:cs="Calibri"/>
                <w:b/>
                <w:bCs/>
                <w:color w:val="000000"/>
                <w:sz w:val="20"/>
                <w:szCs w:val="20"/>
                <w:lang w:val="en-GB"/>
              </w:rPr>
            </w:pPr>
            <w:r w:rsidRPr="008567C6">
              <w:rPr>
                <w:rFonts w:asciiTheme="minorHAnsi" w:hAnsiTheme="minorHAnsi" w:cstheme="minorHAnsi"/>
                <w:b/>
                <w:bCs/>
                <w:sz w:val="20"/>
                <w:szCs w:val="20"/>
              </w:rPr>
              <w:t>Πωλήσεις</w:t>
            </w:r>
          </w:p>
        </w:tc>
        <w:tc>
          <w:tcPr>
            <w:tcW w:w="1157" w:type="dxa"/>
            <w:tcBorders>
              <w:top w:val="nil"/>
              <w:left w:val="nil"/>
              <w:bottom w:val="single" w:sz="8" w:space="0" w:color="A8D08D"/>
              <w:right w:val="single" w:sz="8" w:space="0" w:color="A8D08D"/>
            </w:tcBorders>
            <w:shd w:val="clear" w:color="000000" w:fill="E2EFD9"/>
            <w:noWrap/>
            <w:vAlign w:val="center"/>
          </w:tcPr>
          <w:p w14:paraId="3B29C829" w14:textId="5E2B2B08" w:rsidR="003739DE" w:rsidRPr="008414D9" w:rsidRDefault="003739DE" w:rsidP="003739DE">
            <w:pPr>
              <w:spacing w:after="120" w:line="240" w:lineRule="auto"/>
              <w:jc w:val="right"/>
              <w:rPr>
                <w:rFonts w:eastAsia="Times New Roman" w:cs="Calibri"/>
                <w:b/>
                <w:bCs/>
                <w:color w:val="000000"/>
                <w:sz w:val="20"/>
                <w:szCs w:val="20"/>
                <w:lang w:val="en-GB"/>
              </w:rPr>
            </w:pPr>
            <w:r>
              <w:rPr>
                <w:rFonts w:cs="Calibri"/>
                <w:b/>
                <w:bCs/>
                <w:color w:val="000000"/>
                <w:sz w:val="20"/>
                <w:szCs w:val="20"/>
              </w:rPr>
              <w:t>812</w:t>
            </w:r>
            <w:r w:rsidR="00F03D8A">
              <w:rPr>
                <w:rFonts w:cs="Calibri"/>
                <w:b/>
                <w:bCs/>
                <w:color w:val="000000"/>
                <w:sz w:val="20"/>
                <w:szCs w:val="20"/>
              </w:rPr>
              <w:t>.</w:t>
            </w:r>
            <w:r>
              <w:rPr>
                <w:rFonts w:cs="Calibri"/>
                <w:b/>
                <w:bCs/>
                <w:color w:val="000000"/>
                <w:sz w:val="20"/>
                <w:szCs w:val="20"/>
              </w:rPr>
              <w:t>157</w:t>
            </w:r>
          </w:p>
        </w:tc>
        <w:tc>
          <w:tcPr>
            <w:tcW w:w="1158" w:type="dxa"/>
            <w:tcBorders>
              <w:top w:val="nil"/>
              <w:left w:val="nil"/>
              <w:bottom w:val="single" w:sz="8" w:space="0" w:color="A8D08D"/>
              <w:right w:val="single" w:sz="8" w:space="0" w:color="A8D08D"/>
            </w:tcBorders>
            <w:shd w:val="clear" w:color="000000" w:fill="E2EFD9"/>
            <w:noWrap/>
            <w:vAlign w:val="center"/>
          </w:tcPr>
          <w:p w14:paraId="4CF09E91" w14:textId="6D417B6C" w:rsidR="003739DE" w:rsidRPr="008414D9" w:rsidRDefault="003739DE" w:rsidP="003739DE">
            <w:pPr>
              <w:spacing w:after="120" w:line="240" w:lineRule="auto"/>
              <w:jc w:val="right"/>
              <w:rPr>
                <w:rFonts w:eastAsia="Times New Roman" w:cs="Calibri"/>
                <w:b/>
                <w:bCs/>
                <w:color w:val="000000"/>
                <w:sz w:val="20"/>
                <w:szCs w:val="20"/>
                <w:lang w:val="en-GB"/>
              </w:rPr>
            </w:pPr>
            <w:r>
              <w:rPr>
                <w:rFonts w:cs="Calibri"/>
                <w:b/>
                <w:bCs/>
                <w:color w:val="000000"/>
                <w:sz w:val="20"/>
                <w:szCs w:val="20"/>
              </w:rPr>
              <w:t>798</w:t>
            </w:r>
            <w:r w:rsidR="00F03D8A">
              <w:rPr>
                <w:rFonts w:cs="Calibri"/>
                <w:b/>
                <w:bCs/>
                <w:color w:val="000000"/>
                <w:sz w:val="20"/>
                <w:szCs w:val="20"/>
              </w:rPr>
              <w:t>.</w:t>
            </w:r>
            <w:r>
              <w:rPr>
                <w:rFonts w:cs="Calibri"/>
                <w:b/>
                <w:bCs/>
                <w:color w:val="000000"/>
                <w:sz w:val="20"/>
                <w:szCs w:val="20"/>
              </w:rPr>
              <w:t>272</w:t>
            </w:r>
          </w:p>
        </w:tc>
        <w:tc>
          <w:tcPr>
            <w:tcW w:w="1158" w:type="dxa"/>
            <w:tcBorders>
              <w:top w:val="nil"/>
              <w:left w:val="nil"/>
              <w:bottom w:val="single" w:sz="8" w:space="0" w:color="A8D08D"/>
              <w:right w:val="single" w:sz="8" w:space="0" w:color="A8D08D"/>
            </w:tcBorders>
            <w:shd w:val="clear" w:color="000000" w:fill="E2EFD9"/>
            <w:vAlign w:val="center"/>
          </w:tcPr>
          <w:p w14:paraId="45FFFA11" w14:textId="2B13037C" w:rsidR="003739DE" w:rsidRPr="008414D9" w:rsidRDefault="003739DE" w:rsidP="003739DE">
            <w:pPr>
              <w:spacing w:after="120" w:line="240" w:lineRule="auto"/>
              <w:jc w:val="right"/>
              <w:rPr>
                <w:rFonts w:cs="Calibri"/>
                <w:b/>
                <w:bCs/>
                <w:color w:val="000000"/>
                <w:sz w:val="20"/>
                <w:szCs w:val="20"/>
                <w:lang w:val="en-GB"/>
              </w:rPr>
            </w:pPr>
            <w:r>
              <w:rPr>
                <w:rFonts w:cs="Calibri"/>
                <w:b/>
                <w:bCs/>
                <w:i/>
                <w:iCs/>
                <w:color w:val="000000"/>
                <w:sz w:val="20"/>
                <w:szCs w:val="20"/>
              </w:rPr>
              <w:t>2%</w:t>
            </w:r>
          </w:p>
        </w:tc>
        <w:tc>
          <w:tcPr>
            <w:tcW w:w="1157" w:type="dxa"/>
            <w:tcBorders>
              <w:top w:val="nil"/>
              <w:left w:val="nil"/>
              <w:bottom w:val="single" w:sz="8" w:space="0" w:color="A8D08D"/>
              <w:right w:val="single" w:sz="8" w:space="0" w:color="A8D08D"/>
            </w:tcBorders>
            <w:shd w:val="clear" w:color="000000" w:fill="E2EFD9"/>
            <w:vAlign w:val="center"/>
          </w:tcPr>
          <w:p w14:paraId="08292C68" w14:textId="2AB450DC" w:rsidR="003739DE" w:rsidRPr="008414D9" w:rsidRDefault="003739DE" w:rsidP="003739DE">
            <w:pPr>
              <w:spacing w:after="120" w:line="240" w:lineRule="auto"/>
              <w:jc w:val="right"/>
              <w:rPr>
                <w:rFonts w:cs="Calibri"/>
                <w:b/>
                <w:bCs/>
                <w:i/>
                <w:iCs/>
                <w:color w:val="000000"/>
                <w:sz w:val="20"/>
                <w:szCs w:val="20"/>
                <w:lang w:val="en-GB"/>
              </w:rPr>
            </w:pPr>
            <w:r>
              <w:rPr>
                <w:rFonts w:cs="Calibri"/>
                <w:b/>
                <w:bCs/>
                <w:color w:val="000000"/>
                <w:sz w:val="20"/>
                <w:szCs w:val="20"/>
              </w:rPr>
              <w:t>416</w:t>
            </w:r>
            <w:r w:rsidR="00F03D8A">
              <w:rPr>
                <w:rFonts w:cs="Calibri"/>
                <w:b/>
                <w:bCs/>
                <w:color w:val="000000"/>
                <w:sz w:val="20"/>
                <w:szCs w:val="20"/>
              </w:rPr>
              <w:t>.</w:t>
            </w:r>
            <w:r>
              <w:rPr>
                <w:rFonts w:cs="Calibri"/>
                <w:b/>
                <w:bCs/>
                <w:color w:val="000000"/>
                <w:sz w:val="20"/>
                <w:szCs w:val="20"/>
              </w:rPr>
              <w:t>418</w:t>
            </w:r>
          </w:p>
        </w:tc>
        <w:tc>
          <w:tcPr>
            <w:tcW w:w="1158" w:type="dxa"/>
            <w:tcBorders>
              <w:top w:val="nil"/>
              <w:left w:val="nil"/>
              <w:bottom w:val="single" w:sz="8" w:space="0" w:color="A8D08D"/>
              <w:right w:val="single" w:sz="8" w:space="0" w:color="A8D08D"/>
            </w:tcBorders>
            <w:shd w:val="clear" w:color="000000" w:fill="E2EFD9"/>
            <w:vAlign w:val="center"/>
          </w:tcPr>
          <w:p w14:paraId="2E99372C" w14:textId="1A4797C1" w:rsidR="003739DE" w:rsidRPr="008414D9" w:rsidRDefault="003739DE" w:rsidP="003739DE">
            <w:pPr>
              <w:spacing w:after="120" w:line="240" w:lineRule="auto"/>
              <w:jc w:val="right"/>
              <w:rPr>
                <w:rFonts w:cs="Calibri"/>
                <w:b/>
                <w:bCs/>
                <w:i/>
                <w:iCs/>
                <w:color w:val="000000"/>
                <w:sz w:val="20"/>
                <w:szCs w:val="20"/>
                <w:lang w:val="en-GB"/>
              </w:rPr>
            </w:pPr>
            <w:r>
              <w:rPr>
                <w:rFonts w:cs="Calibri"/>
                <w:b/>
                <w:bCs/>
                <w:color w:val="000000"/>
                <w:sz w:val="20"/>
                <w:szCs w:val="20"/>
              </w:rPr>
              <w:t>417</w:t>
            </w:r>
            <w:r w:rsidR="00F03D8A">
              <w:rPr>
                <w:rFonts w:cs="Calibri"/>
                <w:b/>
                <w:bCs/>
                <w:color w:val="000000"/>
                <w:sz w:val="20"/>
                <w:szCs w:val="20"/>
              </w:rPr>
              <w:t>.</w:t>
            </w:r>
            <w:r>
              <w:rPr>
                <w:rFonts w:cs="Calibri"/>
                <w:b/>
                <w:bCs/>
                <w:color w:val="000000"/>
                <w:sz w:val="20"/>
                <w:szCs w:val="20"/>
              </w:rPr>
              <w:t>007</w:t>
            </w:r>
          </w:p>
        </w:tc>
        <w:tc>
          <w:tcPr>
            <w:tcW w:w="1158" w:type="dxa"/>
            <w:tcBorders>
              <w:top w:val="nil"/>
              <w:left w:val="nil"/>
              <w:bottom w:val="single" w:sz="8" w:space="0" w:color="A8D08D"/>
              <w:right w:val="single" w:sz="8" w:space="0" w:color="A8D08D"/>
            </w:tcBorders>
            <w:shd w:val="clear" w:color="000000" w:fill="E2EFD9"/>
            <w:vAlign w:val="center"/>
          </w:tcPr>
          <w:p w14:paraId="46E65EF6" w14:textId="51CA3411" w:rsidR="003739DE" w:rsidRPr="008414D9" w:rsidRDefault="003739DE" w:rsidP="003739DE">
            <w:pPr>
              <w:spacing w:after="120" w:line="240" w:lineRule="auto"/>
              <w:jc w:val="right"/>
              <w:rPr>
                <w:rFonts w:cs="Calibri"/>
                <w:b/>
                <w:bCs/>
                <w:i/>
                <w:iCs/>
                <w:color w:val="000000"/>
                <w:sz w:val="20"/>
                <w:szCs w:val="20"/>
                <w:lang w:val="en-GB"/>
              </w:rPr>
            </w:pPr>
            <w:r>
              <w:rPr>
                <w:rFonts w:cs="Calibri"/>
                <w:b/>
                <w:bCs/>
                <w:i/>
                <w:iCs/>
                <w:color w:val="000000"/>
                <w:sz w:val="20"/>
                <w:szCs w:val="20"/>
              </w:rPr>
              <w:t>0%</w:t>
            </w:r>
          </w:p>
        </w:tc>
      </w:tr>
      <w:tr w:rsidR="00F03D8A" w:rsidRPr="008414D9" w14:paraId="63877E45" w14:textId="77777777" w:rsidTr="009A02B3">
        <w:trPr>
          <w:trHeight w:val="252"/>
        </w:trPr>
        <w:tc>
          <w:tcPr>
            <w:tcW w:w="2967" w:type="dxa"/>
            <w:tcBorders>
              <w:top w:val="nil"/>
              <w:left w:val="single" w:sz="8" w:space="0" w:color="A8D08D"/>
              <w:bottom w:val="single" w:sz="8" w:space="0" w:color="A8D08D"/>
              <w:right w:val="single" w:sz="8" w:space="0" w:color="A8D08D"/>
            </w:tcBorders>
            <w:shd w:val="clear" w:color="000000" w:fill="FFFFFF"/>
            <w:noWrap/>
            <w:hideMark/>
          </w:tcPr>
          <w:p w14:paraId="3EA23FC5" w14:textId="0DB078A5" w:rsidR="00F03D8A" w:rsidRPr="008414D9" w:rsidRDefault="00F03D8A" w:rsidP="00F03D8A">
            <w:pPr>
              <w:spacing w:after="120" w:line="240" w:lineRule="auto"/>
              <w:jc w:val="both"/>
              <w:rPr>
                <w:rFonts w:eastAsia="Times New Roman" w:cs="Calibri"/>
                <w:color w:val="000000"/>
                <w:sz w:val="20"/>
                <w:szCs w:val="20"/>
                <w:lang w:val="en-GB"/>
              </w:rPr>
            </w:pPr>
            <w:r w:rsidRPr="008567C6">
              <w:rPr>
                <w:rFonts w:asciiTheme="minorHAnsi" w:hAnsiTheme="minorHAnsi" w:cstheme="minorHAnsi"/>
                <w:sz w:val="20"/>
                <w:szCs w:val="20"/>
              </w:rPr>
              <w:t>Μικτό κέρδος</w:t>
            </w:r>
          </w:p>
        </w:tc>
        <w:tc>
          <w:tcPr>
            <w:tcW w:w="1157" w:type="dxa"/>
            <w:tcBorders>
              <w:top w:val="nil"/>
              <w:left w:val="nil"/>
              <w:bottom w:val="single" w:sz="8" w:space="0" w:color="A8D08D"/>
              <w:right w:val="single" w:sz="8" w:space="0" w:color="A8D08D"/>
            </w:tcBorders>
            <w:shd w:val="clear" w:color="000000" w:fill="FFFFFF"/>
            <w:noWrap/>
            <w:vAlign w:val="center"/>
          </w:tcPr>
          <w:p w14:paraId="71753E35" w14:textId="2EBB9EC5" w:rsidR="00F03D8A" w:rsidRPr="008414D9" w:rsidRDefault="00F03D8A" w:rsidP="00F03D8A">
            <w:pPr>
              <w:spacing w:after="120" w:line="240" w:lineRule="auto"/>
              <w:jc w:val="right"/>
              <w:rPr>
                <w:rFonts w:eastAsia="Times New Roman" w:cs="Calibri"/>
                <w:color w:val="000000"/>
                <w:sz w:val="20"/>
                <w:szCs w:val="20"/>
                <w:lang w:val="en-GB"/>
              </w:rPr>
            </w:pPr>
            <w:r>
              <w:rPr>
                <w:rFonts w:cs="Calibri"/>
                <w:color w:val="000000"/>
                <w:sz w:val="20"/>
                <w:szCs w:val="20"/>
              </w:rPr>
              <w:t>132.</w:t>
            </w:r>
            <w:r w:rsidR="0032678C">
              <w:rPr>
                <w:rFonts w:cs="Calibri"/>
                <w:color w:val="000000"/>
                <w:sz w:val="20"/>
                <w:szCs w:val="20"/>
              </w:rPr>
              <w:t>644</w:t>
            </w:r>
          </w:p>
        </w:tc>
        <w:tc>
          <w:tcPr>
            <w:tcW w:w="1158" w:type="dxa"/>
            <w:tcBorders>
              <w:top w:val="nil"/>
              <w:left w:val="nil"/>
              <w:bottom w:val="single" w:sz="8" w:space="0" w:color="A8D08D"/>
              <w:right w:val="single" w:sz="8" w:space="0" w:color="A8D08D"/>
            </w:tcBorders>
            <w:shd w:val="clear" w:color="000000" w:fill="FFFFFF"/>
            <w:noWrap/>
            <w:vAlign w:val="center"/>
          </w:tcPr>
          <w:p w14:paraId="39E068B2" w14:textId="01F8AE6F" w:rsidR="00F03D8A" w:rsidRPr="008414D9" w:rsidRDefault="00F03D8A" w:rsidP="00F03D8A">
            <w:pPr>
              <w:spacing w:after="120" w:line="240" w:lineRule="auto"/>
              <w:jc w:val="right"/>
              <w:rPr>
                <w:rFonts w:eastAsia="Times New Roman" w:cs="Calibri"/>
                <w:color w:val="000000"/>
                <w:sz w:val="20"/>
                <w:szCs w:val="20"/>
                <w:lang w:val="en-GB"/>
              </w:rPr>
            </w:pPr>
            <w:r>
              <w:rPr>
                <w:rFonts w:cs="Calibri"/>
                <w:color w:val="000000"/>
                <w:sz w:val="20"/>
                <w:szCs w:val="20"/>
              </w:rPr>
              <w:t>91.681</w:t>
            </w:r>
          </w:p>
        </w:tc>
        <w:tc>
          <w:tcPr>
            <w:tcW w:w="1158" w:type="dxa"/>
            <w:tcBorders>
              <w:top w:val="nil"/>
              <w:left w:val="nil"/>
              <w:bottom w:val="single" w:sz="8" w:space="0" w:color="A8D08D"/>
              <w:right w:val="single" w:sz="8" w:space="0" w:color="A8D08D"/>
            </w:tcBorders>
            <w:shd w:val="clear" w:color="000000" w:fill="FFFFFF"/>
            <w:vAlign w:val="center"/>
          </w:tcPr>
          <w:p w14:paraId="711D4ECD" w14:textId="5A0B3F0D" w:rsidR="00F03D8A" w:rsidRPr="008414D9" w:rsidRDefault="00F03D8A" w:rsidP="00F03D8A">
            <w:pPr>
              <w:spacing w:after="120" w:line="240" w:lineRule="auto"/>
              <w:jc w:val="right"/>
              <w:rPr>
                <w:rFonts w:cs="Calibri"/>
                <w:color w:val="000000"/>
                <w:sz w:val="20"/>
                <w:szCs w:val="20"/>
                <w:lang w:val="en-GB"/>
              </w:rPr>
            </w:pPr>
            <w:r>
              <w:rPr>
                <w:rFonts w:cs="Calibri"/>
                <w:b/>
                <w:bCs/>
                <w:i/>
                <w:iCs/>
                <w:color w:val="000000"/>
                <w:sz w:val="20"/>
                <w:szCs w:val="20"/>
              </w:rPr>
              <w:t>45%</w:t>
            </w:r>
          </w:p>
        </w:tc>
        <w:tc>
          <w:tcPr>
            <w:tcW w:w="1157" w:type="dxa"/>
            <w:tcBorders>
              <w:top w:val="nil"/>
              <w:left w:val="nil"/>
              <w:bottom w:val="single" w:sz="8" w:space="0" w:color="A8D08D"/>
              <w:right w:val="single" w:sz="8" w:space="0" w:color="A8D08D"/>
            </w:tcBorders>
            <w:shd w:val="clear" w:color="000000" w:fill="FFFFFF"/>
            <w:vAlign w:val="center"/>
          </w:tcPr>
          <w:p w14:paraId="0C64FC05" w14:textId="169DF91C" w:rsidR="00F03D8A" w:rsidRPr="008414D9" w:rsidRDefault="00F03D8A" w:rsidP="00F03D8A">
            <w:pPr>
              <w:spacing w:after="120" w:line="240" w:lineRule="auto"/>
              <w:jc w:val="right"/>
              <w:rPr>
                <w:rFonts w:cs="Calibri"/>
                <w:b/>
                <w:bCs/>
                <w:i/>
                <w:iCs/>
                <w:color w:val="000000"/>
                <w:sz w:val="20"/>
                <w:szCs w:val="20"/>
                <w:lang w:val="en-GB"/>
              </w:rPr>
            </w:pPr>
            <w:r>
              <w:rPr>
                <w:rFonts w:cs="Calibri"/>
                <w:color w:val="000000"/>
                <w:sz w:val="20"/>
                <w:szCs w:val="20"/>
              </w:rPr>
              <w:t>73.</w:t>
            </w:r>
            <w:r w:rsidR="0032678C">
              <w:rPr>
                <w:rFonts w:cs="Calibri"/>
                <w:color w:val="000000"/>
                <w:sz w:val="20"/>
                <w:szCs w:val="20"/>
              </w:rPr>
              <w:t>173</w:t>
            </w:r>
          </w:p>
        </w:tc>
        <w:tc>
          <w:tcPr>
            <w:tcW w:w="1158" w:type="dxa"/>
            <w:tcBorders>
              <w:top w:val="nil"/>
              <w:left w:val="nil"/>
              <w:bottom w:val="single" w:sz="8" w:space="0" w:color="A8D08D"/>
              <w:right w:val="single" w:sz="8" w:space="0" w:color="A8D08D"/>
            </w:tcBorders>
            <w:shd w:val="clear" w:color="000000" w:fill="FFFFFF"/>
            <w:vAlign w:val="center"/>
          </w:tcPr>
          <w:p w14:paraId="192514E0" w14:textId="58C0E3DC" w:rsidR="00F03D8A" w:rsidRPr="008414D9" w:rsidRDefault="00F03D8A" w:rsidP="00F03D8A">
            <w:pPr>
              <w:spacing w:after="120" w:line="240" w:lineRule="auto"/>
              <w:jc w:val="right"/>
              <w:rPr>
                <w:rFonts w:cs="Calibri"/>
                <w:b/>
                <w:bCs/>
                <w:i/>
                <w:iCs/>
                <w:color w:val="000000"/>
                <w:sz w:val="20"/>
                <w:szCs w:val="20"/>
                <w:lang w:val="en-GB"/>
              </w:rPr>
            </w:pPr>
            <w:r>
              <w:rPr>
                <w:rFonts w:cs="Calibri"/>
                <w:color w:val="000000"/>
                <w:sz w:val="20"/>
                <w:szCs w:val="20"/>
              </w:rPr>
              <w:t>45.910</w:t>
            </w:r>
          </w:p>
        </w:tc>
        <w:tc>
          <w:tcPr>
            <w:tcW w:w="1158" w:type="dxa"/>
            <w:tcBorders>
              <w:top w:val="nil"/>
              <w:left w:val="nil"/>
              <w:bottom w:val="single" w:sz="8" w:space="0" w:color="A8D08D"/>
              <w:right w:val="single" w:sz="8" w:space="0" w:color="A8D08D"/>
            </w:tcBorders>
            <w:shd w:val="clear" w:color="000000" w:fill="FFFFFF"/>
            <w:vAlign w:val="center"/>
          </w:tcPr>
          <w:p w14:paraId="3E9E8CAC" w14:textId="3F0BA09F" w:rsidR="00F03D8A" w:rsidRPr="008414D9" w:rsidRDefault="0032678C" w:rsidP="00F03D8A">
            <w:pPr>
              <w:spacing w:after="120" w:line="240" w:lineRule="auto"/>
              <w:jc w:val="right"/>
              <w:rPr>
                <w:rFonts w:cs="Calibri"/>
                <w:b/>
                <w:bCs/>
                <w:i/>
                <w:iCs/>
                <w:color w:val="000000"/>
                <w:sz w:val="20"/>
                <w:szCs w:val="20"/>
                <w:lang w:val="en-GB"/>
              </w:rPr>
            </w:pPr>
            <w:r>
              <w:rPr>
                <w:rFonts w:cs="Calibri"/>
                <w:b/>
                <w:bCs/>
                <w:i/>
                <w:iCs/>
                <w:color w:val="000000"/>
                <w:sz w:val="20"/>
                <w:szCs w:val="20"/>
              </w:rPr>
              <w:t>59</w:t>
            </w:r>
            <w:r w:rsidR="00F03D8A">
              <w:rPr>
                <w:rFonts w:cs="Calibri"/>
                <w:b/>
                <w:bCs/>
                <w:i/>
                <w:iCs/>
                <w:color w:val="000000"/>
                <w:sz w:val="20"/>
                <w:szCs w:val="20"/>
              </w:rPr>
              <w:t>%</w:t>
            </w:r>
          </w:p>
        </w:tc>
      </w:tr>
      <w:tr w:rsidR="00F03D8A" w:rsidRPr="008414D9" w14:paraId="1673333E" w14:textId="77777777" w:rsidTr="009A02B3">
        <w:trPr>
          <w:trHeight w:val="252"/>
        </w:trPr>
        <w:tc>
          <w:tcPr>
            <w:tcW w:w="2967" w:type="dxa"/>
            <w:tcBorders>
              <w:top w:val="nil"/>
              <w:left w:val="single" w:sz="8" w:space="0" w:color="A8D08D"/>
              <w:bottom w:val="single" w:sz="8" w:space="0" w:color="A8D08D"/>
              <w:right w:val="single" w:sz="8" w:space="0" w:color="A8D08D"/>
            </w:tcBorders>
            <w:shd w:val="clear" w:color="000000" w:fill="FFFFFF"/>
            <w:noWrap/>
            <w:hideMark/>
          </w:tcPr>
          <w:p w14:paraId="60040A76" w14:textId="1537D4FD" w:rsidR="00F03D8A" w:rsidRPr="008414D9" w:rsidRDefault="00F03D8A" w:rsidP="00F03D8A">
            <w:pPr>
              <w:spacing w:after="120" w:line="240" w:lineRule="auto"/>
              <w:jc w:val="both"/>
              <w:rPr>
                <w:rFonts w:eastAsia="Times New Roman" w:cs="Calibri"/>
                <w:i/>
                <w:iCs/>
                <w:color w:val="000000"/>
                <w:sz w:val="20"/>
                <w:szCs w:val="20"/>
                <w:lang w:val="en-GB"/>
              </w:rPr>
            </w:pPr>
            <w:r w:rsidRPr="008567C6">
              <w:rPr>
                <w:rFonts w:asciiTheme="minorHAnsi" w:hAnsiTheme="minorHAnsi" w:cstheme="minorHAnsi"/>
                <w:i/>
                <w:iCs/>
                <w:sz w:val="20"/>
                <w:szCs w:val="20"/>
              </w:rPr>
              <w:t>Περιθώριο μικτού κέρδους (%)</w:t>
            </w:r>
          </w:p>
        </w:tc>
        <w:tc>
          <w:tcPr>
            <w:tcW w:w="1157" w:type="dxa"/>
            <w:tcBorders>
              <w:top w:val="nil"/>
              <w:left w:val="nil"/>
              <w:bottom w:val="single" w:sz="8" w:space="0" w:color="A8D08D"/>
              <w:right w:val="single" w:sz="8" w:space="0" w:color="A8D08D"/>
            </w:tcBorders>
            <w:shd w:val="clear" w:color="000000" w:fill="FFFFFF"/>
            <w:noWrap/>
            <w:vAlign w:val="center"/>
          </w:tcPr>
          <w:p w14:paraId="16123234" w14:textId="5E42E02B" w:rsidR="00F03D8A" w:rsidRPr="008414D9" w:rsidRDefault="00F03D8A" w:rsidP="00F03D8A">
            <w:pPr>
              <w:spacing w:after="120" w:line="240" w:lineRule="auto"/>
              <w:jc w:val="right"/>
              <w:rPr>
                <w:rFonts w:eastAsia="Times New Roman" w:cs="Calibri"/>
                <w:i/>
                <w:iCs/>
                <w:color w:val="000000"/>
                <w:sz w:val="20"/>
                <w:szCs w:val="20"/>
                <w:lang w:val="en-GB"/>
              </w:rPr>
            </w:pPr>
            <w:r>
              <w:rPr>
                <w:rFonts w:cs="Calibri"/>
                <w:i/>
                <w:iCs/>
                <w:color w:val="000000"/>
                <w:sz w:val="20"/>
                <w:szCs w:val="20"/>
              </w:rPr>
              <w:t>16,</w:t>
            </w:r>
            <w:r w:rsidR="0032678C">
              <w:rPr>
                <w:rFonts w:cs="Calibri"/>
                <w:i/>
                <w:iCs/>
                <w:color w:val="000000"/>
                <w:sz w:val="20"/>
                <w:szCs w:val="20"/>
              </w:rPr>
              <w:t>3</w:t>
            </w:r>
            <w:r>
              <w:rPr>
                <w:rFonts w:cs="Calibri"/>
                <w:i/>
                <w:iCs/>
                <w:color w:val="000000"/>
                <w:sz w:val="20"/>
                <w:szCs w:val="20"/>
              </w:rPr>
              <w:t>%</w:t>
            </w:r>
          </w:p>
        </w:tc>
        <w:tc>
          <w:tcPr>
            <w:tcW w:w="1158" w:type="dxa"/>
            <w:tcBorders>
              <w:top w:val="nil"/>
              <w:left w:val="nil"/>
              <w:bottom w:val="single" w:sz="8" w:space="0" w:color="A8D08D"/>
              <w:right w:val="single" w:sz="8" w:space="0" w:color="A8D08D"/>
            </w:tcBorders>
            <w:shd w:val="clear" w:color="000000" w:fill="FFFFFF"/>
            <w:noWrap/>
            <w:vAlign w:val="center"/>
          </w:tcPr>
          <w:p w14:paraId="531CA67E" w14:textId="5744C265" w:rsidR="00F03D8A" w:rsidRPr="008414D9" w:rsidRDefault="00F03D8A" w:rsidP="00F03D8A">
            <w:pPr>
              <w:spacing w:after="120" w:line="240" w:lineRule="auto"/>
              <w:jc w:val="right"/>
              <w:rPr>
                <w:rFonts w:eastAsia="Times New Roman" w:cs="Calibri"/>
                <w:i/>
                <w:iCs/>
                <w:color w:val="000000"/>
                <w:sz w:val="20"/>
                <w:szCs w:val="20"/>
                <w:lang w:val="en-GB"/>
              </w:rPr>
            </w:pPr>
            <w:r>
              <w:rPr>
                <w:rFonts w:cs="Calibri"/>
                <w:i/>
                <w:iCs/>
                <w:color w:val="000000"/>
                <w:sz w:val="20"/>
                <w:szCs w:val="20"/>
              </w:rPr>
              <w:t>11,5%</w:t>
            </w:r>
          </w:p>
        </w:tc>
        <w:tc>
          <w:tcPr>
            <w:tcW w:w="1158" w:type="dxa"/>
            <w:tcBorders>
              <w:top w:val="nil"/>
              <w:left w:val="nil"/>
              <w:bottom w:val="single" w:sz="8" w:space="0" w:color="A8D08D"/>
              <w:right w:val="single" w:sz="8" w:space="0" w:color="A8D08D"/>
            </w:tcBorders>
            <w:shd w:val="clear" w:color="000000" w:fill="FFFFFF"/>
            <w:vAlign w:val="center"/>
          </w:tcPr>
          <w:p w14:paraId="0D2C130F" w14:textId="51BCCD2D" w:rsidR="00F03D8A" w:rsidRPr="008414D9" w:rsidRDefault="00F03D8A" w:rsidP="00F03D8A">
            <w:pPr>
              <w:spacing w:after="120" w:line="240" w:lineRule="auto"/>
              <w:jc w:val="right"/>
              <w:rPr>
                <w:rFonts w:cs="Calibri"/>
                <w:i/>
                <w:iCs/>
                <w:color w:val="000000"/>
                <w:sz w:val="20"/>
                <w:szCs w:val="20"/>
                <w:lang w:val="en-GB"/>
              </w:rPr>
            </w:pPr>
            <w:r>
              <w:rPr>
                <w:rFonts w:cs="Calibri"/>
                <w:i/>
                <w:iCs/>
                <w:color w:val="000000"/>
                <w:sz w:val="20"/>
                <w:szCs w:val="20"/>
              </w:rPr>
              <w:t>48</w:t>
            </w:r>
            <w:r w:rsidR="0032678C">
              <w:rPr>
                <w:rFonts w:cs="Calibri"/>
                <w:i/>
                <w:iCs/>
                <w:color w:val="000000"/>
                <w:sz w:val="20"/>
                <w:szCs w:val="20"/>
              </w:rPr>
              <w:t>5</w:t>
            </w:r>
            <w:r w:rsidRPr="00EF5461">
              <w:rPr>
                <w:rFonts w:cs="Calibri"/>
                <w:i/>
                <w:iCs/>
                <w:color w:val="000000"/>
                <w:sz w:val="20"/>
                <w:szCs w:val="20"/>
              </w:rPr>
              <w:t xml:space="preserve"> μβ</w:t>
            </w:r>
          </w:p>
        </w:tc>
        <w:tc>
          <w:tcPr>
            <w:tcW w:w="1157" w:type="dxa"/>
            <w:tcBorders>
              <w:top w:val="nil"/>
              <w:left w:val="nil"/>
              <w:bottom w:val="single" w:sz="8" w:space="0" w:color="A8D08D"/>
              <w:right w:val="single" w:sz="8" w:space="0" w:color="A8D08D"/>
            </w:tcBorders>
            <w:shd w:val="clear" w:color="000000" w:fill="FFFFFF"/>
            <w:vAlign w:val="center"/>
          </w:tcPr>
          <w:p w14:paraId="6EE3CD69" w14:textId="219F5471" w:rsidR="00F03D8A" w:rsidRPr="008414D9" w:rsidRDefault="00F03D8A" w:rsidP="00F03D8A">
            <w:pPr>
              <w:spacing w:after="120" w:line="240" w:lineRule="auto"/>
              <w:jc w:val="right"/>
              <w:rPr>
                <w:rFonts w:cs="Calibri"/>
                <w:i/>
                <w:iCs/>
                <w:color w:val="000000"/>
                <w:sz w:val="20"/>
                <w:szCs w:val="20"/>
                <w:lang w:val="en-GB"/>
              </w:rPr>
            </w:pPr>
            <w:r>
              <w:rPr>
                <w:rFonts w:cs="Calibri"/>
                <w:i/>
                <w:iCs/>
                <w:color w:val="000000"/>
                <w:sz w:val="20"/>
                <w:szCs w:val="20"/>
              </w:rPr>
              <w:t>17,6%</w:t>
            </w:r>
          </w:p>
        </w:tc>
        <w:tc>
          <w:tcPr>
            <w:tcW w:w="1158" w:type="dxa"/>
            <w:tcBorders>
              <w:top w:val="nil"/>
              <w:left w:val="nil"/>
              <w:bottom w:val="single" w:sz="8" w:space="0" w:color="A8D08D"/>
              <w:right w:val="single" w:sz="8" w:space="0" w:color="A8D08D"/>
            </w:tcBorders>
            <w:shd w:val="clear" w:color="000000" w:fill="FFFFFF"/>
            <w:vAlign w:val="center"/>
          </w:tcPr>
          <w:p w14:paraId="344C205E" w14:textId="128BA6FD" w:rsidR="00F03D8A" w:rsidRPr="008414D9" w:rsidRDefault="00F03D8A" w:rsidP="00F03D8A">
            <w:pPr>
              <w:spacing w:after="120" w:line="240" w:lineRule="auto"/>
              <w:jc w:val="right"/>
              <w:rPr>
                <w:rFonts w:cs="Calibri"/>
                <w:i/>
                <w:iCs/>
                <w:color w:val="000000"/>
                <w:sz w:val="20"/>
                <w:szCs w:val="20"/>
                <w:lang w:val="en-GB"/>
              </w:rPr>
            </w:pPr>
            <w:r>
              <w:rPr>
                <w:rFonts w:cs="Calibri"/>
                <w:i/>
                <w:iCs/>
                <w:color w:val="000000"/>
                <w:sz w:val="20"/>
                <w:szCs w:val="20"/>
              </w:rPr>
              <w:t>11,0%</w:t>
            </w:r>
          </w:p>
        </w:tc>
        <w:tc>
          <w:tcPr>
            <w:tcW w:w="1158" w:type="dxa"/>
            <w:tcBorders>
              <w:top w:val="nil"/>
              <w:left w:val="nil"/>
              <w:bottom w:val="single" w:sz="8" w:space="0" w:color="A8D08D"/>
              <w:right w:val="single" w:sz="8" w:space="0" w:color="A8D08D"/>
            </w:tcBorders>
            <w:shd w:val="clear" w:color="000000" w:fill="FFFFFF"/>
            <w:vAlign w:val="center"/>
          </w:tcPr>
          <w:p w14:paraId="67828D4A" w14:textId="6D1875F5" w:rsidR="00F03D8A" w:rsidRPr="008414D9" w:rsidRDefault="00F03D8A" w:rsidP="00F03D8A">
            <w:pPr>
              <w:spacing w:after="120" w:line="240" w:lineRule="auto"/>
              <w:jc w:val="right"/>
              <w:rPr>
                <w:rFonts w:cs="Calibri"/>
                <w:i/>
                <w:iCs/>
                <w:color w:val="000000"/>
                <w:sz w:val="20"/>
                <w:szCs w:val="20"/>
                <w:lang w:val="en-GB"/>
              </w:rPr>
            </w:pPr>
            <w:r>
              <w:rPr>
                <w:rFonts w:cs="Calibri"/>
                <w:i/>
                <w:iCs/>
                <w:color w:val="000000"/>
                <w:sz w:val="20"/>
                <w:szCs w:val="20"/>
              </w:rPr>
              <w:t>6</w:t>
            </w:r>
            <w:r w:rsidR="0032678C">
              <w:rPr>
                <w:rFonts w:cs="Calibri"/>
                <w:i/>
                <w:iCs/>
                <w:color w:val="000000"/>
                <w:sz w:val="20"/>
                <w:szCs w:val="20"/>
              </w:rPr>
              <w:t>56</w:t>
            </w:r>
            <w:r>
              <w:rPr>
                <w:rFonts w:cs="Calibri"/>
                <w:i/>
                <w:iCs/>
                <w:color w:val="000000"/>
                <w:sz w:val="20"/>
                <w:szCs w:val="20"/>
              </w:rPr>
              <w:t xml:space="preserve"> </w:t>
            </w:r>
            <w:r w:rsidRPr="00EF5461">
              <w:rPr>
                <w:rFonts w:cs="Calibri"/>
                <w:i/>
                <w:iCs/>
                <w:color w:val="000000"/>
                <w:sz w:val="20"/>
                <w:szCs w:val="20"/>
              </w:rPr>
              <w:t>μβ</w:t>
            </w:r>
          </w:p>
        </w:tc>
      </w:tr>
      <w:tr w:rsidR="00F03D8A" w:rsidRPr="008414D9" w14:paraId="2E498B6E" w14:textId="77777777" w:rsidTr="003715AD">
        <w:trPr>
          <w:trHeight w:val="252"/>
        </w:trPr>
        <w:tc>
          <w:tcPr>
            <w:tcW w:w="2967" w:type="dxa"/>
            <w:tcBorders>
              <w:top w:val="nil"/>
              <w:left w:val="single" w:sz="8" w:space="0" w:color="A8D08D"/>
              <w:bottom w:val="single" w:sz="8" w:space="0" w:color="A8D08D"/>
              <w:right w:val="single" w:sz="8" w:space="0" w:color="A8D08D"/>
            </w:tcBorders>
            <w:shd w:val="clear" w:color="000000" w:fill="E2EFD9"/>
            <w:hideMark/>
          </w:tcPr>
          <w:p w14:paraId="5C817F74" w14:textId="7F0821E0" w:rsidR="00F03D8A" w:rsidRPr="00F03D8A" w:rsidRDefault="00F03D8A" w:rsidP="00831A4B">
            <w:pPr>
              <w:spacing w:after="120" w:line="240" w:lineRule="auto"/>
              <w:rPr>
                <w:rFonts w:eastAsia="Times New Roman" w:cs="Calibri"/>
                <w:b/>
                <w:bCs/>
                <w:color w:val="000000"/>
                <w:sz w:val="20"/>
                <w:szCs w:val="20"/>
              </w:rPr>
            </w:pPr>
            <w:r w:rsidRPr="008567C6">
              <w:rPr>
                <w:rFonts w:asciiTheme="minorHAnsi" w:hAnsiTheme="minorHAnsi" w:cstheme="minorHAnsi"/>
                <w:b/>
                <w:bCs/>
                <w:sz w:val="20"/>
                <w:szCs w:val="20"/>
              </w:rPr>
              <w:t>Αναπροσαρμοσμένα κέρδη προ φόρων, χρηματοδοτικών, επενδυτικών αποτελεσμάτων και αποσβέσεων (</w:t>
            </w:r>
            <w:r>
              <w:rPr>
                <w:rFonts w:asciiTheme="minorHAnsi" w:hAnsiTheme="minorHAnsi" w:cstheme="minorHAnsi"/>
                <w:b/>
                <w:bCs/>
                <w:sz w:val="20"/>
                <w:szCs w:val="20"/>
                <w:lang w:val="en-US"/>
              </w:rPr>
              <w:t>a</w:t>
            </w:r>
            <w:r w:rsidRPr="008567C6">
              <w:rPr>
                <w:rFonts w:asciiTheme="minorHAnsi" w:hAnsiTheme="minorHAnsi" w:cstheme="minorHAnsi"/>
                <w:b/>
                <w:bCs/>
                <w:sz w:val="20"/>
                <w:szCs w:val="20"/>
              </w:rPr>
              <w:t>-EBITDA)</w:t>
            </w:r>
          </w:p>
        </w:tc>
        <w:tc>
          <w:tcPr>
            <w:tcW w:w="1157" w:type="dxa"/>
            <w:tcBorders>
              <w:top w:val="nil"/>
              <w:left w:val="nil"/>
              <w:bottom w:val="single" w:sz="8" w:space="0" w:color="A8D08D"/>
              <w:right w:val="single" w:sz="8" w:space="0" w:color="A8D08D"/>
            </w:tcBorders>
            <w:shd w:val="clear" w:color="000000" w:fill="E2EFD9"/>
            <w:noWrap/>
            <w:vAlign w:val="center"/>
          </w:tcPr>
          <w:p w14:paraId="6F036C3D" w14:textId="55FF6FD3" w:rsidR="00F03D8A" w:rsidRPr="008414D9" w:rsidRDefault="00F03D8A" w:rsidP="00F03D8A">
            <w:pPr>
              <w:spacing w:after="120" w:line="240" w:lineRule="auto"/>
              <w:jc w:val="right"/>
              <w:rPr>
                <w:rFonts w:eastAsia="Times New Roman" w:cs="Calibri"/>
                <w:b/>
                <w:bCs/>
                <w:color w:val="000000"/>
                <w:sz w:val="20"/>
                <w:szCs w:val="20"/>
                <w:lang w:val="en-GB"/>
              </w:rPr>
            </w:pPr>
            <w:r>
              <w:rPr>
                <w:rFonts w:cs="Calibri"/>
                <w:b/>
                <w:bCs/>
                <w:color w:val="000000"/>
                <w:sz w:val="20"/>
                <w:szCs w:val="20"/>
              </w:rPr>
              <w:t>119.</w:t>
            </w:r>
            <w:r w:rsidR="0032678C">
              <w:rPr>
                <w:rFonts w:cs="Calibri"/>
                <w:b/>
                <w:bCs/>
                <w:color w:val="000000"/>
                <w:sz w:val="20"/>
                <w:szCs w:val="20"/>
              </w:rPr>
              <w:t>456</w:t>
            </w:r>
          </w:p>
        </w:tc>
        <w:tc>
          <w:tcPr>
            <w:tcW w:w="1158" w:type="dxa"/>
            <w:tcBorders>
              <w:top w:val="nil"/>
              <w:left w:val="nil"/>
              <w:bottom w:val="single" w:sz="8" w:space="0" w:color="A8D08D"/>
              <w:right w:val="single" w:sz="8" w:space="0" w:color="A8D08D"/>
            </w:tcBorders>
            <w:shd w:val="clear" w:color="000000" w:fill="E2EFD9"/>
            <w:noWrap/>
            <w:vAlign w:val="center"/>
          </w:tcPr>
          <w:p w14:paraId="715C5DF6" w14:textId="54AC2FA6" w:rsidR="00F03D8A" w:rsidRPr="00073AA6" w:rsidRDefault="00F03D8A" w:rsidP="00F03D8A">
            <w:pPr>
              <w:spacing w:after="120" w:line="240" w:lineRule="auto"/>
              <w:jc w:val="right"/>
              <w:rPr>
                <w:rFonts w:eastAsia="Times New Roman" w:cs="Calibri"/>
                <w:b/>
                <w:bCs/>
                <w:color w:val="000000"/>
                <w:sz w:val="20"/>
                <w:szCs w:val="20"/>
              </w:rPr>
            </w:pPr>
            <w:r>
              <w:rPr>
                <w:rFonts w:cs="Calibri"/>
                <w:b/>
                <w:bCs/>
                <w:color w:val="000000"/>
                <w:sz w:val="20"/>
                <w:szCs w:val="20"/>
              </w:rPr>
              <w:t>86.113</w:t>
            </w:r>
          </w:p>
        </w:tc>
        <w:tc>
          <w:tcPr>
            <w:tcW w:w="1158" w:type="dxa"/>
            <w:tcBorders>
              <w:top w:val="nil"/>
              <w:left w:val="nil"/>
              <w:bottom w:val="single" w:sz="8" w:space="0" w:color="A8D08D"/>
              <w:right w:val="single" w:sz="8" w:space="0" w:color="A8D08D"/>
            </w:tcBorders>
            <w:shd w:val="clear" w:color="000000" w:fill="E2EFD9"/>
            <w:vAlign w:val="center"/>
          </w:tcPr>
          <w:p w14:paraId="7F8DA5AB" w14:textId="5EE9CBCD" w:rsidR="00F03D8A" w:rsidRPr="008414D9" w:rsidRDefault="00F03D8A" w:rsidP="00F03D8A">
            <w:pPr>
              <w:spacing w:after="120" w:line="240" w:lineRule="auto"/>
              <w:jc w:val="right"/>
              <w:rPr>
                <w:rFonts w:cs="Calibri"/>
                <w:b/>
                <w:bCs/>
                <w:color w:val="000000"/>
                <w:sz w:val="20"/>
                <w:szCs w:val="20"/>
                <w:lang w:val="en-GB"/>
              </w:rPr>
            </w:pPr>
            <w:r>
              <w:rPr>
                <w:rFonts w:cs="Calibri"/>
                <w:b/>
                <w:bCs/>
                <w:i/>
                <w:iCs/>
                <w:color w:val="000000"/>
                <w:sz w:val="20"/>
                <w:szCs w:val="20"/>
              </w:rPr>
              <w:t>39%</w:t>
            </w:r>
          </w:p>
        </w:tc>
        <w:tc>
          <w:tcPr>
            <w:tcW w:w="1157" w:type="dxa"/>
            <w:tcBorders>
              <w:top w:val="nil"/>
              <w:left w:val="nil"/>
              <w:bottom w:val="single" w:sz="8" w:space="0" w:color="A8D08D"/>
              <w:right w:val="single" w:sz="8" w:space="0" w:color="A8D08D"/>
            </w:tcBorders>
            <w:shd w:val="clear" w:color="000000" w:fill="E2EFD9"/>
            <w:vAlign w:val="center"/>
          </w:tcPr>
          <w:p w14:paraId="78198256" w14:textId="1E13726D" w:rsidR="00F03D8A" w:rsidRPr="008414D9" w:rsidRDefault="00F03D8A" w:rsidP="00F03D8A">
            <w:pPr>
              <w:spacing w:after="120" w:line="240" w:lineRule="auto"/>
              <w:jc w:val="right"/>
              <w:rPr>
                <w:rFonts w:cs="Calibri"/>
                <w:b/>
                <w:bCs/>
                <w:i/>
                <w:iCs/>
                <w:color w:val="000000"/>
                <w:sz w:val="20"/>
                <w:szCs w:val="20"/>
                <w:lang w:val="en-GB"/>
              </w:rPr>
            </w:pPr>
            <w:r>
              <w:rPr>
                <w:rFonts w:cs="Calibri"/>
                <w:b/>
                <w:bCs/>
                <w:color w:val="000000"/>
                <w:sz w:val="20"/>
                <w:szCs w:val="20"/>
              </w:rPr>
              <w:t>65.</w:t>
            </w:r>
            <w:r w:rsidR="0032678C">
              <w:rPr>
                <w:rFonts w:cs="Calibri"/>
                <w:b/>
                <w:bCs/>
                <w:color w:val="000000"/>
                <w:sz w:val="20"/>
                <w:szCs w:val="20"/>
              </w:rPr>
              <w:t>043</w:t>
            </w:r>
          </w:p>
        </w:tc>
        <w:tc>
          <w:tcPr>
            <w:tcW w:w="1158" w:type="dxa"/>
            <w:tcBorders>
              <w:top w:val="nil"/>
              <w:left w:val="nil"/>
              <w:bottom w:val="single" w:sz="8" w:space="0" w:color="A8D08D"/>
              <w:right w:val="single" w:sz="8" w:space="0" w:color="A8D08D"/>
            </w:tcBorders>
            <w:shd w:val="clear" w:color="000000" w:fill="E2EFD9"/>
            <w:vAlign w:val="center"/>
          </w:tcPr>
          <w:p w14:paraId="05AA08C5" w14:textId="052FA89C" w:rsidR="00F03D8A" w:rsidRPr="008414D9" w:rsidRDefault="00F03D8A" w:rsidP="00F03D8A">
            <w:pPr>
              <w:spacing w:after="120" w:line="240" w:lineRule="auto"/>
              <w:jc w:val="right"/>
              <w:rPr>
                <w:rFonts w:cs="Calibri"/>
                <w:b/>
                <w:bCs/>
                <w:i/>
                <w:iCs/>
                <w:color w:val="000000"/>
                <w:sz w:val="20"/>
                <w:szCs w:val="20"/>
                <w:lang w:val="en-GB"/>
              </w:rPr>
            </w:pPr>
            <w:r>
              <w:rPr>
                <w:rFonts w:cs="Calibri"/>
                <w:b/>
                <w:bCs/>
                <w:color w:val="000000"/>
                <w:sz w:val="20"/>
                <w:szCs w:val="20"/>
              </w:rPr>
              <w:t>42.149</w:t>
            </w:r>
          </w:p>
        </w:tc>
        <w:tc>
          <w:tcPr>
            <w:tcW w:w="1158" w:type="dxa"/>
            <w:tcBorders>
              <w:top w:val="nil"/>
              <w:left w:val="nil"/>
              <w:bottom w:val="single" w:sz="8" w:space="0" w:color="A8D08D"/>
              <w:right w:val="single" w:sz="8" w:space="0" w:color="A8D08D"/>
            </w:tcBorders>
            <w:shd w:val="clear" w:color="000000" w:fill="E2EFD9"/>
            <w:vAlign w:val="center"/>
          </w:tcPr>
          <w:p w14:paraId="671F13DA" w14:textId="4EEC9D32" w:rsidR="00F03D8A" w:rsidRPr="008414D9" w:rsidRDefault="00F03D8A" w:rsidP="00F03D8A">
            <w:pPr>
              <w:spacing w:after="120" w:line="240" w:lineRule="auto"/>
              <w:jc w:val="right"/>
              <w:rPr>
                <w:rFonts w:cs="Calibri"/>
                <w:b/>
                <w:bCs/>
                <w:i/>
                <w:iCs/>
                <w:color w:val="000000"/>
                <w:sz w:val="20"/>
                <w:szCs w:val="20"/>
                <w:lang w:val="en-GB"/>
              </w:rPr>
            </w:pPr>
            <w:r>
              <w:rPr>
                <w:rFonts w:cs="Calibri"/>
                <w:b/>
                <w:bCs/>
                <w:i/>
                <w:iCs/>
                <w:color w:val="000000"/>
                <w:sz w:val="20"/>
                <w:szCs w:val="20"/>
              </w:rPr>
              <w:t>5</w:t>
            </w:r>
            <w:r w:rsidR="0032678C">
              <w:rPr>
                <w:rFonts w:cs="Calibri"/>
                <w:b/>
                <w:bCs/>
                <w:i/>
                <w:iCs/>
                <w:color w:val="000000"/>
                <w:sz w:val="20"/>
                <w:szCs w:val="20"/>
              </w:rPr>
              <w:t>4</w:t>
            </w:r>
            <w:r>
              <w:rPr>
                <w:rFonts w:cs="Calibri"/>
                <w:b/>
                <w:bCs/>
                <w:i/>
                <w:iCs/>
                <w:color w:val="000000"/>
                <w:sz w:val="20"/>
                <w:szCs w:val="20"/>
              </w:rPr>
              <w:t>%</w:t>
            </w:r>
          </w:p>
        </w:tc>
      </w:tr>
      <w:tr w:rsidR="00F03D8A" w:rsidRPr="008414D9" w14:paraId="0A250BC9" w14:textId="77777777" w:rsidTr="003715AD">
        <w:trPr>
          <w:trHeight w:val="252"/>
        </w:trPr>
        <w:tc>
          <w:tcPr>
            <w:tcW w:w="2967" w:type="dxa"/>
            <w:tcBorders>
              <w:top w:val="nil"/>
              <w:left w:val="single" w:sz="8" w:space="0" w:color="A8D08D"/>
              <w:bottom w:val="single" w:sz="8" w:space="0" w:color="A8D08D"/>
              <w:right w:val="single" w:sz="8" w:space="0" w:color="A8D08D"/>
            </w:tcBorders>
            <w:shd w:val="clear" w:color="000000" w:fill="E2EFD9"/>
            <w:hideMark/>
          </w:tcPr>
          <w:p w14:paraId="5676D0C1" w14:textId="415E14FF" w:rsidR="00F03D8A" w:rsidRPr="008414D9" w:rsidRDefault="00F03D8A" w:rsidP="00831A4B">
            <w:pPr>
              <w:spacing w:after="120" w:line="240" w:lineRule="auto"/>
              <w:rPr>
                <w:rFonts w:eastAsia="Times New Roman" w:cs="Calibri"/>
                <w:i/>
                <w:iCs/>
                <w:color w:val="000000"/>
                <w:sz w:val="20"/>
                <w:szCs w:val="20"/>
                <w:lang w:val="en-GB"/>
              </w:rPr>
            </w:pPr>
            <w:r w:rsidRPr="008567C6">
              <w:rPr>
                <w:rFonts w:asciiTheme="minorHAnsi" w:hAnsiTheme="minorHAnsi" w:cstheme="minorHAnsi"/>
                <w:i/>
                <w:iCs/>
                <w:sz w:val="20"/>
                <w:szCs w:val="20"/>
              </w:rPr>
              <w:t xml:space="preserve">Περιθώριο </w:t>
            </w:r>
            <w:r>
              <w:rPr>
                <w:rFonts w:asciiTheme="minorHAnsi" w:hAnsiTheme="minorHAnsi" w:cstheme="minorHAnsi"/>
                <w:i/>
                <w:iCs/>
                <w:sz w:val="20"/>
                <w:szCs w:val="20"/>
                <w:lang w:val="en-US"/>
              </w:rPr>
              <w:t>a</w:t>
            </w:r>
            <w:r w:rsidRPr="008567C6">
              <w:rPr>
                <w:rFonts w:asciiTheme="minorHAnsi" w:hAnsiTheme="minorHAnsi" w:cstheme="minorHAnsi"/>
                <w:i/>
                <w:iCs/>
                <w:sz w:val="20"/>
                <w:szCs w:val="20"/>
              </w:rPr>
              <w:t>-EBITDA (%)</w:t>
            </w:r>
          </w:p>
        </w:tc>
        <w:tc>
          <w:tcPr>
            <w:tcW w:w="1157" w:type="dxa"/>
            <w:tcBorders>
              <w:top w:val="nil"/>
              <w:left w:val="nil"/>
              <w:bottom w:val="single" w:sz="8" w:space="0" w:color="A8D08D"/>
              <w:right w:val="single" w:sz="8" w:space="0" w:color="A8D08D"/>
            </w:tcBorders>
            <w:shd w:val="clear" w:color="000000" w:fill="E2EFD9"/>
            <w:noWrap/>
            <w:vAlign w:val="center"/>
          </w:tcPr>
          <w:p w14:paraId="27335521" w14:textId="43FA14F6" w:rsidR="00F03D8A" w:rsidRPr="008414D9" w:rsidRDefault="00F03D8A" w:rsidP="00F03D8A">
            <w:pPr>
              <w:spacing w:after="120" w:line="240" w:lineRule="auto"/>
              <w:jc w:val="right"/>
              <w:rPr>
                <w:rFonts w:eastAsia="Times New Roman" w:cs="Calibri"/>
                <w:i/>
                <w:iCs/>
                <w:color w:val="000000"/>
                <w:sz w:val="20"/>
                <w:szCs w:val="20"/>
                <w:lang w:val="en-GB"/>
              </w:rPr>
            </w:pPr>
            <w:r>
              <w:rPr>
                <w:rFonts w:cs="Calibri"/>
                <w:i/>
                <w:iCs/>
                <w:color w:val="000000"/>
                <w:sz w:val="20"/>
                <w:szCs w:val="20"/>
              </w:rPr>
              <w:t>14,</w:t>
            </w:r>
            <w:r w:rsidR="0032678C">
              <w:rPr>
                <w:rFonts w:cs="Calibri"/>
                <w:i/>
                <w:iCs/>
                <w:color w:val="000000"/>
                <w:sz w:val="20"/>
                <w:szCs w:val="20"/>
              </w:rPr>
              <w:t>7</w:t>
            </w:r>
            <w:r>
              <w:rPr>
                <w:rFonts w:cs="Calibri"/>
                <w:i/>
                <w:iCs/>
                <w:color w:val="000000"/>
                <w:sz w:val="20"/>
                <w:szCs w:val="20"/>
              </w:rPr>
              <w:t>%</w:t>
            </w:r>
          </w:p>
        </w:tc>
        <w:tc>
          <w:tcPr>
            <w:tcW w:w="1158" w:type="dxa"/>
            <w:tcBorders>
              <w:top w:val="nil"/>
              <w:left w:val="nil"/>
              <w:bottom w:val="single" w:sz="8" w:space="0" w:color="A8D08D"/>
              <w:right w:val="single" w:sz="8" w:space="0" w:color="A8D08D"/>
            </w:tcBorders>
            <w:shd w:val="clear" w:color="000000" w:fill="E2EFD9"/>
            <w:noWrap/>
            <w:vAlign w:val="center"/>
          </w:tcPr>
          <w:p w14:paraId="7755A4BB" w14:textId="31D4F847" w:rsidR="00F03D8A" w:rsidRPr="008414D9" w:rsidRDefault="00F03D8A" w:rsidP="00F03D8A">
            <w:pPr>
              <w:spacing w:after="120" w:line="240" w:lineRule="auto"/>
              <w:jc w:val="right"/>
              <w:rPr>
                <w:rFonts w:eastAsia="Times New Roman" w:cs="Calibri"/>
                <w:i/>
                <w:iCs/>
                <w:color w:val="000000"/>
                <w:sz w:val="20"/>
                <w:szCs w:val="20"/>
                <w:lang w:val="en-GB"/>
              </w:rPr>
            </w:pPr>
            <w:r>
              <w:rPr>
                <w:rFonts w:cs="Calibri"/>
                <w:i/>
                <w:iCs/>
                <w:color w:val="000000"/>
                <w:sz w:val="20"/>
                <w:szCs w:val="20"/>
              </w:rPr>
              <w:t>10,8%</w:t>
            </w:r>
          </w:p>
        </w:tc>
        <w:tc>
          <w:tcPr>
            <w:tcW w:w="1158" w:type="dxa"/>
            <w:tcBorders>
              <w:top w:val="nil"/>
              <w:left w:val="nil"/>
              <w:bottom w:val="single" w:sz="8" w:space="0" w:color="A8D08D"/>
              <w:right w:val="single" w:sz="8" w:space="0" w:color="A8D08D"/>
            </w:tcBorders>
            <w:shd w:val="clear" w:color="000000" w:fill="E2EFD9"/>
            <w:vAlign w:val="center"/>
          </w:tcPr>
          <w:p w14:paraId="2B9DA0A8" w14:textId="4B6B9AE8" w:rsidR="00F03D8A" w:rsidRPr="008414D9" w:rsidRDefault="00F03D8A" w:rsidP="00F03D8A">
            <w:pPr>
              <w:spacing w:after="120" w:line="240" w:lineRule="auto"/>
              <w:jc w:val="right"/>
              <w:rPr>
                <w:rFonts w:cs="Calibri"/>
                <w:i/>
                <w:iCs/>
                <w:color w:val="000000"/>
                <w:sz w:val="20"/>
                <w:szCs w:val="20"/>
                <w:lang w:val="en-GB"/>
              </w:rPr>
            </w:pPr>
            <w:r>
              <w:rPr>
                <w:rFonts w:cs="Calibri"/>
                <w:i/>
                <w:iCs/>
                <w:color w:val="000000"/>
                <w:sz w:val="20"/>
                <w:szCs w:val="20"/>
              </w:rPr>
              <w:t>39</w:t>
            </w:r>
            <w:r w:rsidR="0032678C">
              <w:rPr>
                <w:rFonts w:cs="Calibri"/>
                <w:i/>
                <w:iCs/>
                <w:color w:val="000000"/>
                <w:sz w:val="20"/>
                <w:szCs w:val="20"/>
              </w:rPr>
              <w:t>2</w:t>
            </w:r>
            <w:r>
              <w:rPr>
                <w:rFonts w:cs="Calibri"/>
                <w:i/>
                <w:iCs/>
                <w:color w:val="000000"/>
                <w:sz w:val="20"/>
                <w:szCs w:val="20"/>
              </w:rPr>
              <w:t xml:space="preserve"> </w:t>
            </w:r>
            <w:r w:rsidRPr="00EF5461">
              <w:rPr>
                <w:rFonts w:cs="Calibri"/>
                <w:i/>
                <w:iCs/>
                <w:color w:val="000000"/>
                <w:sz w:val="20"/>
                <w:szCs w:val="20"/>
              </w:rPr>
              <w:t>μβ</w:t>
            </w:r>
          </w:p>
        </w:tc>
        <w:tc>
          <w:tcPr>
            <w:tcW w:w="1157" w:type="dxa"/>
            <w:tcBorders>
              <w:top w:val="nil"/>
              <w:left w:val="nil"/>
              <w:bottom w:val="single" w:sz="8" w:space="0" w:color="A8D08D"/>
              <w:right w:val="single" w:sz="8" w:space="0" w:color="A8D08D"/>
            </w:tcBorders>
            <w:shd w:val="clear" w:color="000000" w:fill="E2EFD9"/>
            <w:vAlign w:val="center"/>
          </w:tcPr>
          <w:p w14:paraId="59291749" w14:textId="1A3C4FBB" w:rsidR="00F03D8A" w:rsidRPr="008414D9" w:rsidRDefault="00F03D8A" w:rsidP="00F03D8A">
            <w:pPr>
              <w:spacing w:after="120" w:line="240" w:lineRule="auto"/>
              <w:jc w:val="right"/>
              <w:rPr>
                <w:rFonts w:cs="Calibri"/>
                <w:i/>
                <w:iCs/>
                <w:color w:val="000000"/>
                <w:sz w:val="20"/>
                <w:szCs w:val="20"/>
                <w:lang w:val="en-GB"/>
              </w:rPr>
            </w:pPr>
            <w:r>
              <w:rPr>
                <w:rFonts w:cs="Calibri"/>
                <w:i/>
                <w:iCs/>
                <w:color w:val="000000"/>
                <w:sz w:val="20"/>
                <w:szCs w:val="20"/>
              </w:rPr>
              <w:t>15,</w:t>
            </w:r>
            <w:r w:rsidR="0032678C">
              <w:rPr>
                <w:rFonts w:cs="Calibri"/>
                <w:i/>
                <w:iCs/>
                <w:color w:val="000000"/>
                <w:sz w:val="20"/>
                <w:szCs w:val="20"/>
              </w:rPr>
              <w:t>6</w:t>
            </w:r>
            <w:r>
              <w:rPr>
                <w:rFonts w:cs="Calibri"/>
                <w:i/>
                <w:iCs/>
                <w:color w:val="000000"/>
                <w:sz w:val="20"/>
                <w:szCs w:val="20"/>
              </w:rPr>
              <w:t>%</w:t>
            </w:r>
          </w:p>
        </w:tc>
        <w:tc>
          <w:tcPr>
            <w:tcW w:w="1158" w:type="dxa"/>
            <w:tcBorders>
              <w:top w:val="nil"/>
              <w:left w:val="nil"/>
              <w:bottom w:val="single" w:sz="8" w:space="0" w:color="A8D08D"/>
              <w:right w:val="single" w:sz="8" w:space="0" w:color="A8D08D"/>
            </w:tcBorders>
            <w:shd w:val="clear" w:color="000000" w:fill="E2EFD9"/>
            <w:vAlign w:val="center"/>
          </w:tcPr>
          <w:p w14:paraId="186F2596" w14:textId="69AA45B8" w:rsidR="00F03D8A" w:rsidRPr="008414D9" w:rsidRDefault="00F03D8A" w:rsidP="00F03D8A">
            <w:pPr>
              <w:spacing w:after="120" w:line="240" w:lineRule="auto"/>
              <w:jc w:val="right"/>
              <w:rPr>
                <w:rFonts w:cs="Calibri"/>
                <w:i/>
                <w:iCs/>
                <w:color w:val="000000"/>
                <w:sz w:val="20"/>
                <w:szCs w:val="20"/>
                <w:lang w:val="en-GB"/>
              </w:rPr>
            </w:pPr>
            <w:r>
              <w:rPr>
                <w:rFonts w:cs="Calibri"/>
                <w:i/>
                <w:iCs/>
                <w:color w:val="000000"/>
                <w:sz w:val="20"/>
                <w:szCs w:val="20"/>
              </w:rPr>
              <w:t>10,1%</w:t>
            </w:r>
          </w:p>
        </w:tc>
        <w:tc>
          <w:tcPr>
            <w:tcW w:w="1158" w:type="dxa"/>
            <w:tcBorders>
              <w:top w:val="nil"/>
              <w:left w:val="nil"/>
              <w:bottom w:val="single" w:sz="8" w:space="0" w:color="A8D08D"/>
              <w:right w:val="single" w:sz="8" w:space="0" w:color="A8D08D"/>
            </w:tcBorders>
            <w:shd w:val="clear" w:color="000000" w:fill="E2EFD9"/>
            <w:vAlign w:val="center"/>
          </w:tcPr>
          <w:p w14:paraId="7B01ABB4" w14:textId="70B30078" w:rsidR="00F03D8A" w:rsidRPr="008414D9" w:rsidRDefault="00F03D8A" w:rsidP="00F03D8A">
            <w:pPr>
              <w:spacing w:after="120" w:line="240" w:lineRule="auto"/>
              <w:jc w:val="right"/>
              <w:rPr>
                <w:rFonts w:cs="Calibri"/>
                <w:i/>
                <w:iCs/>
                <w:color w:val="000000"/>
                <w:sz w:val="20"/>
                <w:szCs w:val="20"/>
                <w:lang w:val="en-GB"/>
              </w:rPr>
            </w:pPr>
            <w:r>
              <w:rPr>
                <w:rFonts w:cs="Calibri"/>
                <w:i/>
                <w:iCs/>
                <w:color w:val="000000"/>
                <w:sz w:val="20"/>
                <w:szCs w:val="20"/>
              </w:rPr>
              <w:t>5</w:t>
            </w:r>
            <w:r w:rsidR="0032678C">
              <w:rPr>
                <w:rFonts w:cs="Calibri"/>
                <w:i/>
                <w:iCs/>
                <w:color w:val="000000"/>
                <w:sz w:val="20"/>
                <w:szCs w:val="20"/>
              </w:rPr>
              <w:t>51</w:t>
            </w:r>
            <w:r>
              <w:rPr>
                <w:rFonts w:cs="Calibri"/>
                <w:i/>
                <w:iCs/>
                <w:color w:val="000000"/>
                <w:sz w:val="20"/>
                <w:szCs w:val="20"/>
              </w:rPr>
              <w:t xml:space="preserve"> </w:t>
            </w:r>
            <w:r w:rsidRPr="00EF5461">
              <w:rPr>
                <w:rFonts w:cs="Calibri"/>
                <w:i/>
                <w:iCs/>
                <w:color w:val="000000"/>
                <w:sz w:val="20"/>
                <w:szCs w:val="20"/>
              </w:rPr>
              <w:t>μβ</w:t>
            </w:r>
          </w:p>
        </w:tc>
      </w:tr>
      <w:tr w:rsidR="00F03D8A" w:rsidRPr="008414D9" w14:paraId="4AEFBC68" w14:textId="77777777" w:rsidTr="00D03A03">
        <w:trPr>
          <w:trHeight w:val="252"/>
        </w:trPr>
        <w:tc>
          <w:tcPr>
            <w:tcW w:w="2967" w:type="dxa"/>
            <w:tcBorders>
              <w:top w:val="nil"/>
              <w:left w:val="single" w:sz="8" w:space="0" w:color="A8D08D"/>
              <w:bottom w:val="single" w:sz="8" w:space="0" w:color="A8D08D"/>
              <w:right w:val="single" w:sz="8" w:space="0" w:color="A8D08D"/>
            </w:tcBorders>
            <w:shd w:val="clear" w:color="000000" w:fill="FFFFFF"/>
            <w:hideMark/>
          </w:tcPr>
          <w:p w14:paraId="4A41C701" w14:textId="4185B3DD" w:rsidR="00F03D8A" w:rsidRPr="00F03D8A" w:rsidRDefault="00F03D8A" w:rsidP="00831A4B">
            <w:pPr>
              <w:spacing w:after="120" w:line="240" w:lineRule="auto"/>
              <w:rPr>
                <w:rFonts w:eastAsia="Times New Roman" w:cs="Calibri"/>
                <w:b/>
                <w:bCs/>
                <w:color w:val="000000"/>
                <w:sz w:val="20"/>
                <w:szCs w:val="20"/>
              </w:rPr>
            </w:pPr>
            <w:r w:rsidRPr="008567C6">
              <w:rPr>
                <w:rFonts w:asciiTheme="minorHAnsi" w:hAnsiTheme="minorHAnsi" w:cstheme="minorHAnsi"/>
                <w:b/>
                <w:bCs/>
                <w:sz w:val="20"/>
                <w:szCs w:val="20"/>
              </w:rPr>
              <w:t>Κέρδη προ φόρων, χρηματοδοτικών, επενδυτικών αποτελεσμάτων και αποσβέσεων (EBITDA)</w:t>
            </w:r>
          </w:p>
        </w:tc>
        <w:tc>
          <w:tcPr>
            <w:tcW w:w="1157" w:type="dxa"/>
            <w:tcBorders>
              <w:top w:val="nil"/>
              <w:left w:val="nil"/>
              <w:bottom w:val="single" w:sz="8" w:space="0" w:color="A8D08D"/>
              <w:right w:val="single" w:sz="8" w:space="0" w:color="A8D08D"/>
            </w:tcBorders>
            <w:shd w:val="clear" w:color="000000" w:fill="FFFFFF"/>
            <w:noWrap/>
            <w:vAlign w:val="center"/>
          </w:tcPr>
          <w:p w14:paraId="587C58EA" w14:textId="7D0A8B81" w:rsidR="00F03D8A" w:rsidRPr="008414D9" w:rsidRDefault="00F03D8A" w:rsidP="00F03D8A">
            <w:pPr>
              <w:spacing w:after="120" w:line="240" w:lineRule="auto"/>
              <w:jc w:val="right"/>
              <w:rPr>
                <w:rFonts w:eastAsia="Times New Roman" w:cs="Calibri"/>
                <w:b/>
                <w:bCs/>
                <w:color w:val="000000"/>
                <w:sz w:val="20"/>
                <w:szCs w:val="20"/>
                <w:lang w:val="en-GB"/>
              </w:rPr>
            </w:pPr>
            <w:r>
              <w:rPr>
                <w:rFonts w:cs="Calibri"/>
                <w:color w:val="000000"/>
                <w:sz w:val="20"/>
                <w:szCs w:val="20"/>
              </w:rPr>
              <w:t>121.</w:t>
            </w:r>
            <w:r w:rsidR="001A282A">
              <w:rPr>
                <w:rFonts w:cs="Calibri"/>
                <w:color w:val="000000"/>
                <w:sz w:val="20"/>
                <w:szCs w:val="20"/>
              </w:rPr>
              <w:t>196</w:t>
            </w:r>
          </w:p>
        </w:tc>
        <w:tc>
          <w:tcPr>
            <w:tcW w:w="1158" w:type="dxa"/>
            <w:tcBorders>
              <w:top w:val="nil"/>
              <w:left w:val="nil"/>
              <w:bottom w:val="single" w:sz="8" w:space="0" w:color="A8D08D"/>
              <w:right w:val="single" w:sz="8" w:space="0" w:color="A8D08D"/>
            </w:tcBorders>
            <w:shd w:val="clear" w:color="000000" w:fill="FFFFFF"/>
            <w:noWrap/>
            <w:vAlign w:val="center"/>
          </w:tcPr>
          <w:p w14:paraId="356BE3E6" w14:textId="6CA23A15" w:rsidR="00F03D8A" w:rsidRPr="008414D9" w:rsidRDefault="00F03D8A" w:rsidP="00F03D8A">
            <w:pPr>
              <w:spacing w:after="120" w:line="240" w:lineRule="auto"/>
              <w:jc w:val="right"/>
              <w:rPr>
                <w:rFonts w:eastAsia="Times New Roman" w:cs="Calibri"/>
                <w:b/>
                <w:bCs/>
                <w:color w:val="000000"/>
                <w:sz w:val="20"/>
                <w:szCs w:val="20"/>
                <w:lang w:val="en-GB"/>
              </w:rPr>
            </w:pPr>
            <w:r>
              <w:rPr>
                <w:rFonts w:cs="Calibri"/>
                <w:color w:val="000000"/>
                <w:sz w:val="20"/>
                <w:szCs w:val="20"/>
              </w:rPr>
              <w:t>79.249</w:t>
            </w:r>
          </w:p>
        </w:tc>
        <w:tc>
          <w:tcPr>
            <w:tcW w:w="1158" w:type="dxa"/>
            <w:tcBorders>
              <w:top w:val="nil"/>
              <w:left w:val="nil"/>
              <w:bottom w:val="single" w:sz="8" w:space="0" w:color="A8D08D"/>
              <w:right w:val="single" w:sz="8" w:space="0" w:color="A8D08D"/>
            </w:tcBorders>
            <w:shd w:val="clear" w:color="000000" w:fill="FFFFFF"/>
            <w:vAlign w:val="center"/>
          </w:tcPr>
          <w:p w14:paraId="0712AEB2" w14:textId="5578551B" w:rsidR="00F03D8A" w:rsidRPr="008414D9" w:rsidRDefault="00F03D8A" w:rsidP="00F03D8A">
            <w:pPr>
              <w:spacing w:after="120" w:line="240" w:lineRule="auto"/>
              <w:jc w:val="right"/>
              <w:rPr>
                <w:rFonts w:cs="Calibri"/>
                <w:b/>
                <w:bCs/>
                <w:color w:val="000000"/>
                <w:sz w:val="20"/>
                <w:szCs w:val="20"/>
                <w:lang w:val="en-GB"/>
              </w:rPr>
            </w:pPr>
            <w:r>
              <w:rPr>
                <w:rFonts w:cs="Calibri"/>
                <w:b/>
                <w:bCs/>
                <w:i/>
                <w:iCs/>
                <w:color w:val="000000"/>
                <w:sz w:val="20"/>
                <w:szCs w:val="20"/>
              </w:rPr>
              <w:t>5</w:t>
            </w:r>
            <w:r w:rsidR="0032678C">
              <w:rPr>
                <w:rFonts w:cs="Calibri"/>
                <w:b/>
                <w:bCs/>
                <w:i/>
                <w:iCs/>
                <w:color w:val="000000"/>
                <w:sz w:val="20"/>
                <w:szCs w:val="20"/>
              </w:rPr>
              <w:t>3</w:t>
            </w:r>
            <w:r>
              <w:rPr>
                <w:rFonts w:cs="Calibri"/>
                <w:b/>
                <w:bCs/>
                <w:i/>
                <w:iCs/>
                <w:color w:val="000000"/>
                <w:sz w:val="20"/>
                <w:szCs w:val="20"/>
              </w:rPr>
              <w:t>%</w:t>
            </w:r>
          </w:p>
        </w:tc>
        <w:tc>
          <w:tcPr>
            <w:tcW w:w="1157" w:type="dxa"/>
            <w:tcBorders>
              <w:top w:val="nil"/>
              <w:left w:val="nil"/>
              <w:bottom w:val="single" w:sz="8" w:space="0" w:color="A8D08D"/>
              <w:right w:val="single" w:sz="8" w:space="0" w:color="A8D08D"/>
            </w:tcBorders>
            <w:shd w:val="clear" w:color="000000" w:fill="FFFFFF"/>
            <w:vAlign w:val="center"/>
          </w:tcPr>
          <w:p w14:paraId="72C4A8B8" w14:textId="2A7D4F1F" w:rsidR="00F03D8A" w:rsidRPr="008414D9" w:rsidRDefault="00F03D8A" w:rsidP="00F03D8A">
            <w:pPr>
              <w:spacing w:after="120" w:line="240" w:lineRule="auto"/>
              <w:jc w:val="right"/>
              <w:rPr>
                <w:rFonts w:cs="Calibri"/>
                <w:b/>
                <w:bCs/>
                <w:i/>
                <w:iCs/>
                <w:color w:val="000000"/>
                <w:sz w:val="20"/>
                <w:szCs w:val="20"/>
                <w:lang w:val="en-GB"/>
              </w:rPr>
            </w:pPr>
            <w:r>
              <w:rPr>
                <w:rFonts w:cs="Calibri"/>
                <w:color w:val="000000"/>
                <w:sz w:val="20"/>
                <w:szCs w:val="20"/>
              </w:rPr>
              <w:t>6</w:t>
            </w:r>
            <w:r w:rsidR="0032678C">
              <w:rPr>
                <w:rFonts w:cs="Calibri"/>
                <w:color w:val="000000"/>
                <w:sz w:val="20"/>
                <w:szCs w:val="20"/>
              </w:rPr>
              <w:t>7</w:t>
            </w:r>
            <w:r>
              <w:rPr>
                <w:rFonts w:cs="Calibri"/>
                <w:color w:val="000000"/>
                <w:sz w:val="20"/>
                <w:szCs w:val="20"/>
              </w:rPr>
              <w:t>.</w:t>
            </w:r>
            <w:r w:rsidR="0032678C">
              <w:rPr>
                <w:rFonts w:cs="Calibri"/>
                <w:color w:val="000000"/>
                <w:sz w:val="20"/>
                <w:szCs w:val="20"/>
              </w:rPr>
              <w:t>661</w:t>
            </w:r>
          </w:p>
        </w:tc>
        <w:tc>
          <w:tcPr>
            <w:tcW w:w="1158" w:type="dxa"/>
            <w:tcBorders>
              <w:top w:val="nil"/>
              <w:left w:val="nil"/>
              <w:bottom w:val="single" w:sz="8" w:space="0" w:color="A8D08D"/>
              <w:right w:val="single" w:sz="8" w:space="0" w:color="A8D08D"/>
            </w:tcBorders>
            <w:shd w:val="clear" w:color="000000" w:fill="FFFFFF"/>
            <w:vAlign w:val="center"/>
          </w:tcPr>
          <w:p w14:paraId="7D8994AC" w14:textId="31F2BB53" w:rsidR="00F03D8A" w:rsidRPr="008414D9" w:rsidRDefault="00F03D8A" w:rsidP="00F03D8A">
            <w:pPr>
              <w:spacing w:after="120" w:line="240" w:lineRule="auto"/>
              <w:jc w:val="right"/>
              <w:rPr>
                <w:rFonts w:cs="Calibri"/>
                <w:b/>
                <w:bCs/>
                <w:i/>
                <w:iCs/>
                <w:color w:val="000000"/>
                <w:sz w:val="20"/>
                <w:szCs w:val="20"/>
                <w:lang w:val="en-GB"/>
              </w:rPr>
            </w:pPr>
            <w:r>
              <w:rPr>
                <w:rFonts w:cs="Calibri"/>
                <w:color w:val="000000"/>
                <w:sz w:val="20"/>
                <w:szCs w:val="20"/>
              </w:rPr>
              <w:t>37.427</w:t>
            </w:r>
          </w:p>
        </w:tc>
        <w:tc>
          <w:tcPr>
            <w:tcW w:w="1158" w:type="dxa"/>
            <w:tcBorders>
              <w:top w:val="nil"/>
              <w:left w:val="nil"/>
              <w:bottom w:val="single" w:sz="8" w:space="0" w:color="A8D08D"/>
              <w:right w:val="single" w:sz="8" w:space="0" w:color="A8D08D"/>
            </w:tcBorders>
            <w:shd w:val="clear" w:color="000000" w:fill="FFFFFF"/>
            <w:vAlign w:val="center"/>
          </w:tcPr>
          <w:p w14:paraId="2219982D" w14:textId="30622811" w:rsidR="00F03D8A" w:rsidRPr="008414D9" w:rsidRDefault="00F03D8A" w:rsidP="00F03D8A">
            <w:pPr>
              <w:spacing w:after="120" w:line="240" w:lineRule="auto"/>
              <w:jc w:val="right"/>
              <w:rPr>
                <w:rFonts w:cs="Calibri"/>
                <w:b/>
                <w:bCs/>
                <w:i/>
                <w:iCs/>
                <w:color w:val="000000"/>
                <w:sz w:val="20"/>
                <w:szCs w:val="20"/>
                <w:lang w:val="en-GB"/>
              </w:rPr>
            </w:pPr>
            <w:r>
              <w:rPr>
                <w:rFonts w:cs="Calibri"/>
                <w:b/>
                <w:bCs/>
                <w:i/>
                <w:iCs/>
                <w:color w:val="000000"/>
                <w:sz w:val="20"/>
                <w:szCs w:val="20"/>
              </w:rPr>
              <w:t>8</w:t>
            </w:r>
            <w:r w:rsidR="0032678C">
              <w:rPr>
                <w:rFonts w:cs="Calibri"/>
                <w:b/>
                <w:bCs/>
                <w:i/>
                <w:iCs/>
                <w:color w:val="000000"/>
                <w:sz w:val="20"/>
                <w:szCs w:val="20"/>
              </w:rPr>
              <w:t>1</w:t>
            </w:r>
            <w:r>
              <w:rPr>
                <w:rFonts w:cs="Calibri"/>
                <w:b/>
                <w:bCs/>
                <w:i/>
                <w:iCs/>
                <w:color w:val="000000"/>
                <w:sz w:val="20"/>
                <w:szCs w:val="20"/>
              </w:rPr>
              <w:t>%</w:t>
            </w:r>
          </w:p>
        </w:tc>
      </w:tr>
      <w:tr w:rsidR="00F03D8A" w:rsidRPr="008414D9" w14:paraId="776837FB" w14:textId="77777777" w:rsidTr="00D03A03">
        <w:trPr>
          <w:trHeight w:val="252"/>
        </w:trPr>
        <w:tc>
          <w:tcPr>
            <w:tcW w:w="2967" w:type="dxa"/>
            <w:tcBorders>
              <w:top w:val="nil"/>
              <w:left w:val="single" w:sz="8" w:space="0" w:color="A8D08D"/>
              <w:bottom w:val="single" w:sz="8" w:space="0" w:color="A8D08D"/>
              <w:right w:val="single" w:sz="8" w:space="0" w:color="A8D08D"/>
            </w:tcBorders>
            <w:shd w:val="clear" w:color="000000" w:fill="FFFFFF"/>
            <w:noWrap/>
            <w:hideMark/>
          </w:tcPr>
          <w:p w14:paraId="6A1BB540" w14:textId="0272F7C4" w:rsidR="00F03D8A" w:rsidRPr="008414D9" w:rsidRDefault="00F03D8A" w:rsidP="00831A4B">
            <w:pPr>
              <w:spacing w:after="120" w:line="240" w:lineRule="auto"/>
              <w:rPr>
                <w:rFonts w:eastAsia="Times New Roman" w:cs="Calibri"/>
                <w:i/>
                <w:iCs/>
                <w:color w:val="000000"/>
                <w:sz w:val="20"/>
                <w:szCs w:val="20"/>
                <w:lang w:val="en-GB"/>
              </w:rPr>
            </w:pPr>
            <w:r w:rsidRPr="008567C6">
              <w:rPr>
                <w:rFonts w:asciiTheme="minorHAnsi" w:hAnsiTheme="minorHAnsi" w:cstheme="minorHAnsi"/>
                <w:i/>
                <w:iCs/>
                <w:sz w:val="20"/>
                <w:szCs w:val="20"/>
              </w:rPr>
              <w:t>Περιθώριο EBITDA (%)</w:t>
            </w:r>
          </w:p>
        </w:tc>
        <w:tc>
          <w:tcPr>
            <w:tcW w:w="1157" w:type="dxa"/>
            <w:tcBorders>
              <w:top w:val="nil"/>
              <w:left w:val="nil"/>
              <w:bottom w:val="single" w:sz="8" w:space="0" w:color="A8D08D"/>
              <w:right w:val="single" w:sz="8" w:space="0" w:color="A8D08D"/>
            </w:tcBorders>
            <w:shd w:val="clear" w:color="000000" w:fill="FFFFFF"/>
            <w:noWrap/>
            <w:vAlign w:val="center"/>
          </w:tcPr>
          <w:p w14:paraId="44053F6D" w14:textId="6D6731EC" w:rsidR="00F03D8A" w:rsidRPr="008414D9" w:rsidRDefault="00F03D8A" w:rsidP="00F03D8A">
            <w:pPr>
              <w:spacing w:after="120" w:line="240" w:lineRule="auto"/>
              <w:jc w:val="right"/>
              <w:rPr>
                <w:rFonts w:eastAsia="Times New Roman" w:cs="Calibri"/>
                <w:i/>
                <w:iCs/>
                <w:color w:val="000000"/>
                <w:sz w:val="20"/>
                <w:szCs w:val="20"/>
                <w:lang w:val="en-GB"/>
              </w:rPr>
            </w:pPr>
            <w:r>
              <w:rPr>
                <w:rFonts w:cs="Calibri"/>
                <w:i/>
                <w:iCs/>
                <w:color w:val="000000"/>
                <w:sz w:val="20"/>
                <w:szCs w:val="20"/>
              </w:rPr>
              <w:t>1</w:t>
            </w:r>
            <w:r w:rsidR="001A282A">
              <w:rPr>
                <w:rFonts w:cs="Calibri"/>
                <w:i/>
                <w:iCs/>
                <w:color w:val="000000"/>
                <w:sz w:val="20"/>
                <w:szCs w:val="20"/>
              </w:rPr>
              <w:t>4</w:t>
            </w:r>
            <w:r>
              <w:rPr>
                <w:rFonts w:cs="Calibri"/>
                <w:i/>
                <w:iCs/>
                <w:color w:val="000000"/>
                <w:sz w:val="20"/>
                <w:szCs w:val="20"/>
              </w:rPr>
              <w:t>,</w:t>
            </w:r>
            <w:r w:rsidR="001A282A">
              <w:rPr>
                <w:rFonts w:cs="Calibri"/>
                <w:i/>
                <w:iCs/>
                <w:color w:val="000000"/>
                <w:sz w:val="20"/>
                <w:szCs w:val="20"/>
              </w:rPr>
              <w:t>9</w:t>
            </w:r>
            <w:r>
              <w:rPr>
                <w:rFonts w:cs="Calibri"/>
                <w:i/>
                <w:iCs/>
                <w:color w:val="000000"/>
                <w:sz w:val="20"/>
                <w:szCs w:val="20"/>
              </w:rPr>
              <w:t>%</w:t>
            </w:r>
          </w:p>
        </w:tc>
        <w:tc>
          <w:tcPr>
            <w:tcW w:w="1158" w:type="dxa"/>
            <w:tcBorders>
              <w:top w:val="nil"/>
              <w:left w:val="nil"/>
              <w:bottom w:val="single" w:sz="8" w:space="0" w:color="A8D08D"/>
              <w:right w:val="single" w:sz="8" w:space="0" w:color="A8D08D"/>
            </w:tcBorders>
            <w:shd w:val="clear" w:color="000000" w:fill="FFFFFF"/>
            <w:noWrap/>
            <w:vAlign w:val="center"/>
          </w:tcPr>
          <w:p w14:paraId="185F1703" w14:textId="0AD7178F" w:rsidR="00F03D8A" w:rsidRPr="008414D9" w:rsidRDefault="00F03D8A" w:rsidP="00F03D8A">
            <w:pPr>
              <w:spacing w:after="120" w:line="240" w:lineRule="auto"/>
              <w:jc w:val="right"/>
              <w:rPr>
                <w:rFonts w:eastAsia="Times New Roman" w:cs="Calibri"/>
                <w:i/>
                <w:iCs/>
                <w:color w:val="000000"/>
                <w:sz w:val="20"/>
                <w:szCs w:val="20"/>
                <w:lang w:val="en-GB"/>
              </w:rPr>
            </w:pPr>
            <w:r>
              <w:rPr>
                <w:rFonts w:cs="Calibri"/>
                <w:i/>
                <w:iCs/>
                <w:color w:val="000000"/>
                <w:sz w:val="20"/>
                <w:szCs w:val="20"/>
              </w:rPr>
              <w:t>9,9%</w:t>
            </w:r>
          </w:p>
        </w:tc>
        <w:tc>
          <w:tcPr>
            <w:tcW w:w="1158" w:type="dxa"/>
            <w:tcBorders>
              <w:top w:val="nil"/>
              <w:left w:val="nil"/>
              <w:bottom w:val="single" w:sz="8" w:space="0" w:color="A8D08D"/>
              <w:right w:val="single" w:sz="8" w:space="0" w:color="A8D08D"/>
            </w:tcBorders>
            <w:shd w:val="clear" w:color="000000" w:fill="FFFFFF"/>
            <w:vAlign w:val="center"/>
          </w:tcPr>
          <w:p w14:paraId="13027C79" w14:textId="4CB1F725" w:rsidR="00F03D8A" w:rsidRPr="008414D9" w:rsidRDefault="00F03D8A" w:rsidP="00F03D8A">
            <w:pPr>
              <w:spacing w:after="120" w:line="240" w:lineRule="auto"/>
              <w:jc w:val="right"/>
              <w:rPr>
                <w:rFonts w:cs="Calibri"/>
                <w:i/>
                <w:iCs/>
                <w:color w:val="000000"/>
                <w:sz w:val="20"/>
                <w:szCs w:val="20"/>
                <w:lang w:val="en-GB"/>
              </w:rPr>
            </w:pPr>
            <w:r>
              <w:rPr>
                <w:rFonts w:cs="Calibri"/>
                <w:i/>
                <w:iCs/>
                <w:color w:val="000000"/>
                <w:sz w:val="20"/>
                <w:szCs w:val="20"/>
              </w:rPr>
              <w:t>50</w:t>
            </w:r>
            <w:r w:rsidR="001A282A">
              <w:rPr>
                <w:rFonts w:cs="Calibri"/>
                <w:i/>
                <w:iCs/>
                <w:color w:val="000000"/>
                <w:sz w:val="20"/>
                <w:szCs w:val="20"/>
              </w:rPr>
              <w:t>0</w:t>
            </w:r>
            <w:r>
              <w:rPr>
                <w:rFonts w:cs="Calibri"/>
                <w:i/>
                <w:iCs/>
                <w:color w:val="000000"/>
                <w:sz w:val="20"/>
                <w:szCs w:val="20"/>
              </w:rPr>
              <w:t xml:space="preserve"> </w:t>
            </w:r>
            <w:r w:rsidRPr="00EF5461">
              <w:rPr>
                <w:rFonts w:cs="Calibri"/>
                <w:i/>
                <w:iCs/>
                <w:color w:val="000000"/>
                <w:sz w:val="20"/>
                <w:szCs w:val="20"/>
              </w:rPr>
              <w:t>μβ</w:t>
            </w:r>
          </w:p>
        </w:tc>
        <w:tc>
          <w:tcPr>
            <w:tcW w:w="1157" w:type="dxa"/>
            <w:tcBorders>
              <w:top w:val="nil"/>
              <w:left w:val="nil"/>
              <w:bottom w:val="single" w:sz="8" w:space="0" w:color="A8D08D"/>
              <w:right w:val="single" w:sz="8" w:space="0" w:color="A8D08D"/>
            </w:tcBorders>
            <w:shd w:val="clear" w:color="000000" w:fill="FFFFFF"/>
            <w:vAlign w:val="center"/>
          </w:tcPr>
          <w:p w14:paraId="616DF224" w14:textId="10F6CF07" w:rsidR="00F03D8A" w:rsidRPr="008414D9" w:rsidRDefault="00F03D8A" w:rsidP="00F03D8A">
            <w:pPr>
              <w:spacing w:after="120" w:line="240" w:lineRule="auto"/>
              <w:jc w:val="right"/>
              <w:rPr>
                <w:rFonts w:cs="Calibri"/>
                <w:i/>
                <w:iCs/>
                <w:color w:val="000000"/>
                <w:sz w:val="20"/>
                <w:szCs w:val="20"/>
                <w:lang w:val="en-GB"/>
              </w:rPr>
            </w:pPr>
            <w:r>
              <w:rPr>
                <w:rFonts w:cs="Calibri"/>
                <w:i/>
                <w:iCs/>
                <w:color w:val="000000"/>
                <w:sz w:val="20"/>
                <w:szCs w:val="20"/>
              </w:rPr>
              <w:t>16,</w:t>
            </w:r>
            <w:r w:rsidR="001A282A">
              <w:rPr>
                <w:rFonts w:cs="Calibri"/>
                <w:i/>
                <w:iCs/>
                <w:color w:val="000000"/>
                <w:sz w:val="20"/>
                <w:szCs w:val="20"/>
              </w:rPr>
              <w:t>2</w:t>
            </w:r>
            <w:r>
              <w:rPr>
                <w:rFonts w:cs="Calibri"/>
                <w:i/>
                <w:iCs/>
                <w:color w:val="000000"/>
                <w:sz w:val="20"/>
                <w:szCs w:val="20"/>
              </w:rPr>
              <w:t>%</w:t>
            </w:r>
          </w:p>
        </w:tc>
        <w:tc>
          <w:tcPr>
            <w:tcW w:w="1158" w:type="dxa"/>
            <w:tcBorders>
              <w:top w:val="nil"/>
              <w:left w:val="nil"/>
              <w:bottom w:val="single" w:sz="8" w:space="0" w:color="A8D08D"/>
              <w:right w:val="single" w:sz="8" w:space="0" w:color="A8D08D"/>
            </w:tcBorders>
            <w:shd w:val="clear" w:color="000000" w:fill="FFFFFF"/>
            <w:vAlign w:val="center"/>
          </w:tcPr>
          <w:p w14:paraId="51EF3428" w14:textId="2415E2DF" w:rsidR="00F03D8A" w:rsidRPr="008414D9" w:rsidRDefault="00F03D8A" w:rsidP="00F03D8A">
            <w:pPr>
              <w:spacing w:after="120" w:line="240" w:lineRule="auto"/>
              <w:jc w:val="right"/>
              <w:rPr>
                <w:rFonts w:cs="Calibri"/>
                <w:i/>
                <w:iCs/>
                <w:color w:val="000000"/>
                <w:sz w:val="20"/>
                <w:szCs w:val="20"/>
                <w:lang w:val="en-GB"/>
              </w:rPr>
            </w:pPr>
            <w:r>
              <w:rPr>
                <w:rFonts w:cs="Calibri"/>
                <w:i/>
                <w:iCs/>
                <w:color w:val="000000"/>
                <w:sz w:val="20"/>
                <w:szCs w:val="20"/>
              </w:rPr>
              <w:t>9,0%</w:t>
            </w:r>
          </w:p>
        </w:tc>
        <w:tc>
          <w:tcPr>
            <w:tcW w:w="1158" w:type="dxa"/>
            <w:tcBorders>
              <w:top w:val="nil"/>
              <w:left w:val="nil"/>
              <w:bottom w:val="single" w:sz="8" w:space="0" w:color="A8D08D"/>
              <w:right w:val="single" w:sz="8" w:space="0" w:color="A8D08D"/>
            </w:tcBorders>
            <w:shd w:val="clear" w:color="000000" w:fill="FFFFFF"/>
            <w:vAlign w:val="center"/>
          </w:tcPr>
          <w:p w14:paraId="60B0BDA4" w14:textId="7751978C" w:rsidR="00F03D8A" w:rsidRPr="008414D9" w:rsidRDefault="00F03D8A" w:rsidP="00F03D8A">
            <w:pPr>
              <w:spacing w:after="120" w:line="240" w:lineRule="auto"/>
              <w:jc w:val="right"/>
              <w:rPr>
                <w:rFonts w:cs="Calibri"/>
                <w:i/>
                <w:iCs/>
                <w:color w:val="000000"/>
                <w:sz w:val="20"/>
                <w:szCs w:val="20"/>
                <w:lang w:val="en-GB"/>
              </w:rPr>
            </w:pPr>
            <w:r>
              <w:rPr>
                <w:rFonts w:cs="Calibri"/>
                <w:i/>
                <w:iCs/>
                <w:color w:val="000000"/>
                <w:sz w:val="20"/>
                <w:szCs w:val="20"/>
              </w:rPr>
              <w:t>7</w:t>
            </w:r>
            <w:r w:rsidR="001A282A">
              <w:rPr>
                <w:rFonts w:cs="Calibri"/>
                <w:i/>
                <w:iCs/>
                <w:color w:val="000000"/>
                <w:sz w:val="20"/>
                <w:szCs w:val="20"/>
              </w:rPr>
              <w:t>27</w:t>
            </w:r>
            <w:r>
              <w:rPr>
                <w:rFonts w:cs="Calibri"/>
                <w:i/>
                <w:iCs/>
                <w:color w:val="000000"/>
                <w:sz w:val="20"/>
                <w:szCs w:val="20"/>
              </w:rPr>
              <w:t xml:space="preserve"> </w:t>
            </w:r>
            <w:r w:rsidRPr="00EF5461">
              <w:rPr>
                <w:rFonts w:cs="Calibri"/>
                <w:i/>
                <w:iCs/>
                <w:color w:val="000000"/>
                <w:sz w:val="20"/>
                <w:szCs w:val="20"/>
              </w:rPr>
              <w:t>μβ</w:t>
            </w:r>
          </w:p>
        </w:tc>
      </w:tr>
      <w:tr w:rsidR="00F03D8A" w:rsidRPr="008414D9" w14:paraId="69067840" w14:textId="77777777" w:rsidTr="00F05ADC">
        <w:trPr>
          <w:trHeight w:val="252"/>
        </w:trPr>
        <w:tc>
          <w:tcPr>
            <w:tcW w:w="2967" w:type="dxa"/>
            <w:tcBorders>
              <w:top w:val="nil"/>
              <w:left w:val="single" w:sz="8" w:space="0" w:color="A8D08D"/>
              <w:bottom w:val="single" w:sz="8" w:space="0" w:color="A8D08D"/>
              <w:right w:val="single" w:sz="8" w:space="0" w:color="A8D08D"/>
            </w:tcBorders>
            <w:shd w:val="clear" w:color="000000" w:fill="E2EFD9"/>
            <w:hideMark/>
          </w:tcPr>
          <w:p w14:paraId="74389E9A" w14:textId="758EE665" w:rsidR="00F03D8A" w:rsidRPr="00F03D8A" w:rsidRDefault="00F03D8A" w:rsidP="00831A4B">
            <w:pPr>
              <w:spacing w:after="120" w:line="240" w:lineRule="auto"/>
              <w:rPr>
                <w:rFonts w:eastAsia="Times New Roman" w:cs="Calibri"/>
                <w:b/>
                <w:bCs/>
                <w:color w:val="000000"/>
                <w:sz w:val="20"/>
                <w:szCs w:val="20"/>
              </w:rPr>
            </w:pPr>
            <w:r w:rsidRPr="008567C6">
              <w:rPr>
                <w:rFonts w:asciiTheme="minorHAnsi" w:hAnsiTheme="minorHAnsi" w:cstheme="minorHAnsi"/>
                <w:b/>
                <w:bCs/>
                <w:sz w:val="20"/>
                <w:szCs w:val="20"/>
              </w:rPr>
              <w:t>Αναπροσαρμοσμένα κέρδη προ φόρων, χρηματοδοτικών και επενδυτικών αποτελεσμάτων (α-EBIT)</w:t>
            </w:r>
          </w:p>
        </w:tc>
        <w:tc>
          <w:tcPr>
            <w:tcW w:w="1157" w:type="dxa"/>
            <w:tcBorders>
              <w:top w:val="nil"/>
              <w:left w:val="nil"/>
              <w:bottom w:val="single" w:sz="8" w:space="0" w:color="A8D08D"/>
              <w:right w:val="single" w:sz="8" w:space="0" w:color="A8D08D"/>
            </w:tcBorders>
            <w:shd w:val="clear" w:color="000000" w:fill="E2EFD9"/>
            <w:noWrap/>
            <w:vAlign w:val="center"/>
          </w:tcPr>
          <w:p w14:paraId="3B29750E" w14:textId="5C4E997D" w:rsidR="00F03D8A" w:rsidRPr="008414D9" w:rsidRDefault="00F03D8A" w:rsidP="00F03D8A">
            <w:pPr>
              <w:spacing w:after="120" w:line="240" w:lineRule="auto"/>
              <w:jc w:val="right"/>
              <w:rPr>
                <w:rFonts w:eastAsia="Times New Roman" w:cs="Calibri"/>
                <w:b/>
                <w:bCs/>
                <w:color w:val="000000"/>
                <w:sz w:val="20"/>
                <w:szCs w:val="20"/>
                <w:lang w:val="en-GB"/>
              </w:rPr>
            </w:pPr>
            <w:r>
              <w:rPr>
                <w:rFonts w:cs="Calibri"/>
                <w:b/>
                <w:bCs/>
                <w:color w:val="000000"/>
                <w:sz w:val="20"/>
                <w:szCs w:val="20"/>
              </w:rPr>
              <w:t>10</w:t>
            </w:r>
            <w:r w:rsidR="001A282A">
              <w:rPr>
                <w:rFonts w:cs="Calibri"/>
                <w:b/>
                <w:bCs/>
                <w:color w:val="000000"/>
                <w:sz w:val="20"/>
                <w:szCs w:val="20"/>
              </w:rPr>
              <w:t>2</w:t>
            </w:r>
            <w:r>
              <w:rPr>
                <w:rFonts w:cs="Calibri"/>
                <w:b/>
                <w:bCs/>
                <w:color w:val="000000"/>
                <w:sz w:val="20"/>
                <w:szCs w:val="20"/>
              </w:rPr>
              <w:t>.</w:t>
            </w:r>
            <w:r w:rsidR="001A282A">
              <w:rPr>
                <w:rFonts w:cs="Calibri"/>
                <w:b/>
                <w:bCs/>
                <w:color w:val="000000"/>
                <w:sz w:val="20"/>
                <w:szCs w:val="20"/>
              </w:rPr>
              <w:t>890</w:t>
            </w:r>
          </w:p>
        </w:tc>
        <w:tc>
          <w:tcPr>
            <w:tcW w:w="1158" w:type="dxa"/>
            <w:tcBorders>
              <w:top w:val="nil"/>
              <w:left w:val="nil"/>
              <w:bottom w:val="single" w:sz="8" w:space="0" w:color="A8D08D"/>
              <w:right w:val="single" w:sz="8" w:space="0" w:color="A8D08D"/>
            </w:tcBorders>
            <w:shd w:val="clear" w:color="000000" w:fill="E2EFD9"/>
            <w:noWrap/>
            <w:vAlign w:val="center"/>
          </w:tcPr>
          <w:p w14:paraId="407C5E59" w14:textId="09160658" w:rsidR="00F03D8A" w:rsidRPr="008414D9" w:rsidRDefault="00F03D8A" w:rsidP="00F03D8A">
            <w:pPr>
              <w:spacing w:after="120" w:line="240" w:lineRule="auto"/>
              <w:jc w:val="right"/>
              <w:rPr>
                <w:rFonts w:eastAsia="Times New Roman" w:cs="Calibri"/>
                <w:b/>
                <w:bCs/>
                <w:color w:val="000000"/>
                <w:sz w:val="20"/>
                <w:szCs w:val="20"/>
                <w:lang w:val="en-GB"/>
              </w:rPr>
            </w:pPr>
            <w:r>
              <w:rPr>
                <w:rFonts w:cs="Calibri"/>
                <w:b/>
                <w:bCs/>
                <w:color w:val="000000"/>
                <w:sz w:val="20"/>
                <w:szCs w:val="20"/>
              </w:rPr>
              <w:t>71.611</w:t>
            </w:r>
          </w:p>
        </w:tc>
        <w:tc>
          <w:tcPr>
            <w:tcW w:w="1158" w:type="dxa"/>
            <w:tcBorders>
              <w:top w:val="nil"/>
              <w:left w:val="nil"/>
              <w:bottom w:val="single" w:sz="8" w:space="0" w:color="A8D08D"/>
              <w:right w:val="single" w:sz="8" w:space="0" w:color="A8D08D"/>
            </w:tcBorders>
            <w:shd w:val="clear" w:color="000000" w:fill="E2EFD9"/>
            <w:vAlign w:val="center"/>
          </w:tcPr>
          <w:p w14:paraId="7E3C4203" w14:textId="13B3C6EF" w:rsidR="00F03D8A" w:rsidRPr="008414D9" w:rsidRDefault="00F03D8A" w:rsidP="00F03D8A">
            <w:pPr>
              <w:spacing w:after="120" w:line="240" w:lineRule="auto"/>
              <w:jc w:val="right"/>
              <w:rPr>
                <w:rFonts w:cs="Calibri"/>
                <w:b/>
                <w:bCs/>
                <w:color w:val="000000"/>
                <w:sz w:val="20"/>
                <w:szCs w:val="20"/>
                <w:lang w:val="en-GB"/>
              </w:rPr>
            </w:pPr>
            <w:r>
              <w:rPr>
                <w:rFonts w:cs="Calibri"/>
                <w:b/>
                <w:bCs/>
                <w:i/>
                <w:iCs/>
                <w:color w:val="000000"/>
                <w:sz w:val="20"/>
                <w:szCs w:val="20"/>
              </w:rPr>
              <w:t>44%</w:t>
            </w:r>
          </w:p>
        </w:tc>
        <w:tc>
          <w:tcPr>
            <w:tcW w:w="1157" w:type="dxa"/>
            <w:tcBorders>
              <w:top w:val="nil"/>
              <w:left w:val="nil"/>
              <w:bottom w:val="single" w:sz="8" w:space="0" w:color="A8D08D"/>
              <w:right w:val="single" w:sz="8" w:space="0" w:color="A8D08D"/>
            </w:tcBorders>
            <w:shd w:val="clear" w:color="000000" w:fill="E2EFD9"/>
            <w:vAlign w:val="center"/>
          </w:tcPr>
          <w:p w14:paraId="68BD6A71" w14:textId="715DC728" w:rsidR="00F03D8A" w:rsidRPr="008414D9" w:rsidRDefault="00F03D8A" w:rsidP="00F03D8A">
            <w:pPr>
              <w:spacing w:after="120" w:line="240" w:lineRule="auto"/>
              <w:jc w:val="right"/>
              <w:rPr>
                <w:rFonts w:cs="Calibri"/>
                <w:b/>
                <w:bCs/>
                <w:i/>
                <w:iCs/>
                <w:color w:val="000000"/>
                <w:sz w:val="20"/>
                <w:szCs w:val="20"/>
                <w:lang w:val="en-GB"/>
              </w:rPr>
            </w:pPr>
            <w:r>
              <w:rPr>
                <w:rFonts w:cs="Calibri"/>
                <w:b/>
                <w:bCs/>
                <w:color w:val="000000"/>
                <w:sz w:val="20"/>
                <w:szCs w:val="20"/>
              </w:rPr>
              <w:t>5</w:t>
            </w:r>
            <w:r w:rsidR="001A282A">
              <w:rPr>
                <w:rFonts w:cs="Calibri"/>
                <w:b/>
                <w:bCs/>
                <w:color w:val="000000"/>
                <w:sz w:val="20"/>
                <w:szCs w:val="20"/>
              </w:rPr>
              <w:t>6</w:t>
            </w:r>
            <w:r>
              <w:rPr>
                <w:rFonts w:cs="Calibri"/>
                <w:b/>
                <w:bCs/>
                <w:color w:val="000000"/>
                <w:sz w:val="20"/>
                <w:szCs w:val="20"/>
              </w:rPr>
              <w:t>.</w:t>
            </w:r>
            <w:r w:rsidR="001A282A">
              <w:rPr>
                <w:rFonts w:cs="Calibri"/>
                <w:b/>
                <w:bCs/>
                <w:color w:val="000000"/>
                <w:sz w:val="20"/>
                <w:szCs w:val="20"/>
              </w:rPr>
              <w:t>655</w:t>
            </w:r>
          </w:p>
        </w:tc>
        <w:tc>
          <w:tcPr>
            <w:tcW w:w="1158" w:type="dxa"/>
            <w:tcBorders>
              <w:top w:val="nil"/>
              <w:left w:val="nil"/>
              <w:bottom w:val="single" w:sz="8" w:space="0" w:color="A8D08D"/>
              <w:right w:val="single" w:sz="8" w:space="0" w:color="A8D08D"/>
            </w:tcBorders>
            <w:shd w:val="clear" w:color="000000" w:fill="E2EFD9"/>
            <w:vAlign w:val="center"/>
          </w:tcPr>
          <w:p w14:paraId="45A96CE8" w14:textId="0751B3E2" w:rsidR="00F03D8A" w:rsidRPr="008414D9" w:rsidRDefault="00F03D8A" w:rsidP="00F03D8A">
            <w:pPr>
              <w:spacing w:after="120" w:line="240" w:lineRule="auto"/>
              <w:jc w:val="right"/>
              <w:rPr>
                <w:rFonts w:cs="Calibri"/>
                <w:b/>
                <w:bCs/>
                <w:i/>
                <w:iCs/>
                <w:color w:val="000000"/>
                <w:sz w:val="20"/>
                <w:szCs w:val="20"/>
                <w:lang w:val="en-GB"/>
              </w:rPr>
            </w:pPr>
            <w:r>
              <w:rPr>
                <w:rFonts w:cs="Calibri"/>
                <w:b/>
                <w:bCs/>
                <w:color w:val="000000"/>
                <w:sz w:val="20"/>
                <w:szCs w:val="20"/>
              </w:rPr>
              <w:t>34.713</w:t>
            </w:r>
          </w:p>
        </w:tc>
        <w:tc>
          <w:tcPr>
            <w:tcW w:w="1158" w:type="dxa"/>
            <w:tcBorders>
              <w:top w:val="nil"/>
              <w:left w:val="nil"/>
              <w:bottom w:val="single" w:sz="8" w:space="0" w:color="A8D08D"/>
              <w:right w:val="single" w:sz="8" w:space="0" w:color="A8D08D"/>
            </w:tcBorders>
            <w:shd w:val="clear" w:color="000000" w:fill="E2EFD9"/>
            <w:vAlign w:val="center"/>
          </w:tcPr>
          <w:p w14:paraId="0FC3E3CA" w14:textId="12A4BEA2" w:rsidR="00F03D8A" w:rsidRPr="008414D9" w:rsidRDefault="00F03D8A" w:rsidP="00F03D8A">
            <w:pPr>
              <w:spacing w:after="120" w:line="240" w:lineRule="auto"/>
              <w:jc w:val="right"/>
              <w:rPr>
                <w:rFonts w:cs="Calibri"/>
                <w:b/>
                <w:bCs/>
                <w:i/>
                <w:iCs/>
                <w:color w:val="000000"/>
                <w:sz w:val="20"/>
                <w:szCs w:val="20"/>
                <w:lang w:val="en-GB"/>
              </w:rPr>
            </w:pPr>
            <w:r>
              <w:rPr>
                <w:rFonts w:cs="Calibri"/>
                <w:b/>
                <w:bCs/>
                <w:i/>
                <w:iCs/>
                <w:color w:val="000000"/>
                <w:sz w:val="20"/>
                <w:szCs w:val="20"/>
              </w:rPr>
              <w:t>6</w:t>
            </w:r>
            <w:r w:rsidR="001A282A">
              <w:rPr>
                <w:rFonts w:cs="Calibri"/>
                <w:b/>
                <w:bCs/>
                <w:i/>
                <w:iCs/>
                <w:color w:val="000000"/>
                <w:sz w:val="20"/>
                <w:szCs w:val="20"/>
              </w:rPr>
              <w:t>3</w:t>
            </w:r>
            <w:r>
              <w:rPr>
                <w:rFonts w:cs="Calibri"/>
                <w:b/>
                <w:bCs/>
                <w:i/>
                <w:iCs/>
                <w:color w:val="000000"/>
                <w:sz w:val="20"/>
                <w:szCs w:val="20"/>
              </w:rPr>
              <w:t>%</w:t>
            </w:r>
          </w:p>
        </w:tc>
      </w:tr>
      <w:tr w:rsidR="00F03D8A" w:rsidRPr="008414D9" w14:paraId="19994725" w14:textId="77777777" w:rsidTr="00F05ADC">
        <w:trPr>
          <w:trHeight w:val="252"/>
        </w:trPr>
        <w:tc>
          <w:tcPr>
            <w:tcW w:w="2967" w:type="dxa"/>
            <w:tcBorders>
              <w:top w:val="nil"/>
              <w:left w:val="single" w:sz="8" w:space="0" w:color="A8D08D"/>
              <w:bottom w:val="single" w:sz="8" w:space="0" w:color="A8D08D"/>
              <w:right w:val="single" w:sz="8" w:space="0" w:color="A8D08D"/>
            </w:tcBorders>
            <w:shd w:val="clear" w:color="000000" w:fill="E2EFD9"/>
            <w:hideMark/>
          </w:tcPr>
          <w:p w14:paraId="38400E1C" w14:textId="082F160C" w:rsidR="00F03D8A" w:rsidRPr="008414D9" w:rsidRDefault="00F03D8A" w:rsidP="00831A4B">
            <w:pPr>
              <w:spacing w:after="120" w:line="240" w:lineRule="auto"/>
              <w:rPr>
                <w:rFonts w:eastAsia="Times New Roman" w:cs="Calibri"/>
                <w:i/>
                <w:iCs/>
                <w:color w:val="000000"/>
                <w:sz w:val="20"/>
                <w:szCs w:val="20"/>
                <w:lang w:val="en-GB"/>
              </w:rPr>
            </w:pPr>
            <w:r w:rsidRPr="008567C6">
              <w:rPr>
                <w:rFonts w:asciiTheme="minorHAnsi" w:hAnsiTheme="minorHAnsi" w:cstheme="minorHAnsi"/>
                <w:i/>
                <w:iCs/>
                <w:sz w:val="20"/>
                <w:szCs w:val="20"/>
              </w:rPr>
              <w:t>Περιθώριο a-EBIT (%)</w:t>
            </w:r>
          </w:p>
        </w:tc>
        <w:tc>
          <w:tcPr>
            <w:tcW w:w="1157" w:type="dxa"/>
            <w:tcBorders>
              <w:top w:val="nil"/>
              <w:left w:val="nil"/>
              <w:bottom w:val="single" w:sz="8" w:space="0" w:color="A8D08D"/>
              <w:right w:val="single" w:sz="8" w:space="0" w:color="A8D08D"/>
            </w:tcBorders>
            <w:shd w:val="clear" w:color="000000" w:fill="E2EFD9"/>
            <w:noWrap/>
            <w:vAlign w:val="center"/>
          </w:tcPr>
          <w:p w14:paraId="0C6A205E" w14:textId="28C2156A" w:rsidR="00F03D8A" w:rsidRPr="008414D9" w:rsidRDefault="00F03D8A" w:rsidP="00F03D8A">
            <w:pPr>
              <w:spacing w:after="120" w:line="240" w:lineRule="auto"/>
              <w:jc w:val="right"/>
              <w:rPr>
                <w:rFonts w:eastAsia="Times New Roman" w:cs="Calibri"/>
                <w:i/>
                <w:iCs/>
                <w:color w:val="000000"/>
                <w:sz w:val="20"/>
                <w:szCs w:val="20"/>
                <w:lang w:val="en-GB"/>
              </w:rPr>
            </w:pPr>
            <w:r>
              <w:rPr>
                <w:rFonts w:cs="Calibri"/>
                <w:i/>
                <w:iCs/>
                <w:color w:val="000000"/>
                <w:sz w:val="20"/>
                <w:szCs w:val="20"/>
              </w:rPr>
              <w:t>12,7%</w:t>
            </w:r>
          </w:p>
        </w:tc>
        <w:tc>
          <w:tcPr>
            <w:tcW w:w="1158" w:type="dxa"/>
            <w:tcBorders>
              <w:top w:val="nil"/>
              <w:left w:val="nil"/>
              <w:bottom w:val="single" w:sz="8" w:space="0" w:color="A8D08D"/>
              <w:right w:val="single" w:sz="8" w:space="0" w:color="A8D08D"/>
            </w:tcBorders>
            <w:shd w:val="clear" w:color="000000" w:fill="E2EFD9"/>
            <w:noWrap/>
            <w:vAlign w:val="center"/>
          </w:tcPr>
          <w:p w14:paraId="5E68619B" w14:textId="0CE1BAD6" w:rsidR="00F03D8A" w:rsidRPr="008414D9" w:rsidRDefault="00F03D8A" w:rsidP="00F03D8A">
            <w:pPr>
              <w:spacing w:after="120" w:line="240" w:lineRule="auto"/>
              <w:jc w:val="right"/>
              <w:rPr>
                <w:rFonts w:eastAsia="Times New Roman" w:cs="Calibri"/>
                <w:i/>
                <w:iCs/>
                <w:color w:val="000000"/>
                <w:sz w:val="20"/>
                <w:szCs w:val="20"/>
                <w:lang w:val="en-GB"/>
              </w:rPr>
            </w:pPr>
            <w:r>
              <w:rPr>
                <w:rFonts w:cs="Calibri"/>
                <w:i/>
                <w:iCs/>
                <w:color w:val="000000"/>
                <w:sz w:val="20"/>
                <w:szCs w:val="20"/>
              </w:rPr>
              <w:t>9,0%</w:t>
            </w:r>
          </w:p>
        </w:tc>
        <w:tc>
          <w:tcPr>
            <w:tcW w:w="1158" w:type="dxa"/>
            <w:tcBorders>
              <w:top w:val="nil"/>
              <w:left w:val="nil"/>
              <w:bottom w:val="single" w:sz="8" w:space="0" w:color="A8D08D"/>
              <w:right w:val="single" w:sz="8" w:space="0" w:color="A8D08D"/>
            </w:tcBorders>
            <w:shd w:val="clear" w:color="000000" w:fill="E2EFD9"/>
            <w:vAlign w:val="center"/>
          </w:tcPr>
          <w:p w14:paraId="65755EA2" w14:textId="4E194242" w:rsidR="00F03D8A" w:rsidRPr="008414D9" w:rsidRDefault="00F03D8A" w:rsidP="00F03D8A">
            <w:pPr>
              <w:spacing w:after="120" w:line="240" w:lineRule="auto"/>
              <w:jc w:val="right"/>
              <w:rPr>
                <w:rFonts w:cs="Calibri"/>
                <w:i/>
                <w:iCs/>
                <w:color w:val="000000"/>
                <w:sz w:val="20"/>
                <w:szCs w:val="20"/>
                <w:lang w:val="en-GB"/>
              </w:rPr>
            </w:pPr>
            <w:r>
              <w:rPr>
                <w:rFonts w:cs="Calibri"/>
                <w:i/>
                <w:iCs/>
                <w:color w:val="000000"/>
                <w:sz w:val="20"/>
                <w:szCs w:val="20"/>
              </w:rPr>
              <w:t>37</w:t>
            </w:r>
            <w:r w:rsidR="001A282A">
              <w:rPr>
                <w:rFonts w:cs="Calibri"/>
                <w:i/>
                <w:iCs/>
                <w:color w:val="000000"/>
                <w:sz w:val="20"/>
                <w:szCs w:val="20"/>
              </w:rPr>
              <w:t>0</w:t>
            </w:r>
            <w:r>
              <w:rPr>
                <w:rFonts w:cs="Calibri"/>
                <w:i/>
                <w:iCs/>
                <w:color w:val="000000"/>
                <w:sz w:val="20"/>
                <w:szCs w:val="20"/>
              </w:rPr>
              <w:t xml:space="preserve"> </w:t>
            </w:r>
            <w:r w:rsidRPr="00EF5461">
              <w:rPr>
                <w:rFonts w:cs="Calibri"/>
                <w:i/>
                <w:iCs/>
                <w:color w:val="000000"/>
                <w:sz w:val="20"/>
                <w:szCs w:val="20"/>
              </w:rPr>
              <w:t>μβ</w:t>
            </w:r>
          </w:p>
        </w:tc>
        <w:tc>
          <w:tcPr>
            <w:tcW w:w="1157" w:type="dxa"/>
            <w:tcBorders>
              <w:top w:val="nil"/>
              <w:left w:val="nil"/>
              <w:bottom w:val="single" w:sz="8" w:space="0" w:color="A8D08D"/>
              <w:right w:val="single" w:sz="8" w:space="0" w:color="A8D08D"/>
            </w:tcBorders>
            <w:shd w:val="clear" w:color="000000" w:fill="E2EFD9"/>
            <w:vAlign w:val="center"/>
          </w:tcPr>
          <w:p w14:paraId="62BC5932" w14:textId="06D80C70" w:rsidR="00F03D8A" w:rsidRPr="008414D9" w:rsidRDefault="00F03D8A" w:rsidP="00F03D8A">
            <w:pPr>
              <w:spacing w:after="120" w:line="240" w:lineRule="auto"/>
              <w:jc w:val="right"/>
              <w:rPr>
                <w:rFonts w:cs="Calibri"/>
                <w:i/>
                <w:iCs/>
                <w:color w:val="000000"/>
                <w:sz w:val="20"/>
                <w:szCs w:val="20"/>
                <w:lang w:val="en-GB"/>
              </w:rPr>
            </w:pPr>
            <w:r>
              <w:rPr>
                <w:rFonts w:cs="Calibri"/>
                <w:i/>
                <w:iCs/>
                <w:color w:val="000000"/>
                <w:sz w:val="20"/>
                <w:szCs w:val="20"/>
              </w:rPr>
              <w:t>13,</w:t>
            </w:r>
            <w:r w:rsidR="001A282A">
              <w:rPr>
                <w:rFonts w:cs="Calibri"/>
                <w:i/>
                <w:iCs/>
                <w:color w:val="000000"/>
                <w:sz w:val="20"/>
                <w:szCs w:val="20"/>
              </w:rPr>
              <w:t>6</w:t>
            </w:r>
            <w:r>
              <w:rPr>
                <w:rFonts w:cs="Calibri"/>
                <w:i/>
                <w:iCs/>
                <w:color w:val="000000"/>
                <w:sz w:val="20"/>
                <w:szCs w:val="20"/>
              </w:rPr>
              <w:t>%</w:t>
            </w:r>
          </w:p>
        </w:tc>
        <w:tc>
          <w:tcPr>
            <w:tcW w:w="1158" w:type="dxa"/>
            <w:tcBorders>
              <w:top w:val="nil"/>
              <w:left w:val="nil"/>
              <w:bottom w:val="single" w:sz="8" w:space="0" w:color="A8D08D"/>
              <w:right w:val="single" w:sz="8" w:space="0" w:color="A8D08D"/>
            </w:tcBorders>
            <w:shd w:val="clear" w:color="000000" w:fill="E2EFD9"/>
            <w:vAlign w:val="center"/>
          </w:tcPr>
          <w:p w14:paraId="6EB6C607" w14:textId="7FFA6D4A" w:rsidR="00F03D8A" w:rsidRPr="008414D9" w:rsidRDefault="00F03D8A" w:rsidP="00F03D8A">
            <w:pPr>
              <w:spacing w:after="120" w:line="240" w:lineRule="auto"/>
              <w:jc w:val="right"/>
              <w:rPr>
                <w:rFonts w:cs="Calibri"/>
                <w:i/>
                <w:iCs/>
                <w:color w:val="000000"/>
                <w:sz w:val="20"/>
                <w:szCs w:val="20"/>
                <w:lang w:val="en-GB"/>
              </w:rPr>
            </w:pPr>
            <w:r>
              <w:rPr>
                <w:rFonts w:cs="Calibri"/>
                <w:i/>
                <w:iCs/>
                <w:color w:val="000000"/>
                <w:sz w:val="20"/>
                <w:szCs w:val="20"/>
              </w:rPr>
              <w:t>8,3%</w:t>
            </w:r>
          </w:p>
        </w:tc>
        <w:tc>
          <w:tcPr>
            <w:tcW w:w="1158" w:type="dxa"/>
            <w:tcBorders>
              <w:top w:val="nil"/>
              <w:left w:val="nil"/>
              <w:bottom w:val="single" w:sz="8" w:space="0" w:color="A8D08D"/>
              <w:right w:val="single" w:sz="8" w:space="0" w:color="A8D08D"/>
            </w:tcBorders>
            <w:shd w:val="clear" w:color="000000" w:fill="E2EFD9"/>
            <w:vAlign w:val="center"/>
          </w:tcPr>
          <w:p w14:paraId="74D7E5D6" w14:textId="6736A680" w:rsidR="00F03D8A" w:rsidRPr="008414D9" w:rsidRDefault="00F03D8A" w:rsidP="00F03D8A">
            <w:pPr>
              <w:spacing w:after="120" w:line="240" w:lineRule="auto"/>
              <w:jc w:val="right"/>
              <w:rPr>
                <w:rFonts w:cs="Calibri"/>
                <w:i/>
                <w:iCs/>
                <w:color w:val="000000"/>
                <w:sz w:val="20"/>
                <w:szCs w:val="20"/>
                <w:lang w:val="en-GB"/>
              </w:rPr>
            </w:pPr>
            <w:r>
              <w:rPr>
                <w:rFonts w:cs="Calibri"/>
                <w:i/>
                <w:iCs/>
                <w:color w:val="000000"/>
                <w:sz w:val="20"/>
                <w:szCs w:val="20"/>
              </w:rPr>
              <w:t>5</w:t>
            </w:r>
            <w:r w:rsidR="001A282A">
              <w:rPr>
                <w:rFonts w:cs="Calibri"/>
                <w:i/>
                <w:iCs/>
                <w:color w:val="000000"/>
                <w:sz w:val="20"/>
                <w:szCs w:val="20"/>
              </w:rPr>
              <w:t>28</w:t>
            </w:r>
            <w:r>
              <w:rPr>
                <w:rFonts w:cs="Calibri"/>
                <w:i/>
                <w:iCs/>
                <w:color w:val="000000"/>
                <w:sz w:val="20"/>
                <w:szCs w:val="20"/>
              </w:rPr>
              <w:t xml:space="preserve"> </w:t>
            </w:r>
            <w:r w:rsidRPr="00EF5461">
              <w:rPr>
                <w:rFonts w:cs="Calibri"/>
                <w:i/>
                <w:iCs/>
                <w:color w:val="000000"/>
                <w:sz w:val="20"/>
                <w:szCs w:val="20"/>
              </w:rPr>
              <w:t>μβ</w:t>
            </w:r>
          </w:p>
        </w:tc>
      </w:tr>
      <w:tr w:rsidR="00F03D8A" w:rsidRPr="008414D9" w14:paraId="0B73BFF7" w14:textId="77777777" w:rsidTr="00096623">
        <w:trPr>
          <w:trHeight w:val="252"/>
        </w:trPr>
        <w:tc>
          <w:tcPr>
            <w:tcW w:w="2967" w:type="dxa"/>
            <w:tcBorders>
              <w:top w:val="nil"/>
              <w:left w:val="single" w:sz="8" w:space="0" w:color="A8D08D"/>
              <w:bottom w:val="single" w:sz="8" w:space="0" w:color="A8D08D"/>
              <w:right w:val="single" w:sz="8" w:space="0" w:color="A8D08D"/>
            </w:tcBorders>
            <w:shd w:val="clear" w:color="000000" w:fill="FFFFFF"/>
            <w:hideMark/>
          </w:tcPr>
          <w:p w14:paraId="284B086C" w14:textId="737C3F03" w:rsidR="00F03D8A" w:rsidRPr="00F03D8A" w:rsidRDefault="00F03D8A" w:rsidP="00831A4B">
            <w:pPr>
              <w:spacing w:after="120" w:line="240" w:lineRule="auto"/>
              <w:rPr>
                <w:rFonts w:eastAsia="Times New Roman" w:cs="Calibri"/>
                <w:b/>
                <w:bCs/>
                <w:color w:val="000000"/>
                <w:sz w:val="20"/>
                <w:szCs w:val="20"/>
              </w:rPr>
            </w:pPr>
            <w:r w:rsidRPr="008567C6">
              <w:rPr>
                <w:rFonts w:asciiTheme="minorHAnsi" w:hAnsiTheme="minorHAnsi" w:cstheme="minorHAnsi"/>
                <w:b/>
                <w:bCs/>
                <w:sz w:val="20"/>
                <w:szCs w:val="20"/>
              </w:rPr>
              <w:t>Κέρδη προ φόρων, χρηματοδοτικών και επενδυτικών αποτελεσμάτων (EBIT)</w:t>
            </w:r>
          </w:p>
        </w:tc>
        <w:tc>
          <w:tcPr>
            <w:tcW w:w="1157" w:type="dxa"/>
            <w:tcBorders>
              <w:top w:val="nil"/>
              <w:left w:val="nil"/>
              <w:bottom w:val="single" w:sz="8" w:space="0" w:color="A8D08D"/>
              <w:right w:val="single" w:sz="8" w:space="0" w:color="A8D08D"/>
            </w:tcBorders>
            <w:shd w:val="clear" w:color="000000" w:fill="FFFFFF"/>
            <w:noWrap/>
            <w:vAlign w:val="center"/>
          </w:tcPr>
          <w:p w14:paraId="618ED0A1" w14:textId="4D82EB05" w:rsidR="00F03D8A" w:rsidRPr="008414D9" w:rsidRDefault="00F03D8A" w:rsidP="00F03D8A">
            <w:pPr>
              <w:spacing w:after="120" w:line="240" w:lineRule="auto"/>
              <w:jc w:val="right"/>
              <w:rPr>
                <w:rFonts w:eastAsia="Times New Roman" w:cs="Calibri"/>
                <w:b/>
                <w:bCs/>
                <w:color w:val="000000"/>
                <w:sz w:val="20"/>
                <w:szCs w:val="20"/>
                <w:lang w:val="en-GB"/>
              </w:rPr>
            </w:pPr>
            <w:r>
              <w:rPr>
                <w:rFonts w:cs="Calibri"/>
                <w:color w:val="000000"/>
                <w:sz w:val="20"/>
                <w:szCs w:val="20"/>
              </w:rPr>
              <w:t>10</w:t>
            </w:r>
            <w:r w:rsidR="001A282A">
              <w:rPr>
                <w:rFonts w:cs="Calibri"/>
                <w:color w:val="000000"/>
                <w:sz w:val="20"/>
                <w:szCs w:val="20"/>
              </w:rPr>
              <w:t>4</w:t>
            </w:r>
            <w:r>
              <w:rPr>
                <w:rFonts w:cs="Calibri"/>
                <w:color w:val="000000"/>
                <w:sz w:val="20"/>
                <w:szCs w:val="20"/>
              </w:rPr>
              <w:t>.</w:t>
            </w:r>
            <w:r w:rsidR="001A282A">
              <w:rPr>
                <w:rFonts w:cs="Calibri"/>
                <w:color w:val="000000"/>
                <w:sz w:val="20"/>
                <w:szCs w:val="20"/>
              </w:rPr>
              <w:t>630</w:t>
            </w:r>
          </w:p>
        </w:tc>
        <w:tc>
          <w:tcPr>
            <w:tcW w:w="1158" w:type="dxa"/>
            <w:tcBorders>
              <w:top w:val="nil"/>
              <w:left w:val="nil"/>
              <w:bottom w:val="single" w:sz="8" w:space="0" w:color="A8D08D"/>
              <w:right w:val="single" w:sz="8" w:space="0" w:color="A8D08D"/>
            </w:tcBorders>
            <w:shd w:val="clear" w:color="000000" w:fill="FFFFFF"/>
            <w:noWrap/>
            <w:vAlign w:val="center"/>
          </w:tcPr>
          <w:p w14:paraId="3EE68F93" w14:textId="5849F107" w:rsidR="00F03D8A" w:rsidRPr="008414D9" w:rsidRDefault="00F03D8A" w:rsidP="00F03D8A">
            <w:pPr>
              <w:spacing w:after="120" w:line="240" w:lineRule="auto"/>
              <w:jc w:val="right"/>
              <w:rPr>
                <w:rFonts w:eastAsia="Times New Roman" w:cs="Calibri"/>
                <w:b/>
                <w:bCs/>
                <w:color w:val="000000"/>
                <w:sz w:val="20"/>
                <w:szCs w:val="20"/>
                <w:lang w:val="en-GB"/>
              </w:rPr>
            </w:pPr>
            <w:r>
              <w:rPr>
                <w:rFonts w:cs="Calibri"/>
                <w:color w:val="000000"/>
                <w:sz w:val="20"/>
                <w:szCs w:val="20"/>
              </w:rPr>
              <w:t>64.746</w:t>
            </w:r>
          </w:p>
        </w:tc>
        <w:tc>
          <w:tcPr>
            <w:tcW w:w="1158" w:type="dxa"/>
            <w:tcBorders>
              <w:top w:val="nil"/>
              <w:left w:val="nil"/>
              <w:bottom w:val="single" w:sz="8" w:space="0" w:color="A8D08D"/>
              <w:right w:val="single" w:sz="8" w:space="0" w:color="A8D08D"/>
            </w:tcBorders>
            <w:shd w:val="clear" w:color="000000" w:fill="FFFFFF"/>
            <w:vAlign w:val="center"/>
          </w:tcPr>
          <w:p w14:paraId="2E1EC123" w14:textId="193AABF0" w:rsidR="00F03D8A" w:rsidRPr="008414D9" w:rsidRDefault="00F03D8A" w:rsidP="00F03D8A">
            <w:pPr>
              <w:spacing w:after="120" w:line="240" w:lineRule="auto"/>
              <w:jc w:val="right"/>
              <w:rPr>
                <w:rFonts w:cs="Calibri"/>
                <w:b/>
                <w:bCs/>
                <w:color w:val="000000"/>
                <w:sz w:val="20"/>
                <w:szCs w:val="20"/>
                <w:lang w:val="en-GB"/>
              </w:rPr>
            </w:pPr>
            <w:r>
              <w:rPr>
                <w:rFonts w:cs="Calibri"/>
                <w:b/>
                <w:bCs/>
                <w:i/>
                <w:iCs/>
                <w:color w:val="000000"/>
                <w:sz w:val="20"/>
                <w:szCs w:val="20"/>
              </w:rPr>
              <w:t>62%</w:t>
            </w:r>
          </w:p>
        </w:tc>
        <w:tc>
          <w:tcPr>
            <w:tcW w:w="1157" w:type="dxa"/>
            <w:tcBorders>
              <w:top w:val="nil"/>
              <w:left w:val="nil"/>
              <w:bottom w:val="single" w:sz="8" w:space="0" w:color="A8D08D"/>
              <w:right w:val="single" w:sz="8" w:space="0" w:color="A8D08D"/>
            </w:tcBorders>
            <w:shd w:val="clear" w:color="000000" w:fill="FFFFFF"/>
            <w:vAlign w:val="center"/>
          </w:tcPr>
          <w:p w14:paraId="6CE4212C" w14:textId="4322C4C9" w:rsidR="00F03D8A" w:rsidRPr="008414D9" w:rsidRDefault="00F03D8A" w:rsidP="00F03D8A">
            <w:pPr>
              <w:spacing w:after="120" w:line="240" w:lineRule="auto"/>
              <w:jc w:val="right"/>
              <w:rPr>
                <w:rFonts w:cs="Calibri"/>
                <w:b/>
                <w:bCs/>
                <w:i/>
                <w:iCs/>
                <w:color w:val="000000"/>
                <w:sz w:val="20"/>
                <w:szCs w:val="20"/>
                <w:lang w:val="en-GB"/>
              </w:rPr>
            </w:pPr>
            <w:r>
              <w:rPr>
                <w:rFonts w:cs="Calibri"/>
                <w:color w:val="000000"/>
                <w:sz w:val="20"/>
                <w:szCs w:val="20"/>
              </w:rPr>
              <w:t>59.</w:t>
            </w:r>
            <w:r w:rsidR="001A282A">
              <w:rPr>
                <w:rFonts w:cs="Calibri"/>
                <w:color w:val="000000"/>
                <w:sz w:val="20"/>
                <w:szCs w:val="20"/>
              </w:rPr>
              <w:t>273</w:t>
            </w:r>
          </w:p>
        </w:tc>
        <w:tc>
          <w:tcPr>
            <w:tcW w:w="1158" w:type="dxa"/>
            <w:tcBorders>
              <w:top w:val="nil"/>
              <w:left w:val="nil"/>
              <w:bottom w:val="single" w:sz="8" w:space="0" w:color="A8D08D"/>
              <w:right w:val="single" w:sz="8" w:space="0" w:color="A8D08D"/>
            </w:tcBorders>
            <w:shd w:val="clear" w:color="000000" w:fill="FFFFFF"/>
            <w:vAlign w:val="center"/>
          </w:tcPr>
          <w:p w14:paraId="06D97D70" w14:textId="1C6E02DC" w:rsidR="00F03D8A" w:rsidRPr="008414D9" w:rsidRDefault="00F03D8A" w:rsidP="00F03D8A">
            <w:pPr>
              <w:spacing w:after="120" w:line="240" w:lineRule="auto"/>
              <w:jc w:val="right"/>
              <w:rPr>
                <w:rFonts w:cs="Calibri"/>
                <w:b/>
                <w:bCs/>
                <w:i/>
                <w:iCs/>
                <w:color w:val="000000"/>
                <w:sz w:val="20"/>
                <w:szCs w:val="20"/>
                <w:lang w:val="en-GB"/>
              </w:rPr>
            </w:pPr>
            <w:r>
              <w:rPr>
                <w:rFonts w:cs="Calibri"/>
                <w:color w:val="000000"/>
                <w:sz w:val="20"/>
                <w:szCs w:val="20"/>
              </w:rPr>
              <w:t>29.991</w:t>
            </w:r>
          </w:p>
        </w:tc>
        <w:tc>
          <w:tcPr>
            <w:tcW w:w="1158" w:type="dxa"/>
            <w:tcBorders>
              <w:top w:val="nil"/>
              <w:left w:val="nil"/>
              <w:bottom w:val="single" w:sz="8" w:space="0" w:color="A8D08D"/>
              <w:right w:val="single" w:sz="8" w:space="0" w:color="A8D08D"/>
            </w:tcBorders>
            <w:shd w:val="clear" w:color="000000" w:fill="FFFFFF"/>
            <w:vAlign w:val="center"/>
          </w:tcPr>
          <w:p w14:paraId="60ADED41" w14:textId="78E679C6" w:rsidR="00F03D8A" w:rsidRPr="008414D9" w:rsidRDefault="00F03D8A" w:rsidP="00F03D8A">
            <w:pPr>
              <w:spacing w:after="120" w:line="240" w:lineRule="auto"/>
              <w:jc w:val="right"/>
              <w:rPr>
                <w:rFonts w:cs="Calibri"/>
                <w:b/>
                <w:bCs/>
                <w:i/>
                <w:iCs/>
                <w:color w:val="000000"/>
                <w:sz w:val="20"/>
                <w:szCs w:val="20"/>
                <w:lang w:val="en-GB"/>
              </w:rPr>
            </w:pPr>
            <w:r>
              <w:rPr>
                <w:rFonts w:cs="Calibri"/>
                <w:b/>
                <w:bCs/>
                <w:i/>
                <w:iCs/>
                <w:color w:val="000000"/>
                <w:sz w:val="20"/>
                <w:szCs w:val="20"/>
              </w:rPr>
              <w:t>9</w:t>
            </w:r>
            <w:r w:rsidR="001A282A">
              <w:rPr>
                <w:rFonts w:cs="Calibri"/>
                <w:b/>
                <w:bCs/>
                <w:i/>
                <w:iCs/>
                <w:color w:val="000000"/>
                <w:sz w:val="20"/>
                <w:szCs w:val="20"/>
              </w:rPr>
              <w:t>8</w:t>
            </w:r>
            <w:r>
              <w:rPr>
                <w:rFonts w:cs="Calibri"/>
                <w:b/>
                <w:bCs/>
                <w:i/>
                <w:iCs/>
                <w:color w:val="000000"/>
                <w:sz w:val="20"/>
                <w:szCs w:val="20"/>
              </w:rPr>
              <w:t>%</w:t>
            </w:r>
          </w:p>
        </w:tc>
      </w:tr>
      <w:tr w:rsidR="00F03D8A" w:rsidRPr="008414D9" w14:paraId="5CB90E02" w14:textId="77777777" w:rsidTr="00096623">
        <w:trPr>
          <w:trHeight w:val="252"/>
        </w:trPr>
        <w:tc>
          <w:tcPr>
            <w:tcW w:w="2967" w:type="dxa"/>
            <w:tcBorders>
              <w:top w:val="nil"/>
              <w:left w:val="single" w:sz="8" w:space="0" w:color="A8D08D"/>
              <w:bottom w:val="single" w:sz="8" w:space="0" w:color="A8D08D"/>
              <w:right w:val="single" w:sz="8" w:space="0" w:color="A8D08D"/>
            </w:tcBorders>
            <w:shd w:val="clear" w:color="000000" w:fill="FFFFFF"/>
            <w:noWrap/>
            <w:hideMark/>
          </w:tcPr>
          <w:p w14:paraId="7298290A" w14:textId="53294EEE" w:rsidR="00F03D8A" w:rsidRPr="008414D9" w:rsidRDefault="00F03D8A" w:rsidP="00831A4B">
            <w:pPr>
              <w:spacing w:after="120" w:line="240" w:lineRule="auto"/>
              <w:rPr>
                <w:rFonts w:eastAsia="Times New Roman" w:cs="Calibri"/>
                <w:i/>
                <w:iCs/>
                <w:color w:val="000000"/>
                <w:sz w:val="20"/>
                <w:szCs w:val="20"/>
                <w:lang w:val="en-GB"/>
              </w:rPr>
            </w:pPr>
            <w:r w:rsidRPr="008567C6">
              <w:rPr>
                <w:rFonts w:asciiTheme="minorHAnsi" w:hAnsiTheme="minorHAnsi" w:cstheme="minorHAnsi"/>
                <w:i/>
                <w:iCs/>
                <w:sz w:val="20"/>
                <w:szCs w:val="20"/>
              </w:rPr>
              <w:t>Περιθώριο EBIT (%)</w:t>
            </w:r>
          </w:p>
        </w:tc>
        <w:tc>
          <w:tcPr>
            <w:tcW w:w="1157" w:type="dxa"/>
            <w:tcBorders>
              <w:top w:val="nil"/>
              <w:left w:val="nil"/>
              <w:bottom w:val="single" w:sz="8" w:space="0" w:color="A8D08D"/>
              <w:right w:val="single" w:sz="8" w:space="0" w:color="A8D08D"/>
            </w:tcBorders>
            <w:shd w:val="clear" w:color="000000" w:fill="FFFFFF"/>
            <w:noWrap/>
            <w:vAlign w:val="center"/>
          </w:tcPr>
          <w:p w14:paraId="526B5B52" w14:textId="4B6DC78B" w:rsidR="00F03D8A" w:rsidRPr="008414D9" w:rsidRDefault="00F03D8A" w:rsidP="00F03D8A">
            <w:pPr>
              <w:spacing w:after="120" w:line="240" w:lineRule="auto"/>
              <w:jc w:val="right"/>
              <w:rPr>
                <w:rFonts w:eastAsia="Times New Roman" w:cs="Calibri"/>
                <w:i/>
                <w:iCs/>
                <w:color w:val="000000"/>
                <w:sz w:val="20"/>
                <w:szCs w:val="20"/>
                <w:lang w:val="en-GB"/>
              </w:rPr>
            </w:pPr>
            <w:r>
              <w:rPr>
                <w:rFonts w:cs="Calibri"/>
                <w:i/>
                <w:iCs/>
                <w:color w:val="000000"/>
                <w:sz w:val="20"/>
                <w:szCs w:val="20"/>
              </w:rPr>
              <w:t>12,9%</w:t>
            </w:r>
          </w:p>
        </w:tc>
        <w:tc>
          <w:tcPr>
            <w:tcW w:w="1158" w:type="dxa"/>
            <w:tcBorders>
              <w:top w:val="nil"/>
              <w:left w:val="nil"/>
              <w:bottom w:val="single" w:sz="8" w:space="0" w:color="A8D08D"/>
              <w:right w:val="single" w:sz="8" w:space="0" w:color="A8D08D"/>
            </w:tcBorders>
            <w:shd w:val="clear" w:color="000000" w:fill="FFFFFF"/>
            <w:noWrap/>
            <w:vAlign w:val="center"/>
          </w:tcPr>
          <w:p w14:paraId="7B9B27D6" w14:textId="2E98EAF0" w:rsidR="00F03D8A" w:rsidRPr="008414D9" w:rsidRDefault="00F03D8A" w:rsidP="00F03D8A">
            <w:pPr>
              <w:spacing w:after="120" w:line="240" w:lineRule="auto"/>
              <w:jc w:val="right"/>
              <w:rPr>
                <w:rFonts w:eastAsia="Times New Roman" w:cs="Calibri"/>
                <w:i/>
                <w:iCs/>
                <w:color w:val="000000"/>
                <w:sz w:val="20"/>
                <w:szCs w:val="20"/>
                <w:lang w:val="en-GB"/>
              </w:rPr>
            </w:pPr>
            <w:r>
              <w:rPr>
                <w:rFonts w:cs="Calibri"/>
                <w:i/>
                <w:iCs/>
                <w:color w:val="000000"/>
                <w:sz w:val="20"/>
                <w:szCs w:val="20"/>
              </w:rPr>
              <w:t>8,1%</w:t>
            </w:r>
          </w:p>
        </w:tc>
        <w:tc>
          <w:tcPr>
            <w:tcW w:w="1158" w:type="dxa"/>
            <w:tcBorders>
              <w:top w:val="nil"/>
              <w:left w:val="nil"/>
              <w:bottom w:val="single" w:sz="8" w:space="0" w:color="A8D08D"/>
              <w:right w:val="single" w:sz="8" w:space="0" w:color="A8D08D"/>
            </w:tcBorders>
            <w:shd w:val="clear" w:color="000000" w:fill="FFFFFF"/>
            <w:vAlign w:val="center"/>
          </w:tcPr>
          <w:p w14:paraId="0A542EC9" w14:textId="649497B1" w:rsidR="00F03D8A" w:rsidRPr="008414D9" w:rsidRDefault="00F03D8A" w:rsidP="00F03D8A">
            <w:pPr>
              <w:spacing w:after="120" w:line="240" w:lineRule="auto"/>
              <w:jc w:val="right"/>
              <w:rPr>
                <w:rFonts w:cs="Calibri"/>
                <w:i/>
                <w:iCs/>
                <w:color w:val="000000"/>
                <w:sz w:val="20"/>
                <w:szCs w:val="20"/>
                <w:lang w:val="en-GB"/>
              </w:rPr>
            </w:pPr>
            <w:r>
              <w:rPr>
                <w:rFonts w:cs="Calibri"/>
                <w:i/>
                <w:iCs/>
                <w:color w:val="000000"/>
                <w:sz w:val="20"/>
                <w:szCs w:val="20"/>
              </w:rPr>
              <w:t>4</w:t>
            </w:r>
            <w:r w:rsidR="001A282A">
              <w:rPr>
                <w:rFonts w:cs="Calibri"/>
                <w:i/>
                <w:iCs/>
                <w:color w:val="000000"/>
                <w:sz w:val="20"/>
                <w:szCs w:val="20"/>
              </w:rPr>
              <w:t>77</w:t>
            </w:r>
            <w:r>
              <w:rPr>
                <w:rFonts w:cs="Calibri"/>
                <w:i/>
                <w:iCs/>
                <w:color w:val="000000"/>
                <w:sz w:val="20"/>
                <w:szCs w:val="20"/>
              </w:rPr>
              <w:t xml:space="preserve"> </w:t>
            </w:r>
            <w:r w:rsidRPr="00EF5461">
              <w:rPr>
                <w:rFonts w:cs="Calibri"/>
                <w:i/>
                <w:iCs/>
                <w:color w:val="000000"/>
                <w:sz w:val="20"/>
                <w:szCs w:val="20"/>
              </w:rPr>
              <w:t>μβ</w:t>
            </w:r>
          </w:p>
        </w:tc>
        <w:tc>
          <w:tcPr>
            <w:tcW w:w="1157" w:type="dxa"/>
            <w:tcBorders>
              <w:top w:val="nil"/>
              <w:left w:val="nil"/>
              <w:bottom w:val="single" w:sz="8" w:space="0" w:color="A8D08D"/>
              <w:right w:val="single" w:sz="8" w:space="0" w:color="A8D08D"/>
            </w:tcBorders>
            <w:shd w:val="clear" w:color="000000" w:fill="FFFFFF"/>
            <w:vAlign w:val="center"/>
          </w:tcPr>
          <w:p w14:paraId="5A939A2D" w14:textId="274C942A" w:rsidR="00F03D8A" w:rsidRPr="008414D9" w:rsidRDefault="00F03D8A" w:rsidP="00F03D8A">
            <w:pPr>
              <w:spacing w:after="120" w:line="240" w:lineRule="auto"/>
              <w:jc w:val="right"/>
              <w:rPr>
                <w:rFonts w:cs="Calibri"/>
                <w:i/>
                <w:iCs/>
                <w:color w:val="000000"/>
                <w:sz w:val="20"/>
                <w:szCs w:val="20"/>
                <w:lang w:val="en-GB"/>
              </w:rPr>
            </w:pPr>
            <w:r>
              <w:rPr>
                <w:rFonts w:cs="Calibri"/>
                <w:i/>
                <w:iCs/>
                <w:color w:val="000000"/>
                <w:sz w:val="20"/>
                <w:szCs w:val="20"/>
              </w:rPr>
              <w:t>14,</w:t>
            </w:r>
            <w:r w:rsidR="001A282A">
              <w:rPr>
                <w:rFonts w:cs="Calibri"/>
                <w:i/>
                <w:iCs/>
                <w:color w:val="000000"/>
                <w:sz w:val="20"/>
                <w:szCs w:val="20"/>
              </w:rPr>
              <w:t>2</w:t>
            </w:r>
            <w:r>
              <w:rPr>
                <w:rFonts w:cs="Calibri"/>
                <w:i/>
                <w:iCs/>
                <w:color w:val="000000"/>
                <w:sz w:val="20"/>
                <w:szCs w:val="20"/>
              </w:rPr>
              <w:t>%</w:t>
            </w:r>
          </w:p>
        </w:tc>
        <w:tc>
          <w:tcPr>
            <w:tcW w:w="1158" w:type="dxa"/>
            <w:tcBorders>
              <w:top w:val="nil"/>
              <w:left w:val="nil"/>
              <w:bottom w:val="single" w:sz="8" w:space="0" w:color="A8D08D"/>
              <w:right w:val="single" w:sz="8" w:space="0" w:color="A8D08D"/>
            </w:tcBorders>
            <w:shd w:val="clear" w:color="000000" w:fill="FFFFFF"/>
            <w:vAlign w:val="center"/>
          </w:tcPr>
          <w:p w14:paraId="6B8EA349" w14:textId="4A1CC9A8" w:rsidR="00F03D8A" w:rsidRPr="008414D9" w:rsidRDefault="00F03D8A" w:rsidP="00F03D8A">
            <w:pPr>
              <w:spacing w:after="120" w:line="240" w:lineRule="auto"/>
              <w:jc w:val="right"/>
              <w:rPr>
                <w:rFonts w:cs="Calibri"/>
                <w:i/>
                <w:iCs/>
                <w:color w:val="000000"/>
                <w:sz w:val="20"/>
                <w:szCs w:val="20"/>
                <w:lang w:val="en-GB"/>
              </w:rPr>
            </w:pPr>
            <w:r>
              <w:rPr>
                <w:rFonts w:cs="Calibri"/>
                <w:i/>
                <w:iCs/>
                <w:color w:val="000000"/>
                <w:sz w:val="20"/>
                <w:szCs w:val="20"/>
              </w:rPr>
              <w:t>7,2%</w:t>
            </w:r>
          </w:p>
        </w:tc>
        <w:tc>
          <w:tcPr>
            <w:tcW w:w="1158" w:type="dxa"/>
            <w:tcBorders>
              <w:top w:val="nil"/>
              <w:left w:val="nil"/>
              <w:bottom w:val="single" w:sz="8" w:space="0" w:color="A8D08D"/>
              <w:right w:val="single" w:sz="8" w:space="0" w:color="A8D08D"/>
            </w:tcBorders>
            <w:shd w:val="clear" w:color="000000" w:fill="FFFFFF"/>
            <w:vAlign w:val="center"/>
          </w:tcPr>
          <w:p w14:paraId="5A1B19C9" w14:textId="5E68B09B" w:rsidR="00F03D8A" w:rsidRPr="008414D9" w:rsidRDefault="00F03D8A" w:rsidP="00F03D8A">
            <w:pPr>
              <w:spacing w:after="120" w:line="240" w:lineRule="auto"/>
              <w:jc w:val="right"/>
              <w:rPr>
                <w:rFonts w:cs="Calibri"/>
                <w:i/>
                <w:iCs/>
                <w:color w:val="000000"/>
                <w:sz w:val="20"/>
                <w:szCs w:val="20"/>
                <w:lang w:val="en-GB"/>
              </w:rPr>
            </w:pPr>
            <w:r>
              <w:rPr>
                <w:rFonts w:cs="Calibri"/>
                <w:i/>
                <w:iCs/>
                <w:color w:val="000000"/>
                <w:sz w:val="20"/>
                <w:szCs w:val="20"/>
              </w:rPr>
              <w:t>7</w:t>
            </w:r>
            <w:r w:rsidR="001A282A">
              <w:rPr>
                <w:rFonts w:cs="Calibri"/>
                <w:i/>
                <w:iCs/>
                <w:color w:val="000000"/>
                <w:sz w:val="20"/>
                <w:szCs w:val="20"/>
              </w:rPr>
              <w:t>04</w:t>
            </w:r>
            <w:r>
              <w:rPr>
                <w:rFonts w:cs="Calibri"/>
                <w:i/>
                <w:iCs/>
                <w:color w:val="000000"/>
                <w:sz w:val="20"/>
                <w:szCs w:val="20"/>
              </w:rPr>
              <w:t xml:space="preserve"> </w:t>
            </w:r>
            <w:r w:rsidRPr="00EF5461">
              <w:rPr>
                <w:rFonts w:cs="Calibri"/>
                <w:i/>
                <w:iCs/>
                <w:color w:val="000000"/>
                <w:sz w:val="20"/>
                <w:szCs w:val="20"/>
              </w:rPr>
              <w:t>μβ</w:t>
            </w:r>
          </w:p>
        </w:tc>
      </w:tr>
      <w:tr w:rsidR="00F03D8A" w:rsidRPr="00073AA6" w14:paraId="0BA03796" w14:textId="77777777" w:rsidTr="00096623">
        <w:trPr>
          <w:trHeight w:val="252"/>
        </w:trPr>
        <w:tc>
          <w:tcPr>
            <w:tcW w:w="2967" w:type="dxa"/>
            <w:tcBorders>
              <w:top w:val="nil"/>
              <w:left w:val="single" w:sz="8" w:space="0" w:color="A8D08D"/>
              <w:bottom w:val="single" w:sz="8" w:space="0" w:color="A8D08D"/>
              <w:right w:val="single" w:sz="8" w:space="0" w:color="A8D08D"/>
            </w:tcBorders>
            <w:shd w:val="clear" w:color="000000" w:fill="FFFFFF"/>
            <w:hideMark/>
          </w:tcPr>
          <w:p w14:paraId="425B4256" w14:textId="2CB62934" w:rsidR="00F03D8A" w:rsidRPr="008414D9" w:rsidRDefault="00F03D8A" w:rsidP="00831A4B">
            <w:pPr>
              <w:spacing w:after="120" w:line="240" w:lineRule="auto"/>
              <w:rPr>
                <w:rFonts w:eastAsia="Times New Roman" w:cs="Calibri"/>
                <w:color w:val="000000"/>
                <w:sz w:val="20"/>
                <w:szCs w:val="20"/>
                <w:lang w:val="en-GB"/>
              </w:rPr>
            </w:pPr>
            <w:r w:rsidRPr="008567C6">
              <w:rPr>
                <w:rFonts w:asciiTheme="minorHAnsi" w:hAnsiTheme="minorHAnsi" w:cstheme="minorHAnsi"/>
                <w:sz w:val="20"/>
                <w:szCs w:val="20"/>
              </w:rPr>
              <w:t>Καθαρά χρηματοοικονομικά έξοδα</w:t>
            </w:r>
          </w:p>
        </w:tc>
        <w:tc>
          <w:tcPr>
            <w:tcW w:w="1157" w:type="dxa"/>
            <w:tcBorders>
              <w:top w:val="nil"/>
              <w:left w:val="nil"/>
              <w:bottom w:val="single" w:sz="8" w:space="0" w:color="A8D08D"/>
              <w:right w:val="single" w:sz="8" w:space="0" w:color="A8D08D"/>
            </w:tcBorders>
            <w:shd w:val="clear" w:color="000000" w:fill="FFFFFF"/>
            <w:noWrap/>
            <w:vAlign w:val="center"/>
          </w:tcPr>
          <w:p w14:paraId="420CAE64" w14:textId="33D32F17" w:rsidR="00F03D8A" w:rsidRPr="008414D9" w:rsidRDefault="00F03D8A" w:rsidP="00F03D8A">
            <w:pPr>
              <w:spacing w:after="120" w:line="240" w:lineRule="auto"/>
              <w:jc w:val="right"/>
              <w:rPr>
                <w:rFonts w:eastAsia="Times New Roman" w:cs="Calibri"/>
                <w:color w:val="000000"/>
                <w:sz w:val="20"/>
                <w:szCs w:val="20"/>
                <w:lang w:val="en-GB"/>
              </w:rPr>
            </w:pPr>
            <w:r>
              <w:rPr>
                <w:rFonts w:cs="Calibri"/>
                <w:color w:val="000000"/>
                <w:sz w:val="20"/>
                <w:szCs w:val="20"/>
              </w:rPr>
              <w:t>(31.747)</w:t>
            </w:r>
          </w:p>
        </w:tc>
        <w:tc>
          <w:tcPr>
            <w:tcW w:w="1158" w:type="dxa"/>
            <w:tcBorders>
              <w:top w:val="nil"/>
              <w:left w:val="nil"/>
              <w:bottom w:val="single" w:sz="8" w:space="0" w:color="A8D08D"/>
              <w:right w:val="single" w:sz="8" w:space="0" w:color="A8D08D"/>
            </w:tcBorders>
            <w:shd w:val="clear" w:color="000000" w:fill="FFFFFF"/>
            <w:noWrap/>
            <w:vAlign w:val="center"/>
          </w:tcPr>
          <w:p w14:paraId="7B8B014D" w14:textId="02AEC22C" w:rsidR="00F03D8A" w:rsidRPr="008414D9" w:rsidRDefault="00F03D8A" w:rsidP="00F03D8A">
            <w:pPr>
              <w:spacing w:after="120" w:line="240" w:lineRule="auto"/>
              <w:jc w:val="right"/>
              <w:rPr>
                <w:rFonts w:eastAsia="Times New Roman" w:cs="Calibri"/>
                <w:color w:val="000000"/>
                <w:sz w:val="20"/>
                <w:szCs w:val="20"/>
                <w:lang w:val="en-GB"/>
              </w:rPr>
            </w:pPr>
            <w:r>
              <w:rPr>
                <w:rFonts w:cs="Calibri"/>
                <w:color w:val="000000"/>
                <w:sz w:val="20"/>
                <w:szCs w:val="20"/>
              </w:rPr>
              <w:t>(33.894)</w:t>
            </w:r>
          </w:p>
        </w:tc>
        <w:tc>
          <w:tcPr>
            <w:tcW w:w="1158" w:type="dxa"/>
            <w:tcBorders>
              <w:top w:val="nil"/>
              <w:left w:val="nil"/>
              <w:bottom w:val="single" w:sz="8" w:space="0" w:color="A8D08D"/>
              <w:right w:val="single" w:sz="8" w:space="0" w:color="A8D08D"/>
            </w:tcBorders>
            <w:shd w:val="clear" w:color="000000" w:fill="FFFFFF"/>
            <w:vAlign w:val="center"/>
          </w:tcPr>
          <w:p w14:paraId="1EBDD20C" w14:textId="583A236E" w:rsidR="00F03D8A" w:rsidRPr="008414D9" w:rsidRDefault="00F03D8A" w:rsidP="00F03D8A">
            <w:pPr>
              <w:spacing w:after="120" w:line="240" w:lineRule="auto"/>
              <w:jc w:val="right"/>
              <w:rPr>
                <w:rFonts w:cs="Calibri"/>
                <w:color w:val="000000"/>
                <w:sz w:val="20"/>
                <w:szCs w:val="20"/>
                <w:lang w:val="en-GB"/>
              </w:rPr>
            </w:pPr>
            <w:r>
              <w:rPr>
                <w:rFonts w:cs="Calibri"/>
                <w:i/>
                <w:iCs/>
                <w:color w:val="000000"/>
                <w:sz w:val="20"/>
                <w:szCs w:val="20"/>
              </w:rPr>
              <w:t>-6%</w:t>
            </w:r>
          </w:p>
        </w:tc>
        <w:tc>
          <w:tcPr>
            <w:tcW w:w="1157" w:type="dxa"/>
            <w:tcBorders>
              <w:top w:val="nil"/>
              <w:left w:val="nil"/>
              <w:bottom w:val="single" w:sz="8" w:space="0" w:color="A8D08D"/>
              <w:right w:val="single" w:sz="8" w:space="0" w:color="A8D08D"/>
            </w:tcBorders>
            <w:shd w:val="clear" w:color="000000" w:fill="FFFFFF"/>
            <w:vAlign w:val="center"/>
          </w:tcPr>
          <w:p w14:paraId="732FDF90" w14:textId="2E737D5E" w:rsidR="00F03D8A" w:rsidRPr="008414D9" w:rsidRDefault="00F03D8A" w:rsidP="00F03D8A">
            <w:pPr>
              <w:spacing w:after="120" w:line="240" w:lineRule="auto"/>
              <w:jc w:val="right"/>
              <w:rPr>
                <w:rFonts w:cs="Calibri"/>
                <w:i/>
                <w:iCs/>
                <w:color w:val="000000"/>
                <w:sz w:val="20"/>
                <w:szCs w:val="20"/>
                <w:lang w:val="en-GB"/>
              </w:rPr>
            </w:pPr>
            <w:r>
              <w:rPr>
                <w:rFonts w:cs="Calibri"/>
                <w:color w:val="000000"/>
                <w:sz w:val="20"/>
                <w:szCs w:val="20"/>
              </w:rPr>
              <w:t>(14.770)</w:t>
            </w:r>
          </w:p>
        </w:tc>
        <w:tc>
          <w:tcPr>
            <w:tcW w:w="1158" w:type="dxa"/>
            <w:tcBorders>
              <w:top w:val="nil"/>
              <w:left w:val="nil"/>
              <w:bottom w:val="single" w:sz="8" w:space="0" w:color="A8D08D"/>
              <w:right w:val="single" w:sz="8" w:space="0" w:color="A8D08D"/>
            </w:tcBorders>
            <w:shd w:val="clear" w:color="000000" w:fill="FFFFFF"/>
            <w:vAlign w:val="center"/>
          </w:tcPr>
          <w:p w14:paraId="0EA082EA" w14:textId="717142DB" w:rsidR="00F03D8A" w:rsidRPr="008414D9" w:rsidRDefault="00F03D8A" w:rsidP="00F03D8A">
            <w:pPr>
              <w:spacing w:after="120" w:line="240" w:lineRule="auto"/>
              <w:jc w:val="right"/>
              <w:rPr>
                <w:rFonts w:cs="Calibri"/>
                <w:i/>
                <w:iCs/>
                <w:color w:val="000000"/>
                <w:sz w:val="20"/>
                <w:szCs w:val="20"/>
                <w:lang w:val="en-GB"/>
              </w:rPr>
            </w:pPr>
            <w:r>
              <w:rPr>
                <w:rFonts w:cs="Calibri"/>
                <w:color w:val="000000"/>
                <w:sz w:val="20"/>
                <w:szCs w:val="20"/>
              </w:rPr>
              <w:t>(17.659)</w:t>
            </w:r>
          </w:p>
        </w:tc>
        <w:tc>
          <w:tcPr>
            <w:tcW w:w="1158" w:type="dxa"/>
            <w:tcBorders>
              <w:top w:val="nil"/>
              <w:left w:val="nil"/>
              <w:bottom w:val="single" w:sz="8" w:space="0" w:color="A8D08D"/>
              <w:right w:val="single" w:sz="8" w:space="0" w:color="A8D08D"/>
            </w:tcBorders>
            <w:shd w:val="clear" w:color="000000" w:fill="FFFFFF"/>
            <w:vAlign w:val="center"/>
          </w:tcPr>
          <w:p w14:paraId="3ECAF831" w14:textId="7D26E64C" w:rsidR="00F03D8A" w:rsidRPr="008414D9" w:rsidRDefault="00F03D8A" w:rsidP="00F03D8A">
            <w:pPr>
              <w:spacing w:after="120" w:line="240" w:lineRule="auto"/>
              <w:jc w:val="right"/>
              <w:rPr>
                <w:rFonts w:cs="Calibri"/>
                <w:i/>
                <w:iCs/>
                <w:color w:val="000000"/>
                <w:sz w:val="20"/>
                <w:szCs w:val="20"/>
                <w:lang w:val="en-GB"/>
              </w:rPr>
            </w:pPr>
            <w:r>
              <w:rPr>
                <w:rFonts w:cs="Calibri"/>
                <w:i/>
                <w:iCs/>
                <w:color w:val="000000"/>
                <w:sz w:val="20"/>
                <w:szCs w:val="20"/>
              </w:rPr>
              <w:t>-16%</w:t>
            </w:r>
          </w:p>
        </w:tc>
      </w:tr>
      <w:tr w:rsidR="00F03D8A" w:rsidRPr="008414D9" w14:paraId="028B1F4B" w14:textId="77777777" w:rsidTr="00C45744">
        <w:trPr>
          <w:trHeight w:val="252"/>
        </w:trPr>
        <w:tc>
          <w:tcPr>
            <w:tcW w:w="2967" w:type="dxa"/>
            <w:tcBorders>
              <w:top w:val="nil"/>
              <w:left w:val="single" w:sz="8" w:space="0" w:color="A8D08D"/>
              <w:bottom w:val="single" w:sz="8" w:space="0" w:color="A8D08D"/>
              <w:right w:val="single" w:sz="8" w:space="0" w:color="A8D08D"/>
            </w:tcBorders>
            <w:shd w:val="clear" w:color="000000" w:fill="E2EFD9"/>
            <w:hideMark/>
          </w:tcPr>
          <w:p w14:paraId="1C81296C" w14:textId="2C9CEB28" w:rsidR="00F03D8A" w:rsidRPr="008414D9" w:rsidRDefault="00F03D8A" w:rsidP="00831A4B">
            <w:pPr>
              <w:spacing w:after="120" w:line="240" w:lineRule="auto"/>
              <w:rPr>
                <w:rFonts w:eastAsia="Times New Roman" w:cs="Calibri"/>
                <w:b/>
                <w:bCs/>
                <w:color w:val="000000"/>
                <w:sz w:val="20"/>
                <w:szCs w:val="20"/>
                <w:lang w:val="en-GB"/>
              </w:rPr>
            </w:pPr>
            <w:r w:rsidRPr="008567C6">
              <w:rPr>
                <w:rFonts w:asciiTheme="minorHAnsi" w:hAnsiTheme="minorHAnsi" w:cstheme="minorHAnsi"/>
                <w:b/>
                <w:bCs/>
                <w:sz w:val="20"/>
                <w:szCs w:val="20"/>
              </w:rPr>
              <w:t>Κέρδη προ φόρου εισοδήματος</w:t>
            </w:r>
          </w:p>
        </w:tc>
        <w:tc>
          <w:tcPr>
            <w:tcW w:w="1157" w:type="dxa"/>
            <w:tcBorders>
              <w:top w:val="nil"/>
              <w:left w:val="nil"/>
              <w:bottom w:val="single" w:sz="8" w:space="0" w:color="A8D08D"/>
              <w:right w:val="single" w:sz="8" w:space="0" w:color="A8D08D"/>
            </w:tcBorders>
            <w:shd w:val="clear" w:color="000000" w:fill="E2EFD9"/>
            <w:noWrap/>
            <w:vAlign w:val="center"/>
          </w:tcPr>
          <w:p w14:paraId="221EC2FE" w14:textId="029A1DDA" w:rsidR="00F03D8A" w:rsidRPr="008414D9" w:rsidRDefault="00F03D8A" w:rsidP="00F03D8A">
            <w:pPr>
              <w:spacing w:after="120" w:line="240" w:lineRule="auto"/>
              <w:jc w:val="right"/>
              <w:rPr>
                <w:rFonts w:eastAsia="Times New Roman" w:cs="Calibri"/>
                <w:b/>
                <w:bCs/>
                <w:color w:val="000000"/>
                <w:sz w:val="20"/>
                <w:szCs w:val="20"/>
                <w:lang w:val="en-GB"/>
              </w:rPr>
            </w:pPr>
            <w:r>
              <w:rPr>
                <w:rFonts w:cs="Calibri"/>
                <w:b/>
                <w:bCs/>
                <w:color w:val="000000"/>
                <w:sz w:val="20"/>
                <w:szCs w:val="20"/>
              </w:rPr>
              <w:t>7</w:t>
            </w:r>
            <w:r w:rsidR="001A282A">
              <w:rPr>
                <w:rFonts w:cs="Calibri"/>
                <w:b/>
                <w:bCs/>
                <w:color w:val="000000"/>
                <w:sz w:val="20"/>
                <w:szCs w:val="20"/>
              </w:rPr>
              <w:t>2</w:t>
            </w:r>
            <w:r>
              <w:rPr>
                <w:rFonts w:cs="Calibri"/>
                <w:b/>
                <w:bCs/>
                <w:color w:val="000000"/>
                <w:sz w:val="20"/>
                <w:szCs w:val="20"/>
              </w:rPr>
              <w:t>.</w:t>
            </w:r>
            <w:r w:rsidR="001A282A">
              <w:rPr>
                <w:rFonts w:cs="Calibri"/>
                <w:b/>
                <w:bCs/>
                <w:color w:val="000000"/>
                <w:sz w:val="20"/>
                <w:szCs w:val="20"/>
              </w:rPr>
              <w:t>883</w:t>
            </w:r>
          </w:p>
        </w:tc>
        <w:tc>
          <w:tcPr>
            <w:tcW w:w="1158" w:type="dxa"/>
            <w:tcBorders>
              <w:top w:val="nil"/>
              <w:left w:val="nil"/>
              <w:bottom w:val="single" w:sz="8" w:space="0" w:color="A8D08D"/>
              <w:right w:val="single" w:sz="8" w:space="0" w:color="A8D08D"/>
            </w:tcBorders>
            <w:shd w:val="clear" w:color="000000" w:fill="E2EFD9"/>
            <w:noWrap/>
            <w:vAlign w:val="center"/>
          </w:tcPr>
          <w:p w14:paraId="112B4AF1" w14:textId="616CAE4E" w:rsidR="00F03D8A" w:rsidRPr="008414D9" w:rsidRDefault="00F03D8A" w:rsidP="00F03D8A">
            <w:pPr>
              <w:spacing w:after="120" w:line="240" w:lineRule="auto"/>
              <w:jc w:val="right"/>
              <w:rPr>
                <w:rFonts w:eastAsia="Times New Roman" w:cs="Calibri"/>
                <w:b/>
                <w:bCs/>
                <w:color w:val="000000"/>
                <w:sz w:val="20"/>
                <w:szCs w:val="20"/>
                <w:lang w:val="en-GB"/>
              </w:rPr>
            </w:pPr>
            <w:r>
              <w:rPr>
                <w:rFonts w:cs="Calibri"/>
                <w:b/>
                <w:bCs/>
                <w:color w:val="000000"/>
                <w:sz w:val="20"/>
                <w:szCs w:val="20"/>
              </w:rPr>
              <w:t>30.852</w:t>
            </w:r>
          </w:p>
        </w:tc>
        <w:tc>
          <w:tcPr>
            <w:tcW w:w="1158" w:type="dxa"/>
            <w:tcBorders>
              <w:top w:val="nil"/>
              <w:left w:val="nil"/>
              <w:bottom w:val="single" w:sz="8" w:space="0" w:color="A8D08D"/>
              <w:right w:val="single" w:sz="8" w:space="0" w:color="A8D08D"/>
            </w:tcBorders>
            <w:shd w:val="clear" w:color="000000" w:fill="E2EFD9"/>
            <w:vAlign w:val="center"/>
          </w:tcPr>
          <w:p w14:paraId="44E6A9A9" w14:textId="4B45588B" w:rsidR="00F03D8A" w:rsidRPr="008414D9" w:rsidRDefault="00F03D8A" w:rsidP="00F03D8A">
            <w:pPr>
              <w:spacing w:after="120" w:line="240" w:lineRule="auto"/>
              <w:jc w:val="right"/>
              <w:rPr>
                <w:rFonts w:cs="Calibri"/>
                <w:b/>
                <w:bCs/>
                <w:color w:val="000000"/>
                <w:sz w:val="20"/>
                <w:szCs w:val="20"/>
                <w:lang w:val="en-GB"/>
              </w:rPr>
            </w:pPr>
            <w:r>
              <w:rPr>
                <w:rFonts w:cs="Calibri"/>
                <w:b/>
                <w:bCs/>
                <w:i/>
                <w:iCs/>
                <w:color w:val="000000"/>
                <w:sz w:val="20"/>
                <w:szCs w:val="20"/>
              </w:rPr>
              <w:t>13</w:t>
            </w:r>
            <w:r w:rsidR="001A282A">
              <w:rPr>
                <w:rFonts w:cs="Calibri"/>
                <w:b/>
                <w:bCs/>
                <w:i/>
                <w:iCs/>
                <w:color w:val="000000"/>
                <w:sz w:val="20"/>
                <w:szCs w:val="20"/>
              </w:rPr>
              <w:t>6</w:t>
            </w:r>
            <w:r>
              <w:rPr>
                <w:rFonts w:cs="Calibri"/>
                <w:b/>
                <w:bCs/>
                <w:i/>
                <w:iCs/>
                <w:color w:val="000000"/>
                <w:sz w:val="20"/>
                <w:szCs w:val="20"/>
              </w:rPr>
              <w:t>%</w:t>
            </w:r>
          </w:p>
        </w:tc>
        <w:tc>
          <w:tcPr>
            <w:tcW w:w="1157" w:type="dxa"/>
            <w:tcBorders>
              <w:top w:val="nil"/>
              <w:left w:val="nil"/>
              <w:bottom w:val="single" w:sz="8" w:space="0" w:color="A8D08D"/>
              <w:right w:val="single" w:sz="8" w:space="0" w:color="A8D08D"/>
            </w:tcBorders>
            <w:shd w:val="clear" w:color="000000" w:fill="E2EFD9"/>
            <w:vAlign w:val="center"/>
          </w:tcPr>
          <w:p w14:paraId="60079561" w14:textId="26372BCF" w:rsidR="00F03D8A" w:rsidRPr="008414D9" w:rsidRDefault="00F03D8A" w:rsidP="00F03D8A">
            <w:pPr>
              <w:spacing w:after="120" w:line="240" w:lineRule="auto"/>
              <w:jc w:val="right"/>
              <w:rPr>
                <w:rFonts w:cs="Calibri"/>
                <w:b/>
                <w:bCs/>
                <w:i/>
                <w:iCs/>
                <w:color w:val="000000"/>
                <w:sz w:val="20"/>
                <w:szCs w:val="20"/>
                <w:lang w:val="en-GB"/>
              </w:rPr>
            </w:pPr>
            <w:r>
              <w:rPr>
                <w:rFonts w:cs="Calibri"/>
                <w:b/>
                <w:bCs/>
                <w:color w:val="000000"/>
                <w:sz w:val="20"/>
                <w:szCs w:val="20"/>
              </w:rPr>
              <w:t>44.</w:t>
            </w:r>
            <w:r w:rsidR="001A282A">
              <w:rPr>
                <w:rFonts w:cs="Calibri"/>
                <w:b/>
                <w:bCs/>
                <w:color w:val="000000"/>
                <w:sz w:val="20"/>
                <w:szCs w:val="20"/>
              </w:rPr>
              <w:t>503</w:t>
            </w:r>
          </w:p>
        </w:tc>
        <w:tc>
          <w:tcPr>
            <w:tcW w:w="1158" w:type="dxa"/>
            <w:tcBorders>
              <w:top w:val="nil"/>
              <w:left w:val="nil"/>
              <w:bottom w:val="single" w:sz="8" w:space="0" w:color="A8D08D"/>
              <w:right w:val="single" w:sz="8" w:space="0" w:color="A8D08D"/>
            </w:tcBorders>
            <w:shd w:val="clear" w:color="000000" w:fill="E2EFD9"/>
            <w:vAlign w:val="center"/>
          </w:tcPr>
          <w:p w14:paraId="1DFA940A" w14:textId="34BCA23A" w:rsidR="00F03D8A" w:rsidRPr="008414D9" w:rsidRDefault="00F03D8A" w:rsidP="00F03D8A">
            <w:pPr>
              <w:spacing w:after="120" w:line="240" w:lineRule="auto"/>
              <w:jc w:val="right"/>
              <w:rPr>
                <w:rFonts w:cs="Calibri"/>
                <w:b/>
                <w:bCs/>
                <w:i/>
                <w:iCs/>
                <w:color w:val="000000"/>
                <w:sz w:val="20"/>
                <w:szCs w:val="20"/>
                <w:lang w:val="en-GB"/>
              </w:rPr>
            </w:pPr>
            <w:r>
              <w:rPr>
                <w:rFonts w:cs="Calibri"/>
                <w:b/>
                <w:bCs/>
                <w:color w:val="000000"/>
                <w:sz w:val="20"/>
                <w:szCs w:val="20"/>
              </w:rPr>
              <w:t>12.332</w:t>
            </w:r>
          </w:p>
        </w:tc>
        <w:tc>
          <w:tcPr>
            <w:tcW w:w="1158" w:type="dxa"/>
            <w:tcBorders>
              <w:top w:val="nil"/>
              <w:left w:val="nil"/>
              <w:bottom w:val="single" w:sz="8" w:space="0" w:color="A8D08D"/>
              <w:right w:val="single" w:sz="8" w:space="0" w:color="A8D08D"/>
            </w:tcBorders>
            <w:shd w:val="clear" w:color="000000" w:fill="E2EFD9"/>
            <w:vAlign w:val="center"/>
          </w:tcPr>
          <w:p w14:paraId="310E0964" w14:textId="110AC0A5" w:rsidR="00F03D8A" w:rsidRPr="008414D9" w:rsidRDefault="00F03D8A" w:rsidP="00F03D8A">
            <w:pPr>
              <w:spacing w:after="120" w:line="240" w:lineRule="auto"/>
              <w:jc w:val="right"/>
              <w:rPr>
                <w:rFonts w:cs="Calibri"/>
                <w:b/>
                <w:bCs/>
                <w:i/>
                <w:iCs/>
                <w:color w:val="000000"/>
                <w:sz w:val="20"/>
                <w:szCs w:val="20"/>
                <w:lang w:val="en-GB"/>
              </w:rPr>
            </w:pPr>
            <w:r>
              <w:rPr>
                <w:rFonts w:cs="Calibri"/>
                <w:b/>
                <w:bCs/>
                <w:i/>
                <w:iCs/>
                <w:color w:val="000000"/>
                <w:sz w:val="20"/>
                <w:szCs w:val="20"/>
              </w:rPr>
              <w:t>26</w:t>
            </w:r>
            <w:r w:rsidR="001A282A">
              <w:rPr>
                <w:rFonts w:cs="Calibri"/>
                <w:b/>
                <w:bCs/>
                <w:i/>
                <w:iCs/>
                <w:color w:val="000000"/>
                <w:sz w:val="20"/>
                <w:szCs w:val="20"/>
              </w:rPr>
              <w:t>1</w:t>
            </w:r>
            <w:r>
              <w:rPr>
                <w:rFonts w:cs="Calibri"/>
                <w:b/>
                <w:bCs/>
                <w:i/>
                <w:iCs/>
                <w:color w:val="000000"/>
                <w:sz w:val="20"/>
                <w:szCs w:val="20"/>
              </w:rPr>
              <w:t>%</w:t>
            </w:r>
          </w:p>
        </w:tc>
      </w:tr>
      <w:tr w:rsidR="00F03D8A" w:rsidRPr="008414D9" w14:paraId="1BFDBDA1" w14:textId="77777777" w:rsidTr="00C45744">
        <w:trPr>
          <w:trHeight w:val="252"/>
        </w:trPr>
        <w:tc>
          <w:tcPr>
            <w:tcW w:w="2967" w:type="dxa"/>
            <w:tcBorders>
              <w:top w:val="nil"/>
              <w:left w:val="single" w:sz="8" w:space="0" w:color="A8D08D"/>
              <w:bottom w:val="single" w:sz="8" w:space="0" w:color="A8D08D"/>
              <w:right w:val="single" w:sz="8" w:space="0" w:color="A8D08D"/>
            </w:tcBorders>
            <w:shd w:val="clear" w:color="000000" w:fill="FFFFFF"/>
            <w:noWrap/>
            <w:hideMark/>
          </w:tcPr>
          <w:p w14:paraId="2E3C2B2E" w14:textId="6E365D0A" w:rsidR="00F03D8A" w:rsidRPr="00F03D8A" w:rsidRDefault="00F03D8A" w:rsidP="00831A4B">
            <w:pPr>
              <w:spacing w:after="120" w:line="240" w:lineRule="auto"/>
              <w:rPr>
                <w:rFonts w:eastAsia="Times New Roman" w:cs="Calibri"/>
                <w:color w:val="000000"/>
                <w:sz w:val="20"/>
                <w:szCs w:val="20"/>
              </w:rPr>
            </w:pPr>
            <w:r w:rsidRPr="008567C6">
              <w:rPr>
                <w:rFonts w:asciiTheme="minorHAnsi" w:hAnsiTheme="minorHAnsi" w:cstheme="minorHAnsi"/>
                <w:sz w:val="20"/>
                <w:szCs w:val="20"/>
              </w:rPr>
              <w:t>Κέρδη χρήσης μετά από φόρους</w:t>
            </w:r>
          </w:p>
        </w:tc>
        <w:tc>
          <w:tcPr>
            <w:tcW w:w="1157" w:type="dxa"/>
            <w:tcBorders>
              <w:top w:val="nil"/>
              <w:left w:val="nil"/>
              <w:bottom w:val="single" w:sz="8" w:space="0" w:color="A8D08D"/>
              <w:right w:val="single" w:sz="8" w:space="0" w:color="A8D08D"/>
            </w:tcBorders>
            <w:shd w:val="clear" w:color="000000" w:fill="FFFFFF"/>
            <w:noWrap/>
            <w:vAlign w:val="center"/>
          </w:tcPr>
          <w:p w14:paraId="555160A0" w14:textId="668447A5" w:rsidR="00F03D8A" w:rsidRPr="008414D9" w:rsidRDefault="00F03D8A" w:rsidP="00F03D8A">
            <w:pPr>
              <w:spacing w:after="120" w:line="240" w:lineRule="auto"/>
              <w:jc w:val="right"/>
              <w:rPr>
                <w:rFonts w:eastAsia="Times New Roman" w:cs="Calibri"/>
                <w:color w:val="000000"/>
                <w:sz w:val="20"/>
                <w:szCs w:val="20"/>
                <w:lang w:val="en-GB"/>
              </w:rPr>
            </w:pPr>
            <w:r>
              <w:rPr>
                <w:rFonts w:cs="Calibri"/>
                <w:color w:val="000000"/>
                <w:sz w:val="20"/>
                <w:szCs w:val="20"/>
              </w:rPr>
              <w:t>56.</w:t>
            </w:r>
            <w:r w:rsidR="001A282A">
              <w:rPr>
                <w:rFonts w:cs="Calibri"/>
                <w:color w:val="000000"/>
                <w:sz w:val="20"/>
                <w:szCs w:val="20"/>
              </w:rPr>
              <w:t>463</w:t>
            </w:r>
          </w:p>
        </w:tc>
        <w:tc>
          <w:tcPr>
            <w:tcW w:w="1158" w:type="dxa"/>
            <w:tcBorders>
              <w:top w:val="nil"/>
              <w:left w:val="nil"/>
              <w:bottom w:val="single" w:sz="8" w:space="0" w:color="A8D08D"/>
              <w:right w:val="single" w:sz="8" w:space="0" w:color="A8D08D"/>
            </w:tcBorders>
            <w:shd w:val="clear" w:color="000000" w:fill="FFFFFF"/>
            <w:noWrap/>
            <w:vAlign w:val="center"/>
          </w:tcPr>
          <w:p w14:paraId="2DF4AD99" w14:textId="60265572" w:rsidR="00F03D8A" w:rsidRPr="008414D9" w:rsidRDefault="00F03D8A" w:rsidP="00F03D8A">
            <w:pPr>
              <w:spacing w:after="120" w:line="240" w:lineRule="auto"/>
              <w:jc w:val="right"/>
              <w:rPr>
                <w:rFonts w:eastAsia="Times New Roman" w:cs="Calibri"/>
                <w:color w:val="000000"/>
                <w:sz w:val="20"/>
                <w:szCs w:val="20"/>
                <w:lang w:val="en-GB"/>
              </w:rPr>
            </w:pPr>
            <w:r>
              <w:rPr>
                <w:rFonts w:cs="Calibri"/>
                <w:color w:val="000000"/>
                <w:sz w:val="20"/>
                <w:szCs w:val="20"/>
              </w:rPr>
              <w:t>23.631</w:t>
            </w:r>
          </w:p>
        </w:tc>
        <w:tc>
          <w:tcPr>
            <w:tcW w:w="1158" w:type="dxa"/>
            <w:tcBorders>
              <w:top w:val="nil"/>
              <w:left w:val="nil"/>
              <w:bottom w:val="single" w:sz="8" w:space="0" w:color="A8D08D"/>
              <w:right w:val="single" w:sz="8" w:space="0" w:color="A8D08D"/>
            </w:tcBorders>
            <w:shd w:val="clear" w:color="000000" w:fill="FFFFFF"/>
            <w:vAlign w:val="center"/>
          </w:tcPr>
          <w:p w14:paraId="1EB48766" w14:textId="1B232356" w:rsidR="00F03D8A" w:rsidRPr="008414D9" w:rsidRDefault="00F03D8A" w:rsidP="00F03D8A">
            <w:pPr>
              <w:spacing w:after="120" w:line="240" w:lineRule="auto"/>
              <w:jc w:val="right"/>
              <w:rPr>
                <w:rFonts w:cs="Calibri"/>
                <w:color w:val="000000"/>
                <w:sz w:val="20"/>
                <w:szCs w:val="20"/>
                <w:lang w:val="en-GB"/>
              </w:rPr>
            </w:pPr>
            <w:r>
              <w:rPr>
                <w:rFonts w:cs="Calibri"/>
                <w:i/>
                <w:iCs/>
                <w:color w:val="000000"/>
                <w:sz w:val="20"/>
                <w:szCs w:val="20"/>
              </w:rPr>
              <w:t>1</w:t>
            </w:r>
            <w:r w:rsidR="001A282A">
              <w:rPr>
                <w:rFonts w:cs="Calibri"/>
                <w:i/>
                <w:iCs/>
                <w:color w:val="000000"/>
                <w:sz w:val="20"/>
                <w:szCs w:val="20"/>
              </w:rPr>
              <w:t>39</w:t>
            </w:r>
            <w:r>
              <w:rPr>
                <w:rFonts w:cs="Calibri"/>
                <w:i/>
                <w:iCs/>
                <w:color w:val="000000"/>
                <w:sz w:val="20"/>
                <w:szCs w:val="20"/>
              </w:rPr>
              <w:t>%</w:t>
            </w:r>
          </w:p>
        </w:tc>
        <w:tc>
          <w:tcPr>
            <w:tcW w:w="1157" w:type="dxa"/>
            <w:tcBorders>
              <w:top w:val="nil"/>
              <w:left w:val="nil"/>
              <w:bottom w:val="single" w:sz="8" w:space="0" w:color="A8D08D"/>
              <w:right w:val="single" w:sz="8" w:space="0" w:color="A8D08D"/>
            </w:tcBorders>
            <w:shd w:val="clear" w:color="000000" w:fill="FFFFFF"/>
            <w:vAlign w:val="center"/>
          </w:tcPr>
          <w:p w14:paraId="0EBB0C1B" w14:textId="2CA027F6" w:rsidR="00F03D8A" w:rsidRPr="008414D9" w:rsidRDefault="00F03D8A" w:rsidP="00F03D8A">
            <w:pPr>
              <w:spacing w:after="120" w:line="240" w:lineRule="auto"/>
              <w:jc w:val="right"/>
              <w:rPr>
                <w:rFonts w:cs="Calibri"/>
                <w:i/>
                <w:iCs/>
                <w:color w:val="000000"/>
                <w:sz w:val="20"/>
                <w:szCs w:val="20"/>
                <w:lang w:val="en-GB"/>
              </w:rPr>
            </w:pPr>
            <w:r>
              <w:rPr>
                <w:rFonts w:cs="Calibri"/>
                <w:color w:val="000000"/>
                <w:sz w:val="20"/>
                <w:szCs w:val="20"/>
              </w:rPr>
              <w:t>3</w:t>
            </w:r>
            <w:r w:rsidR="001A282A">
              <w:rPr>
                <w:rFonts w:cs="Calibri"/>
                <w:color w:val="000000"/>
                <w:sz w:val="20"/>
                <w:szCs w:val="20"/>
              </w:rPr>
              <w:t>2</w:t>
            </w:r>
            <w:r>
              <w:rPr>
                <w:rFonts w:cs="Calibri"/>
                <w:color w:val="000000"/>
                <w:sz w:val="20"/>
                <w:szCs w:val="20"/>
              </w:rPr>
              <w:t>.</w:t>
            </w:r>
            <w:r w:rsidR="001A282A">
              <w:rPr>
                <w:rFonts w:cs="Calibri"/>
                <w:color w:val="000000"/>
                <w:sz w:val="20"/>
                <w:szCs w:val="20"/>
              </w:rPr>
              <w:t>846</w:t>
            </w:r>
          </w:p>
        </w:tc>
        <w:tc>
          <w:tcPr>
            <w:tcW w:w="1158" w:type="dxa"/>
            <w:tcBorders>
              <w:top w:val="nil"/>
              <w:left w:val="nil"/>
              <w:bottom w:val="single" w:sz="8" w:space="0" w:color="A8D08D"/>
              <w:right w:val="single" w:sz="8" w:space="0" w:color="A8D08D"/>
            </w:tcBorders>
            <w:shd w:val="clear" w:color="000000" w:fill="FFFFFF"/>
            <w:vAlign w:val="center"/>
          </w:tcPr>
          <w:p w14:paraId="38CC1631" w14:textId="3EE3E035" w:rsidR="00F03D8A" w:rsidRPr="008414D9" w:rsidRDefault="00F03D8A" w:rsidP="00F03D8A">
            <w:pPr>
              <w:spacing w:after="120" w:line="240" w:lineRule="auto"/>
              <w:jc w:val="right"/>
              <w:rPr>
                <w:rFonts w:cs="Calibri"/>
                <w:i/>
                <w:iCs/>
                <w:color w:val="000000"/>
                <w:sz w:val="20"/>
                <w:szCs w:val="20"/>
                <w:lang w:val="en-GB"/>
              </w:rPr>
            </w:pPr>
            <w:r>
              <w:rPr>
                <w:rFonts w:cs="Calibri"/>
                <w:color w:val="000000"/>
                <w:sz w:val="20"/>
                <w:szCs w:val="20"/>
              </w:rPr>
              <w:t>8.267</w:t>
            </w:r>
          </w:p>
        </w:tc>
        <w:tc>
          <w:tcPr>
            <w:tcW w:w="1158" w:type="dxa"/>
            <w:tcBorders>
              <w:top w:val="nil"/>
              <w:left w:val="nil"/>
              <w:bottom w:val="single" w:sz="8" w:space="0" w:color="A8D08D"/>
              <w:right w:val="single" w:sz="8" w:space="0" w:color="A8D08D"/>
            </w:tcBorders>
            <w:shd w:val="clear" w:color="000000" w:fill="FFFFFF"/>
            <w:vAlign w:val="center"/>
          </w:tcPr>
          <w:p w14:paraId="087C19FD" w14:textId="6F2CC6B9" w:rsidR="00F03D8A" w:rsidRPr="008414D9" w:rsidRDefault="001A282A" w:rsidP="00F03D8A">
            <w:pPr>
              <w:spacing w:after="120" w:line="240" w:lineRule="auto"/>
              <w:jc w:val="right"/>
              <w:rPr>
                <w:rFonts w:cs="Calibri"/>
                <w:i/>
                <w:iCs/>
                <w:color w:val="000000"/>
                <w:sz w:val="20"/>
                <w:szCs w:val="20"/>
                <w:lang w:val="en-GB"/>
              </w:rPr>
            </w:pPr>
            <w:r>
              <w:rPr>
                <w:rFonts w:cs="Calibri"/>
                <w:i/>
                <w:iCs/>
                <w:color w:val="000000"/>
                <w:sz w:val="20"/>
                <w:szCs w:val="20"/>
              </w:rPr>
              <w:t>297</w:t>
            </w:r>
            <w:r w:rsidR="00F03D8A">
              <w:rPr>
                <w:rFonts w:cs="Calibri"/>
                <w:i/>
                <w:iCs/>
                <w:color w:val="000000"/>
                <w:sz w:val="20"/>
                <w:szCs w:val="20"/>
              </w:rPr>
              <w:t>%</w:t>
            </w:r>
          </w:p>
        </w:tc>
      </w:tr>
      <w:tr w:rsidR="00F03D8A" w:rsidRPr="008414D9" w14:paraId="275B6545" w14:textId="77777777" w:rsidTr="00C45744">
        <w:trPr>
          <w:trHeight w:val="252"/>
        </w:trPr>
        <w:tc>
          <w:tcPr>
            <w:tcW w:w="2967" w:type="dxa"/>
            <w:tcBorders>
              <w:top w:val="nil"/>
              <w:left w:val="single" w:sz="8" w:space="0" w:color="A8D08D"/>
              <w:bottom w:val="single" w:sz="8" w:space="0" w:color="A8D08D"/>
              <w:right w:val="single" w:sz="8" w:space="0" w:color="A8D08D"/>
            </w:tcBorders>
            <w:shd w:val="clear" w:color="000000" w:fill="FFFFFF"/>
            <w:noWrap/>
            <w:hideMark/>
          </w:tcPr>
          <w:p w14:paraId="70607E3C" w14:textId="2501E726" w:rsidR="00F03D8A" w:rsidRPr="008414D9" w:rsidRDefault="00F03D8A" w:rsidP="00831A4B">
            <w:pPr>
              <w:spacing w:after="120" w:line="240" w:lineRule="auto"/>
              <w:rPr>
                <w:rFonts w:eastAsia="Times New Roman" w:cs="Calibri"/>
                <w:i/>
                <w:iCs/>
                <w:color w:val="000000"/>
                <w:sz w:val="20"/>
                <w:szCs w:val="20"/>
                <w:lang w:val="en-GB"/>
              </w:rPr>
            </w:pPr>
            <w:r w:rsidRPr="008567C6">
              <w:rPr>
                <w:rFonts w:asciiTheme="minorHAnsi" w:hAnsiTheme="minorHAnsi" w:cstheme="minorHAnsi"/>
                <w:i/>
                <w:iCs/>
                <w:sz w:val="20"/>
                <w:szCs w:val="20"/>
              </w:rPr>
              <w:t>Καθαρό περιθώριο κέρδους (%)</w:t>
            </w:r>
          </w:p>
        </w:tc>
        <w:tc>
          <w:tcPr>
            <w:tcW w:w="1157" w:type="dxa"/>
            <w:tcBorders>
              <w:top w:val="nil"/>
              <w:left w:val="nil"/>
              <w:bottom w:val="single" w:sz="8" w:space="0" w:color="A8D08D"/>
              <w:right w:val="single" w:sz="8" w:space="0" w:color="A8D08D"/>
            </w:tcBorders>
            <w:shd w:val="clear" w:color="000000" w:fill="FFFFFF"/>
            <w:noWrap/>
            <w:vAlign w:val="center"/>
          </w:tcPr>
          <w:p w14:paraId="40D7BF34" w14:textId="63F1B843" w:rsidR="00F03D8A" w:rsidRPr="008414D9" w:rsidRDefault="00F03D8A" w:rsidP="00F03D8A">
            <w:pPr>
              <w:spacing w:after="120" w:line="240" w:lineRule="auto"/>
              <w:jc w:val="right"/>
              <w:rPr>
                <w:rFonts w:eastAsia="Times New Roman" w:cs="Calibri"/>
                <w:i/>
                <w:iCs/>
                <w:color w:val="000000"/>
                <w:sz w:val="20"/>
                <w:szCs w:val="20"/>
                <w:lang w:val="en-GB"/>
              </w:rPr>
            </w:pPr>
            <w:r>
              <w:rPr>
                <w:rFonts w:cs="Calibri"/>
                <w:i/>
                <w:iCs/>
                <w:color w:val="000000"/>
                <w:sz w:val="20"/>
                <w:szCs w:val="20"/>
              </w:rPr>
              <w:t>7,0%</w:t>
            </w:r>
          </w:p>
        </w:tc>
        <w:tc>
          <w:tcPr>
            <w:tcW w:w="1158" w:type="dxa"/>
            <w:tcBorders>
              <w:top w:val="nil"/>
              <w:left w:val="nil"/>
              <w:bottom w:val="single" w:sz="8" w:space="0" w:color="A8D08D"/>
              <w:right w:val="single" w:sz="8" w:space="0" w:color="A8D08D"/>
            </w:tcBorders>
            <w:shd w:val="clear" w:color="000000" w:fill="FFFFFF"/>
            <w:noWrap/>
            <w:vAlign w:val="center"/>
          </w:tcPr>
          <w:p w14:paraId="2FCF0E06" w14:textId="3D648076" w:rsidR="00F03D8A" w:rsidRPr="008414D9" w:rsidRDefault="00F03D8A" w:rsidP="00F03D8A">
            <w:pPr>
              <w:spacing w:after="120" w:line="240" w:lineRule="auto"/>
              <w:jc w:val="right"/>
              <w:rPr>
                <w:rFonts w:eastAsia="Times New Roman" w:cs="Calibri"/>
                <w:i/>
                <w:iCs/>
                <w:color w:val="000000"/>
                <w:sz w:val="20"/>
                <w:szCs w:val="20"/>
                <w:lang w:val="en-GB"/>
              </w:rPr>
            </w:pPr>
            <w:r>
              <w:rPr>
                <w:rFonts w:cs="Calibri"/>
                <w:i/>
                <w:iCs/>
                <w:color w:val="000000"/>
                <w:sz w:val="20"/>
                <w:szCs w:val="20"/>
              </w:rPr>
              <w:t>3,0%</w:t>
            </w:r>
          </w:p>
        </w:tc>
        <w:tc>
          <w:tcPr>
            <w:tcW w:w="1158" w:type="dxa"/>
            <w:tcBorders>
              <w:top w:val="nil"/>
              <w:left w:val="nil"/>
              <w:bottom w:val="single" w:sz="8" w:space="0" w:color="A8D08D"/>
              <w:right w:val="single" w:sz="8" w:space="0" w:color="A8D08D"/>
            </w:tcBorders>
            <w:shd w:val="clear" w:color="000000" w:fill="FFFFFF"/>
            <w:vAlign w:val="center"/>
          </w:tcPr>
          <w:p w14:paraId="3559D7BE" w14:textId="7C5A6831" w:rsidR="00F03D8A" w:rsidRPr="008414D9" w:rsidRDefault="001A282A" w:rsidP="00F03D8A">
            <w:pPr>
              <w:spacing w:after="120" w:line="240" w:lineRule="auto"/>
              <w:jc w:val="right"/>
              <w:rPr>
                <w:rFonts w:cs="Calibri"/>
                <w:i/>
                <w:iCs/>
                <w:color w:val="000000"/>
                <w:sz w:val="20"/>
                <w:szCs w:val="20"/>
                <w:lang w:val="en-GB"/>
              </w:rPr>
            </w:pPr>
            <w:r>
              <w:rPr>
                <w:rFonts w:cs="Calibri"/>
                <w:i/>
                <w:iCs/>
                <w:color w:val="000000"/>
                <w:sz w:val="20"/>
                <w:szCs w:val="20"/>
              </w:rPr>
              <w:t>399</w:t>
            </w:r>
            <w:r w:rsidR="00F03D8A">
              <w:rPr>
                <w:rFonts w:cs="Calibri"/>
                <w:i/>
                <w:iCs/>
                <w:color w:val="000000"/>
                <w:sz w:val="20"/>
                <w:szCs w:val="20"/>
              </w:rPr>
              <w:t xml:space="preserve"> </w:t>
            </w:r>
            <w:r w:rsidR="00F03D8A" w:rsidRPr="00EF5461">
              <w:rPr>
                <w:rFonts w:cs="Calibri"/>
                <w:i/>
                <w:iCs/>
                <w:color w:val="000000"/>
                <w:sz w:val="20"/>
                <w:szCs w:val="20"/>
              </w:rPr>
              <w:t>μβ</w:t>
            </w:r>
          </w:p>
        </w:tc>
        <w:tc>
          <w:tcPr>
            <w:tcW w:w="1157" w:type="dxa"/>
            <w:tcBorders>
              <w:top w:val="nil"/>
              <w:left w:val="nil"/>
              <w:bottom w:val="single" w:sz="8" w:space="0" w:color="A8D08D"/>
              <w:right w:val="single" w:sz="8" w:space="0" w:color="A8D08D"/>
            </w:tcBorders>
            <w:shd w:val="clear" w:color="000000" w:fill="FFFFFF"/>
            <w:vAlign w:val="center"/>
          </w:tcPr>
          <w:p w14:paraId="52B66C83" w14:textId="2530E81F" w:rsidR="00F03D8A" w:rsidRPr="008414D9" w:rsidRDefault="001A282A" w:rsidP="00F03D8A">
            <w:pPr>
              <w:spacing w:after="120" w:line="240" w:lineRule="auto"/>
              <w:jc w:val="right"/>
              <w:rPr>
                <w:rFonts w:cs="Calibri"/>
                <w:i/>
                <w:iCs/>
                <w:color w:val="000000"/>
                <w:sz w:val="20"/>
                <w:szCs w:val="20"/>
                <w:lang w:val="en-GB"/>
              </w:rPr>
            </w:pPr>
            <w:r>
              <w:rPr>
                <w:rFonts w:cs="Calibri"/>
                <w:i/>
                <w:iCs/>
                <w:color w:val="000000"/>
                <w:sz w:val="20"/>
                <w:szCs w:val="20"/>
              </w:rPr>
              <w:t>7</w:t>
            </w:r>
            <w:r w:rsidR="00F03D8A">
              <w:rPr>
                <w:rFonts w:cs="Calibri"/>
                <w:i/>
                <w:iCs/>
                <w:color w:val="000000"/>
                <w:sz w:val="20"/>
                <w:szCs w:val="20"/>
              </w:rPr>
              <w:t>,</w:t>
            </w:r>
            <w:r>
              <w:rPr>
                <w:rFonts w:cs="Calibri"/>
                <w:i/>
                <w:iCs/>
                <w:color w:val="000000"/>
                <w:sz w:val="20"/>
                <w:szCs w:val="20"/>
              </w:rPr>
              <w:t>9</w:t>
            </w:r>
            <w:r w:rsidR="00F03D8A">
              <w:rPr>
                <w:rFonts w:cs="Calibri"/>
                <w:i/>
                <w:iCs/>
                <w:color w:val="000000"/>
                <w:sz w:val="20"/>
                <w:szCs w:val="20"/>
              </w:rPr>
              <w:t>%</w:t>
            </w:r>
          </w:p>
        </w:tc>
        <w:tc>
          <w:tcPr>
            <w:tcW w:w="1158" w:type="dxa"/>
            <w:tcBorders>
              <w:top w:val="nil"/>
              <w:left w:val="nil"/>
              <w:bottom w:val="single" w:sz="8" w:space="0" w:color="A8D08D"/>
              <w:right w:val="single" w:sz="8" w:space="0" w:color="A8D08D"/>
            </w:tcBorders>
            <w:shd w:val="clear" w:color="000000" w:fill="FFFFFF"/>
            <w:vAlign w:val="center"/>
          </w:tcPr>
          <w:p w14:paraId="3B6DCB49" w14:textId="43955A34" w:rsidR="00F03D8A" w:rsidRPr="008414D9" w:rsidRDefault="00F03D8A" w:rsidP="00F03D8A">
            <w:pPr>
              <w:spacing w:after="120" w:line="240" w:lineRule="auto"/>
              <w:jc w:val="right"/>
              <w:rPr>
                <w:rFonts w:cs="Calibri"/>
                <w:i/>
                <w:iCs/>
                <w:color w:val="000000"/>
                <w:sz w:val="20"/>
                <w:szCs w:val="20"/>
                <w:lang w:val="en-GB"/>
              </w:rPr>
            </w:pPr>
            <w:r>
              <w:rPr>
                <w:rFonts w:cs="Calibri"/>
                <w:i/>
                <w:iCs/>
                <w:color w:val="000000"/>
                <w:sz w:val="20"/>
                <w:szCs w:val="20"/>
              </w:rPr>
              <w:t>2,0%</w:t>
            </w:r>
          </w:p>
        </w:tc>
        <w:tc>
          <w:tcPr>
            <w:tcW w:w="1158" w:type="dxa"/>
            <w:tcBorders>
              <w:top w:val="nil"/>
              <w:left w:val="nil"/>
              <w:bottom w:val="single" w:sz="8" w:space="0" w:color="A8D08D"/>
              <w:right w:val="single" w:sz="8" w:space="0" w:color="A8D08D"/>
            </w:tcBorders>
            <w:shd w:val="clear" w:color="000000" w:fill="FFFFFF"/>
            <w:vAlign w:val="center"/>
          </w:tcPr>
          <w:p w14:paraId="7E1C865C" w14:textId="319DD0C7" w:rsidR="00F03D8A" w:rsidRPr="008414D9" w:rsidRDefault="001A282A" w:rsidP="00F03D8A">
            <w:pPr>
              <w:spacing w:after="120" w:line="240" w:lineRule="auto"/>
              <w:jc w:val="right"/>
              <w:rPr>
                <w:rFonts w:cs="Calibri"/>
                <w:i/>
                <w:iCs/>
                <w:color w:val="000000"/>
                <w:sz w:val="20"/>
                <w:szCs w:val="20"/>
                <w:lang w:val="en-GB"/>
              </w:rPr>
            </w:pPr>
            <w:r>
              <w:rPr>
                <w:rFonts w:cs="Calibri"/>
                <w:i/>
                <w:iCs/>
                <w:color w:val="000000"/>
                <w:sz w:val="20"/>
                <w:szCs w:val="20"/>
              </w:rPr>
              <w:t>591</w:t>
            </w:r>
            <w:r w:rsidR="00F03D8A">
              <w:rPr>
                <w:rFonts w:cs="Calibri"/>
                <w:i/>
                <w:iCs/>
                <w:color w:val="000000"/>
                <w:sz w:val="20"/>
                <w:szCs w:val="20"/>
              </w:rPr>
              <w:t xml:space="preserve"> </w:t>
            </w:r>
            <w:r w:rsidR="00F03D8A" w:rsidRPr="00EF5461">
              <w:rPr>
                <w:rFonts w:cs="Calibri"/>
                <w:i/>
                <w:iCs/>
                <w:color w:val="000000"/>
                <w:sz w:val="20"/>
                <w:szCs w:val="20"/>
              </w:rPr>
              <w:t>μβ</w:t>
            </w:r>
          </w:p>
        </w:tc>
      </w:tr>
      <w:tr w:rsidR="00F03D8A" w:rsidRPr="008414D9" w14:paraId="2B960F87" w14:textId="77777777" w:rsidTr="00C45744">
        <w:trPr>
          <w:trHeight w:val="252"/>
        </w:trPr>
        <w:tc>
          <w:tcPr>
            <w:tcW w:w="2967" w:type="dxa"/>
            <w:tcBorders>
              <w:top w:val="nil"/>
              <w:left w:val="single" w:sz="8" w:space="0" w:color="A8D08D"/>
              <w:bottom w:val="single" w:sz="8" w:space="0" w:color="A8D08D"/>
              <w:right w:val="single" w:sz="8" w:space="0" w:color="A8D08D"/>
            </w:tcBorders>
            <w:shd w:val="clear" w:color="000000" w:fill="FFFFFF"/>
            <w:hideMark/>
          </w:tcPr>
          <w:p w14:paraId="7848C6A1" w14:textId="7D5A2E78" w:rsidR="00F03D8A" w:rsidRPr="00F03D8A" w:rsidRDefault="00F03D8A" w:rsidP="00831A4B">
            <w:pPr>
              <w:spacing w:after="120" w:line="240" w:lineRule="auto"/>
              <w:rPr>
                <w:rFonts w:eastAsia="Times New Roman" w:cs="Calibri"/>
                <w:color w:val="000000"/>
                <w:sz w:val="20"/>
                <w:szCs w:val="20"/>
              </w:rPr>
            </w:pPr>
            <w:r w:rsidRPr="008567C6">
              <w:rPr>
                <w:rFonts w:asciiTheme="minorHAnsi" w:hAnsiTheme="minorHAnsi" w:cstheme="minorHAnsi"/>
                <w:sz w:val="20"/>
                <w:szCs w:val="20"/>
              </w:rPr>
              <w:t>Κέρδη μετά από φόρους και δικαιώματα μειοψηφίας</w:t>
            </w:r>
          </w:p>
        </w:tc>
        <w:tc>
          <w:tcPr>
            <w:tcW w:w="1157" w:type="dxa"/>
            <w:tcBorders>
              <w:top w:val="nil"/>
              <w:left w:val="nil"/>
              <w:bottom w:val="single" w:sz="8" w:space="0" w:color="A8D08D"/>
              <w:right w:val="single" w:sz="8" w:space="0" w:color="A8D08D"/>
            </w:tcBorders>
            <w:shd w:val="clear" w:color="000000" w:fill="FFFFFF"/>
            <w:noWrap/>
            <w:vAlign w:val="center"/>
          </w:tcPr>
          <w:p w14:paraId="1AF90208" w14:textId="7FB98B42" w:rsidR="00F03D8A" w:rsidRPr="008414D9" w:rsidRDefault="00F03D8A" w:rsidP="00F03D8A">
            <w:pPr>
              <w:spacing w:after="120" w:line="240" w:lineRule="auto"/>
              <w:jc w:val="right"/>
              <w:rPr>
                <w:rFonts w:eastAsia="Times New Roman" w:cs="Calibri"/>
                <w:color w:val="000000"/>
                <w:sz w:val="20"/>
                <w:szCs w:val="20"/>
                <w:lang w:val="en-GB"/>
              </w:rPr>
            </w:pPr>
            <w:r>
              <w:rPr>
                <w:rFonts w:cs="Calibri"/>
                <w:color w:val="000000"/>
                <w:sz w:val="20"/>
                <w:szCs w:val="20"/>
              </w:rPr>
              <w:t>56.</w:t>
            </w:r>
            <w:r w:rsidR="001A282A">
              <w:rPr>
                <w:rFonts w:cs="Calibri"/>
                <w:color w:val="000000"/>
                <w:sz w:val="20"/>
                <w:szCs w:val="20"/>
              </w:rPr>
              <w:t>459</w:t>
            </w:r>
          </w:p>
        </w:tc>
        <w:tc>
          <w:tcPr>
            <w:tcW w:w="1158" w:type="dxa"/>
            <w:tcBorders>
              <w:top w:val="nil"/>
              <w:left w:val="nil"/>
              <w:bottom w:val="single" w:sz="8" w:space="0" w:color="A8D08D"/>
              <w:right w:val="single" w:sz="8" w:space="0" w:color="A8D08D"/>
            </w:tcBorders>
            <w:shd w:val="clear" w:color="000000" w:fill="FFFFFF"/>
            <w:noWrap/>
            <w:vAlign w:val="center"/>
          </w:tcPr>
          <w:p w14:paraId="5DCFA3FA" w14:textId="77744ABA" w:rsidR="00F03D8A" w:rsidRPr="008414D9" w:rsidRDefault="00F03D8A" w:rsidP="00F03D8A">
            <w:pPr>
              <w:spacing w:after="120" w:line="240" w:lineRule="auto"/>
              <w:jc w:val="right"/>
              <w:rPr>
                <w:rFonts w:eastAsia="Times New Roman" w:cs="Calibri"/>
                <w:color w:val="000000"/>
                <w:sz w:val="20"/>
                <w:szCs w:val="20"/>
                <w:lang w:val="en-GB"/>
              </w:rPr>
            </w:pPr>
            <w:r>
              <w:rPr>
                <w:rFonts w:cs="Calibri"/>
                <w:color w:val="000000"/>
                <w:sz w:val="20"/>
                <w:szCs w:val="20"/>
              </w:rPr>
              <w:t>23.634</w:t>
            </w:r>
          </w:p>
        </w:tc>
        <w:tc>
          <w:tcPr>
            <w:tcW w:w="1158" w:type="dxa"/>
            <w:tcBorders>
              <w:top w:val="nil"/>
              <w:left w:val="nil"/>
              <w:bottom w:val="single" w:sz="8" w:space="0" w:color="A8D08D"/>
              <w:right w:val="single" w:sz="8" w:space="0" w:color="A8D08D"/>
            </w:tcBorders>
            <w:shd w:val="clear" w:color="000000" w:fill="FFFFFF"/>
            <w:vAlign w:val="center"/>
          </w:tcPr>
          <w:p w14:paraId="01D29B12" w14:textId="2AC6B97E" w:rsidR="00F03D8A" w:rsidRPr="008414D9" w:rsidRDefault="00F03D8A" w:rsidP="00F03D8A">
            <w:pPr>
              <w:spacing w:after="120" w:line="240" w:lineRule="auto"/>
              <w:jc w:val="right"/>
              <w:rPr>
                <w:rFonts w:cs="Calibri"/>
                <w:color w:val="000000"/>
                <w:sz w:val="20"/>
                <w:szCs w:val="20"/>
                <w:lang w:val="en-GB"/>
              </w:rPr>
            </w:pPr>
            <w:r>
              <w:rPr>
                <w:rFonts w:cs="Calibri"/>
                <w:i/>
                <w:iCs/>
                <w:color w:val="000000"/>
                <w:sz w:val="20"/>
                <w:szCs w:val="20"/>
              </w:rPr>
              <w:t>1</w:t>
            </w:r>
            <w:r w:rsidR="001A282A">
              <w:rPr>
                <w:rFonts w:cs="Calibri"/>
                <w:i/>
                <w:iCs/>
                <w:color w:val="000000"/>
                <w:sz w:val="20"/>
                <w:szCs w:val="20"/>
              </w:rPr>
              <w:t>39</w:t>
            </w:r>
            <w:r>
              <w:rPr>
                <w:rFonts w:cs="Calibri"/>
                <w:i/>
                <w:iCs/>
                <w:color w:val="000000"/>
                <w:sz w:val="20"/>
                <w:szCs w:val="20"/>
              </w:rPr>
              <w:t>%</w:t>
            </w:r>
          </w:p>
        </w:tc>
        <w:tc>
          <w:tcPr>
            <w:tcW w:w="1157" w:type="dxa"/>
            <w:tcBorders>
              <w:top w:val="nil"/>
              <w:left w:val="nil"/>
              <w:bottom w:val="single" w:sz="8" w:space="0" w:color="A8D08D"/>
              <w:right w:val="single" w:sz="8" w:space="0" w:color="A8D08D"/>
            </w:tcBorders>
            <w:shd w:val="clear" w:color="000000" w:fill="FFFFFF"/>
            <w:vAlign w:val="center"/>
          </w:tcPr>
          <w:p w14:paraId="0793AE93" w14:textId="00489B05" w:rsidR="00F03D8A" w:rsidRPr="008414D9" w:rsidRDefault="00F03D8A" w:rsidP="00F03D8A">
            <w:pPr>
              <w:spacing w:after="120" w:line="240" w:lineRule="auto"/>
              <w:jc w:val="right"/>
              <w:rPr>
                <w:rFonts w:cs="Calibri"/>
                <w:i/>
                <w:iCs/>
                <w:color w:val="000000"/>
                <w:sz w:val="20"/>
                <w:szCs w:val="20"/>
                <w:lang w:val="en-GB"/>
              </w:rPr>
            </w:pPr>
            <w:r>
              <w:rPr>
                <w:rFonts w:cs="Calibri"/>
                <w:color w:val="000000"/>
                <w:sz w:val="20"/>
                <w:szCs w:val="20"/>
              </w:rPr>
              <w:t>3</w:t>
            </w:r>
            <w:r w:rsidR="001A282A">
              <w:rPr>
                <w:rFonts w:cs="Calibri"/>
                <w:color w:val="000000"/>
                <w:sz w:val="20"/>
                <w:szCs w:val="20"/>
              </w:rPr>
              <w:t>2</w:t>
            </w:r>
            <w:r>
              <w:rPr>
                <w:rFonts w:cs="Calibri"/>
                <w:color w:val="000000"/>
                <w:sz w:val="20"/>
                <w:szCs w:val="20"/>
              </w:rPr>
              <w:t>.</w:t>
            </w:r>
            <w:r w:rsidR="001A282A">
              <w:rPr>
                <w:rFonts w:cs="Calibri"/>
                <w:color w:val="000000"/>
                <w:sz w:val="20"/>
                <w:szCs w:val="20"/>
              </w:rPr>
              <w:t>846</w:t>
            </w:r>
          </w:p>
        </w:tc>
        <w:tc>
          <w:tcPr>
            <w:tcW w:w="1158" w:type="dxa"/>
            <w:tcBorders>
              <w:top w:val="nil"/>
              <w:left w:val="nil"/>
              <w:bottom w:val="single" w:sz="8" w:space="0" w:color="A8D08D"/>
              <w:right w:val="single" w:sz="8" w:space="0" w:color="A8D08D"/>
            </w:tcBorders>
            <w:shd w:val="clear" w:color="000000" w:fill="FFFFFF"/>
            <w:vAlign w:val="center"/>
          </w:tcPr>
          <w:p w14:paraId="479CF740" w14:textId="74B9111D" w:rsidR="00F03D8A" w:rsidRPr="008414D9" w:rsidRDefault="00F03D8A" w:rsidP="00F03D8A">
            <w:pPr>
              <w:spacing w:after="120" w:line="240" w:lineRule="auto"/>
              <w:jc w:val="right"/>
              <w:rPr>
                <w:rFonts w:cs="Calibri"/>
                <w:i/>
                <w:iCs/>
                <w:color w:val="000000"/>
                <w:sz w:val="20"/>
                <w:szCs w:val="20"/>
                <w:lang w:val="en-GB"/>
              </w:rPr>
            </w:pPr>
            <w:r>
              <w:rPr>
                <w:rFonts w:cs="Calibri"/>
                <w:color w:val="000000"/>
                <w:sz w:val="20"/>
                <w:szCs w:val="20"/>
              </w:rPr>
              <w:t>8.268</w:t>
            </w:r>
          </w:p>
        </w:tc>
        <w:tc>
          <w:tcPr>
            <w:tcW w:w="1158" w:type="dxa"/>
            <w:tcBorders>
              <w:top w:val="nil"/>
              <w:left w:val="nil"/>
              <w:bottom w:val="single" w:sz="8" w:space="0" w:color="A8D08D"/>
              <w:right w:val="single" w:sz="8" w:space="0" w:color="A8D08D"/>
            </w:tcBorders>
            <w:shd w:val="clear" w:color="000000" w:fill="FFFFFF"/>
            <w:vAlign w:val="center"/>
          </w:tcPr>
          <w:p w14:paraId="6BC62569" w14:textId="6EC5ECCC" w:rsidR="00F03D8A" w:rsidRPr="008414D9" w:rsidRDefault="001A282A" w:rsidP="00F03D8A">
            <w:pPr>
              <w:spacing w:after="120" w:line="240" w:lineRule="auto"/>
              <w:jc w:val="right"/>
              <w:rPr>
                <w:rFonts w:cs="Calibri"/>
                <w:i/>
                <w:iCs/>
                <w:color w:val="000000"/>
                <w:sz w:val="20"/>
                <w:szCs w:val="20"/>
                <w:lang w:val="en-GB"/>
              </w:rPr>
            </w:pPr>
            <w:r>
              <w:rPr>
                <w:rFonts w:cs="Calibri"/>
                <w:i/>
                <w:iCs/>
                <w:color w:val="000000"/>
                <w:sz w:val="20"/>
                <w:szCs w:val="20"/>
              </w:rPr>
              <w:t>297</w:t>
            </w:r>
            <w:r w:rsidR="00F03D8A">
              <w:rPr>
                <w:rFonts w:cs="Calibri"/>
                <w:i/>
                <w:iCs/>
                <w:color w:val="000000"/>
                <w:sz w:val="20"/>
                <w:szCs w:val="20"/>
              </w:rPr>
              <w:t>%</w:t>
            </w:r>
          </w:p>
        </w:tc>
      </w:tr>
    </w:tbl>
    <w:p w14:paraId="406B5FD4" w14:textId="418D1F0D" w:rsidR="00F339D8" w:rsidRPr="00FC022D" w:rsidRDefault="00F339D8" w:rsidP="00F339D8">
      <w:pPr>
        <w:autoSpaceDE w:val="0"/>
        <w:autoSpaceDN w:val="0"/>
        <w:adjustRightInd w:val="0"/>
        <w:spacing w:after="120" w:line="240" w:lineRule="auto"/>
        <w:contextualSpacing/>
        <w:jc w:val="both"/>
        <w:rPr>
          <w:rFonts w:eastAsia="SimSun" w:cs="Calibri"/>
          <w:i/>
          <w:color w:val="000000"/>
          <w:sz w:val="16"/>
          <w:szCs w:val="20"/>
        </w:rPr>
      </w:pPr>
      <w:r w:rsidRPr="005F6732">
        <w:rPr>
          <w:rFonts w:cs="Calibri"/>
          <w:i/>
          <w:color w:val="000000"/>
          <w:sz w:val="16"/>
          <w:szCs w:val="20"/>
        </w:rPr>
        <w:t xml:space="preserve">Πηγή: Συνοπτική Ενοποιημένη Κατάσταση Αποτελεσμάτων (Παράρτημα </w:t>
      </w:r>
      <w:r w:rsidRPr="005F6732">
        <w:rPr>
          <w:rFonts w:cs="Calibri"/>
          <w:i/>
          <w:color w:val="000000"/>
          <w:sz w:val="16"/>
          <w:szCs w:val="20"/>
          <w:lang w:val="en-GB"/>
        </w:rPr>
        <w:t>A</w:t>
      </w:r>
      <w:r w:rsidRPr="005F6732">
        <w:rPr>
          <w:rFonts w:cs="Calibri"/>
          <w:i/>
          <w:color w:val="000000"/>
          <w:sz w:val="16"/>
          <w:szCs w:val="20"/>
        </w:rPr>
        <w:t xml:space="preserve">) και ΕΜΑ (Παράρτημα </w:t>
      </w:r>
      <w:r>
        <w:rPr>
          <w:rFonts w:cs="Calibri"/>
          <w:i/>
          <w:color w:val="000000"/>
          <w:sz w:val="16"/>
          <w:szCs w:val="20"/>
        </w:rPr>
        <w:t>Δ</w:t>
      </w:r>
      <w:r w:rsidRPr="005F6732">
        <w:rPr>
          <w:rFonts w:cs="Calibri"/>
          <w:i/>
          <w:color w:val="000000"/>
          <w:sz w:val="16"/>
          <w:szCs w:val="20"/>
        </w:rPr>
        <w:t>)</w:t>
      </w:r>
    </w:p>
    <w:p w14:paraId="0F2A1C25" w14:textId="77777777" w:rsidR="0009734B" w:rsidRPr="00F339D8" w:rsidRDefault="0009734B" w:rsidP="006B321F">
      <w:pPr>
        <w:autoSpaceDE w:val="0"/>
        <w:autoSpaceDN w:val="0"/>
        <w:adjustRightInd w:val="0"/>
        <w:spacing w:after="120" w:line="240" w:lineRule="auto"/>
        <w:contextualSpacing/>
        <w:jc w:val="both"/>
        <w:rPr>
          <w:rFonts w:eastAsia="SimSun" w:cs="Calibri"/>
          <w:i/>
          <w:color w:val="000000"/>
          <w:sz w:val="16"/>
          <w:szCs w:val="20"/>
        </w:rPr>
      </w:pPr>
    </w:p>
    <w:tbl>
      <w:tblPr>
        <w:tblW w:w="991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2972"/>
        <w:gridCol w:w="1157"/>
        <w:gridCol w:w="1158"/>
        <w:gridCol w:w="1158"/>
        <w:gridCol w:w="1157"/>
        <w:gridCol w:w="1158"/>
        <w:gridCol w:w="1158"/>
      </w:tblGrid>
      <w:tr w:rsidR="0069597F" w:rsidRPr="008414D9" w14:paraId="082C8B1E" w14:textId="77777777" w:rsidTr="006759DE">
        <w:trPr>
          <w:trHeight w:val="300"/>
        </w:trPr>
        <w:tc>
          <w:tcPr>
            <w:tcW w:w="2972" w:type="dxa"/>
            <w:shd w:val="clear" w:color="auto" w:fill="476C2E"/>
            <w:noWrap/>
            <w:vAlign w:val="bottom"/>
            <w:hideMark/>
          </w:tcPr>
          <w:p w14:paraId="5D865F87" w14:textId="77B90CBD" w:rsidR="0069597F" w:rsidRPr="008414D9" w:rsidRDefault="0069597F" w:rsidP="0069597F">
            <w:pPr>
              <w:spacing w:after="120" w:line="240" w:lineRule="auto"/>
              <w:rPr>
                <w:rFonts w:eastAsia="Times New Roman" w:cs="Arial"/>
                <w:b/>
                <w:bCs/>
                <w:i/>
                <w:color w:val="FFFFFF" w:themeColor="background1"/>
                <w:sz w:val="20"/>
                <w:szCs w:val="20"/>
                <w:lang w:val="en-GB"/>
              </w:rPr>
            </w:pPr>
            <w:r w:rsidRPr="008567C6">
              <w:rPr>
                <w:rFonts w:asciiTheme="minorHAnsi" w:eastAsia="Times New Roman" w:hAnsiTheme="minorHAnsi" w:cstheme="minorHAnsi"/>
                <w:b/>
                <w:bCs/>
                <w:i/>
                <w:iCs/>
                <w:color w:val="FFFFFF"/>
                <w:sz w:val="20"/>
                <w:szCs w:val="20"/>
                <w:lang w:val="en-US"/>
              </w:rPr>
              <w:t>Ποσά σε χιλιάδες ευρώ</w:t>
            </w:r>
          </w:p>
        </w:tc>
        <w:tc>
          <w:tcPr>
            <w:tcW w:w="1157" w:type="dxa"/>
            <w:shd w:val="clear" w:color="auto" w:fill="476C2E"/>
            <w:noWrap/>
            <w:vAlign w:val="center"/>
            <w:hideMark/>
          </w:tcPr>
          <w:p w14:paraId="16C0A65B" w14:textId="67B0A9ED" w:rsidR="0069597F" w:rsidRDefault="0069597F" w:rsidP="0069597F">
            <w:pPr>
              <w:spacing w:after="0" w:line="240" w:lineRule="auto"/>
              <w:jc w:val="center"/>
              <w:rPr>
                <w:rFonts w:cs="Calibri"/>
                <w:b/>
                <w:bCs/>
                <w:color w:val="FFFFFF"/>
                <w:sz w:val="20"/>
                <w:szCs w:val="20"/>
              </w:rPr>
            </w:pPr>
            <w:r w:rsidRPr="006C0543">
              <w:rPr>
                <w:b/>
                <w:color w:val="FFFFFF"/>
                <w:sz w:val="20"/>
              </w:rPr>
              <w:t>1ο εξ.</w:t>
            </w:r>
          </w:p>
          <w:p w14:paraId="070B9EB4" w14:textId="77BAACA0" w:rsidR="0069597F" w:rsidRPr="00F339D8" w:rsidRDefault="0069597F" w:rsidP="0069597F">
            <w:pPr>
              <w:spacing w:after="120" w:line="240" w:lineRule="auto"/>
              <w:jc w:val="center"/>
              <w:rPr>
                <w:rFonts w:eastAsia="Times New Roman" w:cs="Arial"/>
                <w:b/>
                <w:bCs/>
                <w:i/>
                <w:color w:val="FFFFFF" w:themeColor="background1"/>
                <w:sz w:val="20"/>
                <w:szCs w:val="20"/>
              </w:rPr>
            </w:pPr>
            <w:r>
              <w:rPr>
                <w:rFonts w:cs="Calibri"/>
                <w:b/>
                <w:bCs/>
                <w:color w:val="FFFFFF"/>
                <w:sz w:val="20"/>
                <w:szCs w:val="20"/>
              </w:rPr>
              <w:t>2024</w:t>
            </w:r>
          </w:p>
        </w:tc>
        <w:tc>
          <w:tcPr>
            <w:tcW w:w="1158" w:type="dxa"/>
            <w:shd w:val="clear" w:color="auto" w:fill="476C2E"/>
            <w:noWrap/>
            <w:vAlign w:val="center"/>
            <w:hideMark/>
          </w:tcPr>
          <w:p w14:paraId="17C48DC9" w14:textId="7F73C4CE" w:rsidR="0069597F" w:rsidRDefault="0069597F" w:rsidP="0069597F">
            <w:pPr>
              <w:spacing w:after="0" w:line="240" w:lineRule="auto"/>
              <w:jc w:val="center"/>
              <w:rPr>
                <w:rFonts w:cs="Calibri"/>
                <w:b/>
                <w:bCs/>
                <w:color w:val="FFFFFF"/>
                <w:sz w:val="20"/>
                <w:szCs w:val="20"/>
              </w:rPr>
            </w:pPr>
            <w:r w:rsidRPr="006C0543">
              <w:rPr>
                <w:b/>
                <w:color w:val="FFFFFF"/>
                <w:sz w:val="20"/>
              </w:rPr>
              <w:t>1ο εξ.</w:t>
            </w:r>
          </w:p>
          <w:p w14:paraId="63D41F01" w14:textId="6A800FEA" w:rsidR="0069597F" w:rsidRPr="008414D9" w:rsidRDefault="0069597F" w:rsidP="0069597F">
            <w:pPr>
              <w:spacing w:after="120" w:line="240" w:lineRule="auto"/>
              <w:jc w:val="center"/>
              <w:rPr>
                <w:rFonts w:eastAsia="Times New Roman" w:cs="Arial"/>
                <w:b/>
                <w:bCs/>
                <w:i/>
                <w:color w:val="FFFFFF" w:themeColor="background1"/>
                <w:sz w:val="20"/>
                <w:szCs w:val="20"/>
                <w:lang w:val="en-GB"/>
              </w:rPr>
            </w:pPr>
            <w:r>
              <w:rPr>
                <w:rFonts w:cs="Calibri"/>
                <w:b/>
                <w:bCs/>
                <w:color w:val="FFFFFF"/>
                <w:sz w:val="20"/>
                <w:szCs w:val="20"/>
              </w:rPr>
              <w:t>202</w:t>
            </w:r>
            <w:r>
              <w:rPr>
                <w:rFonts w:cs="Calibri"/>
                <w:b/>
                <w:bCs/>
                <w:color w:val="FFFFFF"/>
                <w:sz w:val="20"/>
                <w:szCs w:val="20"/>
                <w:lang w:val="en-US"/>
              </w:rPr>
              <w:t>3</w:t>
            </w:r>
          </w:p>
        </w:tc>
        <w:tc>
          <w:tcPr>
            <w:tcW w:w="1158" w:type="dxa"/>
            <w:shd w:val="clear" w:color="auto" w:fill="476C2E"/>
            <w:vAlign w:val="center"/>
          </w:tcPr>
          <w:p w14:paraId="5BB64B5E" w14:textId="75D5BE23" w:rsidR="0069597F" w:rsidRPr="008414D9" w:rsidRDefault="0069597F" w:rsidP="0069597F">
            <w:pPr>
              <w:spacing w:after="120" w:line="240" w:lineRule="auto"/>
              <w:jc w:val="center"/>
              <w:rPr>
                <w:rFonts w:eastAsia="Times New Roman" w:cs="Calibri"/>
                <w:b/>
                <w:bCs/>
                <w:color w:val="FFFFFF"/>
                <w:sz w:val="20"/>
                <w:szCs w:val="20"/>
                <w:lang w:val="en-GB"/>
              </w:rPr>
            </w:pPr>
            <w:r>
              <w:rPr>
                <w:rFonts w:cs="Calibri"/>
                <w:b/>
                <w:bCs/>
                <w:color w:val="FFFFFF"/>
                <w:sz w:val="20"/>
                <w:szCs w:val="20"/>
              </w:rPr>
              <w:t>Μεταβολή</w:t>
            </w:r>
            <w:r w:rsidRPr="00C62621">
              <w:rPr>
                <w:rFonts w:cs="Calibri"/>
                <w:b/>
                <w:bCs/>
                <w:color w:val="FFFFFF"/>
                <w:sz w:val="20"/>
                <w:szCs w:val="20"/>
                <w:lang w:val="en-GB"/>
              </w:rPr>
              <w:t xml:space="preserve"> (%)</w:t>
            </w:r>
          </w:p>
        </w:tc>
        <w:tc>
          <w:tcPr>
            <w:tcW w:w="1157" w:type="dxa"/>
            <w:shd w:val="clear" w:color="auto" w:fill="476C2E"/>
            <w:vAlign w:val="center"/>
          </w:tcPr>
          <w:p w14:paraId="35EF6D3A" w14:textId="17521FA1" w:rsidR="0069597F" w:rsidRPr="00C62621" w:rsidRDefault="0069597F" w:rsidP="0069597F">
            <w:pPr>
              <w:spacing w:after="0" w:line="240" w:lineRule="auto"/>
              <w:jc w:val="center"/>
              <w:rPr>
                <w:rFonts w:cs="Calibri"/>
                <w:b/>
                <w:bCs/>
                <w:color w:val="FFFFFF"/>
                <w:sz w:val="20"/>
                <w:szCs w:val="20"/>
                <w:lang w:val="en-GB"/>
              </w:rPr>
            </w:pPr>
            <w:r>
              <w:rPr>
                <w:b/>
                <w:color w:val="FFFFFF"/>
                <w:sz w:val="20"/>
              </w:rPr>
              <w:t>2</w:t>
            </w:r>
            <w:r w:rsidRPr="006C0543">
              <w:rPr>
                <w:b/>
                <w:color w:val="FFFFFF"/>
                <w:sz w:val="20"/>
              </w:rPr>
              <w:t xml:space="preserve">ο </w:t>
            </w:r>
            <w:r>
              <w:rPr>
                <w:b/>
                <w:color w:val="FFFFFF"/>
                <w:sz w:val="20"/>
              </w:rPr>
              <w:t>τριμ</w:t>
            </w:r>
            <w:r w:rsidRPr="006C0543">
              <w:rPr>
                <w:b/>
                <w:color w:val="FFFFFF"/>
                <w:sz w:val="20"/>
              </w:rPr>
              <w:t>.</w:t>
            </w:r>
          </w:p>
          <w:p w14:paraId="7B764576" w14:textId="3D3E28EE" w:rsidR="0069597F" w:rsidRPr="00F339D8" w:rsidRDefault="0069597F" w:rsidP="0069597F">
            <w:pPr>
              <w:spacing w:after="120" w:line="240" w:lineRule="auto"/>
              <w:jc w:val="center"/>
              <w:rPr>
                <w:rFonts w:cs="Calibri"/>
                <w:b/>
                <w:bCs/>
                <w:color w:val="FFFFFF"/>
                <w:sz w:val="20"/>
                <w:szCs w:val="20"/>
              </w:rPr>
            </w:pPr>
            <w:r w:rsidRPr="00C62621">
              <w:rPr>
                <w:rFonts w:cs="Calibri"/>
                <w:b/>
                <w:bCs/>
                <w:color w:val="FFFFFF"/>
                <w:sz w:val="20"/>
                <w:szCs w:val="20"/>
                <w:lang w:val="en-GB"/>
              </w:rPr>
              <w:t>202</w:t>
            </w:r>
            <w:r>
              <w:rPr>
                <w:rFonts w:cs="Calibri"/>
                <w:b/>
                <w:bCs/>
                <w:color w:val="FFFFFF"/>
                <w:sz w:val="20"/>
                <w:szCs w:val="20"/>
              </w:rPr>
              <w:t>4</w:t>
            </w:r>
          </w:p>
        </w:tc>
        <w:tc>
          <w:tcPr>
            <w:tcW w:w="1158" w:type="dxa"/>
            <w:shd w:val="clear" w:color="auto" w:fill="476C2E"/>
            <w:vAlign w:val="center"/>
          </w:tcPr>
          <w:p w14:paraId="00667A7E" w14:textId="449422A7" w:rsidR="0069597F" w:rsidRPr="00C62621" w:rsidRDefault="0069597F" w:rsidP="0069597F">
            <w:pPr>
              <w:spacing w:after="0" w:line="240" w:lineRule="auto"/>
              <w:jc w:val="center"/>
              <w:rPr>
                <w:rFonts w:cs="Calibri"/>
                <w:b/>
                <w:bCs/>
                <w:color w:val="FFFFFF"/>
                <w:sz w:val="20"/>
                <w:szCs w:val="20"/>
                <w:lang w:val="en-GB"/>
              </w:rPr>
            </w:pPr>
            <w:r>
              <w:rPr>
                <w:b/>
                <w:color w:val="FFFFFF"/>
                <w:sz w:val="20"/>
                <w:lang w:val="en-US"/>
              </w:rPr>
              <w:t>2</w:t>
            </w:r>
            <w:r w:rsidRPr="006C0543">
              <w:rPr>
                <w:b/>
                <w:color w:val="FFFFFF"/>
                <w:sz w:val="20"/>
              </w:rPr>
              <w:t xml:space="preserve">ο </w:t>
            </w:r>
            <w:r>
              <w:rPr>
                <w:b/>
                <w:color w:val="FFFFFF"/>
                <w:sz w:val="20"/>
              </w:rPr>
              <w:t>τριμ</w:t>
            </w:r>
            <w:r w:rsidRPr="006C0543">
              <w:rPr>
                <w:b/>
                <w:color w:val="FFFFFF"/>
                <w:sz w:val="20"/>
              </w:rPr>
              <w:t>.</w:t>
            </w:r>
          </w:p>
          <w:p w14:paraId="0353CACA" w14:textId="7675F4BC" w:rsidR="0069597F" w:rsidRPr="00F339D8" w:rsidRDefault="0069597F" w:rsidP="0069597F">
            <w:pPr>
              <w:spacing w:after="120" w:line="240" w:lineRule="auto"/>
              <w:jc w:val="center"/>
              <w:rPr>
                <w:rFonts w:cs="Calibri"/>
                <w:b/>
                <w:bCs/>
                <w:color w:val="FFFFFF"/>
                <w:sz w:val="20"/>
                <w:szCs w:val="20"/>
              </w:rPr>
            </w:pPr>
            <w:r w:rsidRPr="00C62621">
              <w:rPr>
                <w:rFonts w:cs="Calibri"/>
                <w:b/>
                <w:bCs/>
                <w:color w:val="FFFFFF"/>
                <w:sz w:val="20"/>
                <w:szCs w:val="20"/>
                <w:lang w:val="en-GB"/>
              </w:rPr>
              <w:t>202</w:t>
            </w:r>
            <w:r>
              <w:rPr>
                <w:rFonts w:cs="Calibri"/>
                <w:b/>
                <w:bCs/>
                <w:color w:val="FFFFFF"/>
                <w:sz w:val="20"/>
                <w:szCs w:val="20"/>
              </w:rPr>
              <w:t>3</w:t>
            </w:r>
          </w:p>
        </w:tc>
        <w:tc>
          <w:tcPr>
            <w:tcW w:w="1158" w:type="dxa"/>
            <w:shd w:val="clear" w:color="auto" w:fill="476C2E"/>
            <w:vAlign w:val="center"/>
          </w:tcPr>
          <w:p w14:paraId="409751DE" w14:textId="3663E0D5" w:rsidR="0069597F" w:rsidRPr="008414D9" w:rsidRDefault="0069597F" w:rsidP="0069597F">
            <w:pPr>
              <w:spacing w:after="120" w:line="240" w:lineRule="auto"/>
              <w:jc w:val="center"/>
              <w:rPr>
                <w:rFonts w:cs="Calibri"/>
                <w:b/>
                <w:bCs/>
                <w:color w:val="FFFFFF"/>
                <w:sz w:val="20"/>
                <w:szCs w:val="20"/>
                <w:lang w:val="en-GB"/>
              </w:rPr>
            </w:pPr>
            <w:r>
              <w:rPr>
                <w:rFonts w:cs="Calibri"/>
                <w:b/>
                <w:bCs/>
                <w:color w:val="FFFFFF"/>
                <w:sz w:val="20"/>
                <w:szCs w:val="20"/>
              </w:rPr>
              <w:t>Μεταβολή</w:t>
            </w:r>
            <w:r w:rsidRPr="00C62621">
              <w:rPr>
                <w:rFonts w:cs="Calibri"/>
                <w:b/>
                <w:bCs/>
                <w:color w:val="FFFFFF"/>
                <w:sz w:val="20"/>
                <w:szCs w:val="20"/>
                <w:lang w:val="en-GB"/>
              </w:rPr>
              <w:t xml:space="preserve"> (%)</w:t>
            </w:r>
          </w:p>
        </w:tc>
      </w:tr>
      <w:tr w:rsidR="006A1361" w:rsidRPr="008414D9" w14:paraId="35FB7095" w14:textId="77777777" w:rsidTr="00063FAC">
        <w:trPr>
          <w:trHeight w:val="300"/>
        </w:trPr>
        <w:tc>
          <w:tcPr>
            <w:tcW w:w="2972" w:type="dxa"/>
            <w:shd w:val="clear" w:color="auto" w:fill="auto"/>
          </w:tcPr>
          <w:p w14:paraId="2FE1C3BC" w14:textId="4ED30AEB" w:rsidR="006A1361" w:rsidRPr="008414D9" w:rsidRDefault="00F339D8" w:rsidP="006A1361">
            <w:pPr>
              <w:spacing w:after="120" w:line="240" w:lineRule="auto"/>
              <w:jc w:val="both"/>
              <w:rPr>
                <w:rFonts w:eastAsia="Times New Roman" w:cs="Arial"/>
                <w:b/>
                <w:bCs/>
                <w:i/>
                <w:sz w:val="20"/>
                <w:szCs w:val="20"/>
                <w:lang w:val="en-GB"/>
              </w:rPr>
            </w:pPr>
            <w:r w:rsidRPr="006C0543">
              <w:rPr>
                <w:b/>
                <w:i/>
                <w:sz w:val="20"/>
              </w:rPr>
              <w:t>Κέρδη ανά μετοχή</w:t>
            </w:r>
          </w:p>
        </w:tc>
        <w:tc>
          <w:tcPr>
            <w:tcW w:w="1157" w:type="dxa"/>
            <w:shd w:val="clear" w:color="auto" w:fill="auto"/>
            <w:noWrap/>
            <w:vAlign w:val="center"/>
          </w:tcPr>
          <w:p w14:paraId="031EC1DE" w14:textId="3BDF7AA0" w:rsidR="006A1361" w:rsidRPr="008414D9" w:rsidRDefault="006A1361" w:rsidP="006A1361">
            <w:pPr>
              <w:spacing w:after="120" w:line="240" w:lineRule="auto"/>
              <w:jc w:val="right"/>
              <w:rPr>
                <w:rFonts w:cs="Calibri"/>
                <w:b/>
                <w:bCs/>
                <w:i/>
                <w:iCs/>
                <w:color w:val="000000"/>
                <w:sz w:val="20"/>
                <w:szCs w:val="20"/>
                <w:lang w:val="en-GB"/>
              </w:rPr>
            </w:pPr>
            <w:r>
              <w:rPr>
                <w:rFonts w:cs="Calibri"/>
                <w:b/>
                <w:bCs/>
                <w:i/>
                <w:iCs/>
                <w:color w:val="000000"/>
                <w:sz w:val="20"/>
                <w:szCs w:val="20"/>
              </w:rPr>
              <w:t>0</w:t>
            </w:r>
            <w:r w:rsidR="00831A4B">
              <w:rPr>
                <w:rFonts w:cs="Calibri"/>
                <w:b/>
                <w:bCs/>
                <w:i/>
                <w:iCs/>
                <w:color w:val="000000"/>
                <w:sz w:val="20"/>
                <w:szCs w:val="20"/>
              </w:rPr>
              <w:t>,</w:t>
            </w:r>
            <w:r>
              <w:rPr>
                <w:rFonts w:cs="Calibri"/>
                <w:b/>
                <w:bCs/>
                <w:i/>
                <w:iCs/>
                <w:color w:val="000000"/>
                <w:sz w:val="20"/>
                <w:szCs w:val="20"/>
              </w:rPr>
              <w:t>29</w:t>
            </w:r>
            <w:r w:rsidR="001A282A">
              <w:rPr>
                <w:rFonts w:cs="Calibri"/>
                <w:b/>
                <w:bCs/>
                <w:i/>
                <w:iCs/>
                <w:color w:val="000000"/>
                <w:sz w:val="20"/>
                <w:szCs w:val="20"/>
              </w:rPr>
              <w:t>692</w:t>
            </w:r>
          </w:p>
        </w:tc>
        <w:tc>
          <w:tcPr>
            <w:tcW w:w="1158" w:type="dxa"/>
            <w:shd w:val="clear" w:color="auto" w:fill="auto"/>
            <w:noWrap/>
            <w:vAlign w:val="center"/>
          </w:tcPr>
          <w:p w14:paraId="4E000876" w14:textId="72F1D778" w:rsidR="006A1361" w:rsidRPr="008414D9" w:rsidRDefault="006A1361" w:rsidP="006A1361">
            <w:pPr>
              <w:spacing w:after="120" w:line="240" w:lineRule="auto"/>
              <w:jc w:val="right"/>
              <w:rPr>
                <w:rFonts w:cs="Calibri"/>
                <w:b/>
                <w:i/>
                <w:sz w:val="20"/>
                <w:szCs w:val="20"/>
                <w:lang w:val="en-GB"/>
              </w:rPr>
            </w:pPr>
            <w:r>
              <w:rPr>
                <w:rFonts w:cs="Calibri"/>
                <w:b/>
                <w:bCs/>
                <w:i/>
                <w:iCs/>
                <w:color w:val="000000"/>
                <w:sz w:val="20"/>
                <w:szCs w:val="20"/>
              </w:rPr>
              <w:t>0</w:t>
            </w:r>
            <w:r w:rsidR="00831A4B">
              <w:rPr>
                <w:rFonts w:cs="Calibri"/>
                <w:b/>
                <w:bCs/>
                <w:i/>
                <w:iCs/>
                <w:color w:val="000000"/>
                <w:sz w:val="20"/>
                <w:szCs w:val="20"/>
              </w:rPr>
              <w:t>,</w:t>
            </w:r>
            <w:r>
              <w:rPr>
                <w:rFonts w:cs="Calibri"/>
                <w:b/>
                <w:bCs/>
                <w:i/>
                <w:iCs/>
                <w:color w:val="000000"/>
                <w:sz w:val="20"/>
                <w:szCs w:val="20"/>
              </w:rPr>
              <w:t>12427</w:t>
            </w:r>
          </w:p>
        </w:tc>
        <w:tc>
          <w:tcPr>
            <w:tcW w:w="1158" w:type="dxa"/>
            <w:vAlign w:val="center"/>
          </w:tcPr>
          <w:p w14:paraId="72517427" w14:textId="3880EA0F" w:rsidR="006A1361" w:rsidRPr="008414D9" w:rsidRDefault="006A1361" w:rsidP="006A1361">
            <w:pPr>
              <w:spacing w:after="120" w:line="240" w:lineRule="auto"/>
              <w:jc w:val="right"/>
              <w:rPr>
                <w:rFonts w:cs="Calibri"/>
                <w:b/>
                <w:bCs/>
                <w:i/>
                <w:iCs/>
                <w:color w:val="000000"/>
                <w:sz w:val="20"/>
                <w:szCs w:val="20"/>
                <w:lang w:val="en-GB"/>
              </w:rPr>
            </w:pPr>
            <w:r>
              <w:rPr>
                <w:rFonts w:cs="Calibri"/>
                <w:b/>
                <w:bCs/>
                <w:i/>
                <w:iCs/>
                <w:color w:val="000000"/>
                <w:sz w:val="20"/>
                <w:szCs w:val="20"/>
              </w:rPr>
              <w:t>1</w:t>
            </w:r>
            <w:r w:rsidR="001A282A">
              <w:rPr>
                <w:rFonts w:cs="Calibri"/>
                <w:b/>
                <w:bCs/>
                <w:i/>
                <w:iCs/>
                <w:color w:val="000000"/>
                <w:sz w:val="20"/>
                <w:szCs w:val="20"/>
              </w:rPr>
              <w:t>39</w:t>
            </w:r>
            <w:r>
              <w:rPr>
                <w:rFonts w:cs="Calibri"/>
                <w:b/>
                <w:bCs/>
                <w:i/>
                <w:iCs/>
                <w:color w:val="000000"/>
                <w:sz w:val="20"/>
                <w:szCs w:val="20"/>
              </w:rPr>
              <w:t>%</w:t>
            </w:r>
          </w:p>
        </w:tc>
        <w:tc>
          <w:tcPr>
            <w:tcW w:w="1157" w:type="dxa"/>
            <w:vAlign w:val="center"/>
          </w:tcPr>
          <w:p w14:paraId="39E1F27B" w14:textId="444296BC" w:rsidR="006A1361" w:rsidRPr="008414D9" w:rsidRDefault="006A1361" w:rsidP="006A1361">
            <w:pPr>
              <w:spacing w:after="120" w:line="240" w:lineRule="auto"/>
              <w:jc w:val="right"/>
              <w:rPr>
                <w:rFonts w:cs="Calibri"/>
                <w:b/>
                <w:bCs/>
                <w:i/>
                <w:iCs/>
                <w:color w:val="000000"/>
                <w:sz w:val="20"/>
                <w:szCs w:val="20"/>
                <w:lang w:val="en-GB"/>
              </w:rPr>
            </w:pPr>
            <w:r>
              <w:rPr>
                <w:rFonts w:cs="Calibri"/>
                <w:b/>
                <w:bCs/>
                <w:i/>
                <w:iCs/>
                <w:color w:val="000000"/>
                <w:sz w:val="20"/>
                <w:szCs w:val="20"/>
              </w:rPr>
              <w:t>0</w:t>
            </w:r>
            <w:r w:rsidR="00831A4B">
              <w:rPr>
                <w:rFonts w:cs="Calibri"/>
                <w:b/>
                <w:bCs/>
                <w:i/>
                <w:iCs/>
                <w:color w:val="000000"/>
                <w:sz w:val="20"/>
                <w:szCs w:val="20"/>
              </w:rPr>
              <w:t>,</w:t>
            </w:r>
            <w:r>
              <w:rPr>
                <w:rFonts w:cs="Calibri"/>
                <w:b/>
                <w:bCs/>
                <w:i/>
                <w:iCs/>
                <w:color w:val="000000"/>
                <w:sz w:val="20"/>
                <w:szCs w:val="20"/>
              </w:rPr>
              <w:t>17</w:t>
            </w:r>
            <w:r w:rsidR="001A282A">
              <w:rPr>
                <w:rFonts w:cs="Calibri"/>
                <w:b/>
                <w:bCs/>
                <w:i/>
                <w:iCs/>
                <w:color w:val="000000"/>
                <w:sz w:val="20"/>
                <w:szCs w:val="20"/>
              </w:rPr>
              <w:t>273</w:t>
            </w:r>
          </w:p>
        </w:tc>
        <w:tc>
          <w:tcPr>
            <w:tcW w:w="1158" w:type="dxa"/>
            <w:vAlign w:val="center"/>
          </w:tcPr>
          <w:p w14:paraId="2C202B55" w14:textId="3A7E68EA" w:rsidR="006A1361" w:rsidRPr="008414D9" w:rsidRDefault="006A1361" w:rsidP="006A1361">
            <w:pPr>
              <w:spacing w:after="120" w:line="240" w:lineRule="auto"/>
              <w:jc w:val="right"/>
              <w:rPr>
                <w:rFonts w:cs="Calibri"/>
                <w:b/>
                <w:bCs/>
                <w:i/>
                <w:iCs/>
                <w:color w:val="000000"/>
                <w:sz w:val="20"/>
                <w:szCs w:val="20"/>
                <w:lang w:val="en-GB"/>
              </w:rPr>
            </w:pPr>
            <w:r>
              <w:rPr>
                <w:rFonts w:cs="Calibri"/>
                <w:b/>
                <w:bCs/>
                <w:i/>
                <w:iCs/>
                <w:color w:val="000000"/>
                <w:sz w:val="20"/>
                <w:szCs w:val="20"/>
              </w:rPr>
              <w:t>0</w:t>
            </w:r>
            <w:r w:rsidR="00831A4B">
              <w:rPr>
                <w:rFonts w:cs="Calibri"/>
                <w:b/>
                <w:bCs/>
                <w:i/>
                <w:iCs/>
                <w:color w:val="000000"/>
                <w:sz w:val="20"/>
                <w:szCs w:val="20"/>
              </w:rPr>
              <w:t>,</w:t>
            </w:r>
            <w:r>
              <w:rPr>
                <w:rFonts w:cs="Calibri"/>
                <w:b/>
                <w:bCs/>
                <w:i/>
                <w:iCs/>
                <w:color w:val="000000"/>
                <w:sz w:val="20"/>
                <w:szCs w:val="20"/>
              </w:rPr>
              <w:t>04348</w:t>
            </w:r>
          </w:p>
        </w:tc>
        <w:tc>
          <w:tcPr>
            <w:tcW w:w="1158" w:type="dxa"/>
            <w:vAlign w:val="center"/>
          </w:tcPr>
          <w:p w14:paraId="692B1CC4" w14:textId="6BB4AF81" w:rsidR="006A1361" w:rsidRPr="008414D9" w:rsidRDefault="001A282A" w:rsidP="006A1361">
            <w:pPr>
              <w:spacing w:after="120" w:line="240" w:lineRule="auto"/>
              <w:jc w:val="right"/>
              <w:rPr>
                <w:rFonts w:cs="Calibri"/>
                <w:b/>
                <w:bCs/>
                <w:i/>
                <w:iCs/>
                <w:color w:val="000000"/>
                <w:sz w:val="20"/>
                <w:szCs w:val="20"/>
                <w:lang w:val="en-GB"/>
              </w:rPr>
            </w:pPr>
            <w:r>
              <w:rPr>
                <w:rFonts w:cs="Calibri"/>
                <w:b/>
                <w:bCs/>
                <w:i/>
                <w:iCs/>
                <w:color w:val="000000"/>
                <w:sz w:val="20"/>
                <w:szCs w:val="20"/>
              </w:rPr>
              <w:t>297</w:t>
            </w:r>
            <w:r w:rsidR="006A1361">
              <w:rPr>
                <w:rFonts w:cs="Calibri"/>
                <w:b/>
                <w:bCs/>
                <w:i/>
                <w:iCs/>
                <w:color w:val="000000"/>
                <w:sz w:val="20"/>
                <w:szCs w:val="20"/>
              </w:rPr>
              <w:t>%</w:t>
            </w:r>
          </w:p>
        </w:tc>
      </w:tr>
    </w:tbl>
    <w:p w14:paraId="4260B4AC" w14:textId="77777777" w:rsidR="00F442FF" w:rsidRPr="008414D9" w:rsidRDefault="00F442FF" w:rsidP="006B321F">
      <w:pPr>
        <w:spacing w:after="120" w:line="240" w:lineRule="auto"/>
        <w:contextualSpacing/>
        <w:jc w:val="both"/>
        <w:rPr>
          <w:rFonts w:eastAsia="SimSun" w:cs="Calibri"/>
          <w:i/>
          <w:color w:val="000000"/>
          <w:sz w:val="16"/>
          <w:szCs w:val="20"/>
          <w:lang w:val="en-GB"/>
        </w:rPr>
      </w:pPr>
      <w:bookmarkStart w:id="6" w:name="_Hlk3376976"/>
    </w:p>
    <w:p w14:paraId="254F4067" w14:textId="5E23BFC9" w:rsidR="008B2D9E" w:rsidRPr="008B2D9E" w:rsidRDefault="0069597F" w:rsidP="008B2D9E">
      <w:pPr>
        <w:spacing w:after="120" w:line="240" w:lineRule="auto"/>
        <w:jc w:val="both"/>
        <w:rPr>
          <w:rFonts w:cs="Calibri"/>
        </w:rPr>
      </w:pPr>
      <w:bookmarkStart w:id="7" w:name="_Hlk34213821"/>
      <w:bookmarkStart w:id="8" w:name="_Hlk160011006"/>
      <w:r>
        <w:rPr>
          <w:rFonts w:cs="Calibri"/>
        </w:rPr>
        <w:t>Οι πωλήσεις</w:t>
      </w:r>
      <w:r w:rsidR="008B2D9E" w:rsidRPr="008B2D9E">
        <w:rPr>
          <w:rFonts w:cs="Calibri"/>
        </w:rPr>
        <w:t xml:space="preserve"> αυξήθηκαν </w:t>
      </w:r>
      <w:r w:rsidR="00F25309">
        <w:rPr>
          <w:rFonts w:cs="Calibri"/>
        </w:rPr>
        <w:t>ελαφρώς και ανήλθαν</w:t>
      </w:r>
      <w:r w:rsidR="008B2D9E" w:rsidRPr="008B2D9E">
        <w:rPr>
          <w:rFonts w:cs="Calibri"/>
        </w:rPr>
        <w:t xml:space="preserve"> σε 812 εκατ. ευρώ, με το β΄ τρίμηνο του 2024 να βρίσκεται στα ίδια επίπεδα με το β΄ τρίμηνο του 2023. Η αύξηση οφείλεται </w:t>
      </w:r>
      <w:r w:rsidR="00F25309">
        <w:rPr>
          <w:rFonts w:cs="Calibri"/>
        </w:rPr>
        <w:t>στις μεγαλύτερες πωλήσεις από τα</w:t>
      </w:r>
      <w:r w:rsidR="008B2D9E" w:rsidRPr="008B2D9E">
        <w:rPr>
          <w:rFonts w:cs="Calibri"/>
        </w:rPr>
        <w:t xml:space="preserve"> έργα καλωδίων (+104 εκατ. ευρώ έναντι του α΄ εξαμήνου 2023 ή 70,5% σε ετήσια βάση), </w:t>
      </w:r>
      <w:r w:rsidR="001E157B">
        <w:rPr>
          <w:rFonts w:cs="Calibri"/>
        </w:rPr>
        <w:t xml:space="preserve">που </w:t>
      </w:r>
      <w:r w:rsidR="008B2D9E" w:rsidRPr="008B2D9E">
        <w:rPr>
          <w:rFonts w:cs="Calibri"/>
        </w:rPr>
        <w:t>κάλυψαν τη</w:t>
      </w:r>
      <w:r w:rsidR="001E157B">
        <w:rPr>
          <w:rFonts w:cs="Calibri"/>
        </w:rPr>
        <w:t>ν όποια</w:t>
      </w:r>
      <w:r w:rsidR="008B2D9E" w:rsidRPr="008B2D9E">
        <w:rPr>
          <w:rFonts w:cs="Calibri"/>
        </w:rPr>
        <w:t xml:space="preserve"> μείωση από </w:t>
      </w:r>
      <w:r w:rsidR="00F25309">
        <w:rPr>
          <w:rFonts w:cs="Calibri"/>
        </w:rPr>
        <w:t>πωλήσεις σε</w:t>
      </w:r>
      <w:r w:rsidR="008B2D9E" w:rsidRPr="008B2D9E">
        <w:rPr>
          <w:rFonts w:cs="Calibri"/>
        </w:rPr>
        <w:t xml:space="preserve"> καλώδια ενέργειας και τηλεπικοινωνιών και </w:t>
      </w:r>
      <w:r w:rsidR="001E157B">
        <w:rPr>
          <w:rFonts w:cs="Calibri"/>
        </w:rPr>
        <w:t xml:space="preserve">από </w:t>
      </w:r>
      <w:r w:rsidR="00F25309">
        <w:rPr>
          <w:rFonts w:cs="Calibri"/>
        </w:rPr>
        <w:t xml:space="preserve">πωλήσεις </w:t>
      </w:r>
      <w:r w:rsidR="00C956E4">
        <w:rPr>
          <w:rFonts w:asciiTheme="minorHAnsi" w:hAnsiTheme="minorHAnsi" w:cstheme="minorHAnsi"/>
        </w:rPr>
        <w:t>σωλήν</w:t>
      </w:r>
      <w:r w:rsidR="00F25309">
        <w:rPr>
          <w:rFonts w:asciiTheme="minorHAnsi" w:hAnsiTheme="minorHAnsi" w:cstheme="minorHAnsi"/>
        </w:rPr>
        <w:t>ων</w:t>
      </w:r>
      <w:r w:rsidR="00C956E4">
        <w:rPr>
          <w:rFonts w:asciiTheme="minorHAnsi" w:hAnsiTheme="minorHAnsi" w:cstheme="minorHAnsi"/>
        </w:rPr>
        <w:t xml:space="preserve"> χάλυβα</w:t>
      </w:r>
      <w:r w:rsidR="008B2D9E" w:rsidRPr="008B2D9E">
        <w:rPr>
          <w:rFonts w:cs="Calibri"/>
        </w:rPr>
        <w:t>.</w:t>
      </w:r>
    </w:p>
    <w:p w14:paraId="32E7D500" w14:textId="39D57A9D" w:rsidR="008A2665" w:rsidRDefault="008B2D9E" w:rsidP="008B2D9E">
      <w:pPr>
        <w:spacing w:after="120" w:line="240" w:lineRule="auto"/>
        <w:jc w:val="both"/>
        <w:rPr>
          <w:rFonts w:cs="Calibri"/>
        </w:rPr>
      </w:pPr>
      <w:r w:rsidRPr="008B2D9E">
        <w:rPr>
          <w:rFonts w:cs="Calibri"/>
        </w:rPr>
        <w:t>Το βελτιωμένο μείγμα</w:t>
      </w:r>
      <w:r w:rsidR="00875579">
        <w:rPr>
          <w:rFonts w:cs="Calibri"/>
        </w:rPr>
        <w:t xml:space="preserve"> των</w:t>
      </w:r>
      <w:r w:rsidRPr="008B2D9E">
        <w:rPr>
          <w:rFonts w:cs="Calibri"/>
        </w:rPr>
        <w:t xml:space="preserve"> έργων που εκτελέστηκ</w:t>
      </w:r>
      <w:r w:rsidR="00F25309">
        <w:rPr>
          <w:rFonts w:cs="Calibri"/>
        </w:rPr>
        <w:t>ε</w:t>
      </w:r>
      <w:r w:rsidRPr="008B2D9E">
        <w:rPr>
          <w:rFonts w:cs="Calibri"/>
        </w:rPr>
        <w:t xml:space="preserve"> στον τομέα των </w:t>
      </w:r>
      <w:r w:rsidR="00150675">
        <w:rPr>
          <w:rFonts w:cs="Calibri"/>
        </w:rPr>
        <w:t>σωλήνων χάλυβα</w:t>
      </w:r>
      <w:r w:rsidR="008D50A9">
        <w:rPr>
          <w:rFonts w:cs="Calibri"/>
        </w:rPr>
        <w:t>,</w:t>
      </w:r>
      <w:r w:rsidRPr="008B2D9E">
        <w:rPr>
          <w:rFonts w:cs="Calibri"/>
        </w:rPr>
        <w:t xml:space="preserve"> </w:t>
      </w:r>
      <w:r w:rsidR="00F25309">
        <w:rPr>
          <w:rFonts w:cs="Calibri"/>
        </w:rPr>
        <w:t>σε συνδυασμό με την</w:t>
      </w:r>
      <w:r w:rsidRPr="008B2D9E">
        <w:rPr>
          <w:rFonts w:cs="Calibri"/>
        </w:rPr>
        <w:t xml:space="preserve"> αυξημένη συνεισφορά των έργων καλωδίων στ</w:t>
      </w:r>
      <w:r w:rsidR="00A12CDC">
        <w:rPr>
          <w:rFonts w:cs="Calibri"/>
        </w:rPr>
        <w:t>ις</w:t>
      </w:r>
      <w:r w:rsidRPr="008B2D9E">
        <w:rPr>
          <w:rFonts w:cs="Calibri"/>
        </w:rPr>
        <w:t xml:space="preserve"> </w:t>
      </w:r>
      <w:r w:rsidR="00A12CDC" w:rsidRPr="008B2D9E">
        <w:rPr>
          <w:rFonts w:cs="Calibri"/>
        </w:rPr>
        <w:t>συνολικ</w:t>
      </w:r>
      <w:r w:rsidR="00A12CDC">
        <w:rPr>
          <w:rFonts w:cs="Calibri"/>
        </w:rPr>
        <w:t>ές πωλήσεις</w:t>
      </w:r>
      <w:r w:rsidRPr="008B2D9E">
        <w:rPr>
          <w:rFonts w:cs="Calibri"/>
        </w:rPr>
        <w:t xml:space="preserve"> </w:t>
      </w:r>
      <w:r w:rsidR="001E157B">
        <w:rPr>
          <w:rFonts w:cs="Calibri"/>
        </w:rPr>
        <w:t xml:space="preserve">συνέβαλαν </w:t>
      </w:r>
      <w:r w:rsidRPr="008B2D9E">
        <w:rPr>
          <w:rFonts w:cs="Calibri"/>
        </w:rPr>
        <w:t>σ</w:t>
      </w:r>
      <w:r w:rsidR="00A12CDC">
        <w:rPr>
          <w:rFonts w:cs="Calibri"/>
        </w:rPr>
        <w:t>τη</w:t>
      </w:r>
      <w:r w:rsidRPr="008B2D9E">
        <w:rPr>
          <w:rFonts w:cs="Calibri"/>
        </w:rPr>
        <w:t xml:space="preserve"> σημαντική αύξηση τ</w:t>
      </w:r>
      <w:r w:rsidR="00A12CDC">
        <w:rPr>
          <w:rFonts w:cs="Calibri"/>
        </w:rPr>
        <w:t>ου</w:t>
      </w:r>
      <w:r w:rsidRPr="008B2D9E">
        <w:rPr>
          <w:rFonts w:cs="Calibri"/>
        </w:rPr>
        <w:t xml:space="preserve"> </w:t>
      </w:r>
      <w:r w:rsidRPr="00910BB3">
        <w:rPr>
          <w:rFonts w:cs="Calibri"/>
          <w:b/>
          <w:bCs/>
        </w:rPr>
        <w:t>αναπροσαρμοσμέν</w:t>
      </w:r>
      <w:r w:rsidR="00A12CDC" w:rsidRPr="00910BB3">
        <w:rPr>
          <w:rFonts w:cs="Calibri"/>
          <w:b/>
          <w:bCs/>
        </w:rPr>
        <w:t>ου</w:t>
      </w:r>
      <w:r w:rsidRPr="00910BB3">
        <w:rPr>
          <w:rFonts w:cs="Calibri"/>
          <w:b/>
          <w:bCs/>
        </w:rPr>
        <w:t xml:space="preserve"> περιθωρί</w:t>
      </w:r>
      <w:r w:rsidR="00A12CDC" w:rsidRPr="00910BB3">
        <w:rPr>
          <w:rFonts w:cs="Calibri"/>
          <w:b/>
          <w:bCs/>
        </w:rPr>
        <w:t>ου</w:t>
      </w:r>
      <w:r w:rsidRPr="00910BB3">
        <w:rPr>
          <w:rFonts w:cs="Calibri"/>
          <w:b/>
          <w:bCs/>
        </w:rPr>
        <w:t xml:space="preserve"> </w:t>
      </w:r>
      <w:r w:rsidRPr="00910BB3">
        <w:rPr>
          <w:rFonts w:cs="Calibri"/>
          <w:b/>
          <w:bCs/>
          <w:lang w:val="en-GB"/>
        </w:rPr>
        <w:t>EBITDA</w:t>
      </w:r>
      <w:r w:rsidR="00A12CDC">
        <w:rPr>
          <w:rFonts w:cs="Calibri"/>
        </w:rPr>
        <w:t xml:space="preserve">, το οποίο με τη σειρά του διαμόρφωσε </w:t>
      </w:r>
      <w:r w:rsidRPr="00910BB3">
        <w:rPr>
          <w:rFonts w:cs="Calibri"/>
          <w:b/>
          <w:bCs/>
        </w:rPr>
        <w:t xml:space="preserve">το αναπροσαρμοσμένο </w:t>
      </w:r>
      <w:r w:rsidRPr="00910BB3">
        <w:rPr>
          <w:rFonts w:cs="Calibri"/>
          <w:b/>
          <w:bCs/>
          <w:lang w:val="en-GB"/>
        </w:rPr>
        <w:t>EBITDA</w:t>
      </w:r>
      <w:r w:rsidRPr="008B2D9E">
        <w:rPr>
          <w:rFonts w:cs="Calibri"/>
        </w:rPr>
        <w:t xml:space="preserve"> σ</w:t>
      </w:r>
      <w:r w:rsidR="00A12CDC">
        <w:rPr>
          <w:rFonts w:cs="Calibri"/>
        </w:rPr>
        <w:t>τα</w:t>
      </w:r>
      <w:r w:rsidRPr="008B2D9E">
        <w:rPr>
          <w:rFonts w:cs="Calibri"/>
        </w:rPr>
        <w:t xml:space="preserve"> σημαντικά υψηλ</w:t>
      </w:r>
      <w:r>
        <w:rPr>
          <w:rFonts w:cs="Calibri"/>
        </w:rPr>
        <w:t>ά</w:t>
      </w:r>
      <w:r w:rsidRPr="008B2D9E">
        <w:rPr>
          <w:rFonts w:cs="Calibri"/>
        </w:rPr>
        <w:t xml:space="preserve"> επίπεδα των 119,</w:t>
      </w:r>
      <w:r w:rsidR="00DF6E79">
        <w:rPr>
          <w:rFonts w:cs="Calibri"/>
        </w:rPr>
        <w:t>5</w:t>
      </w:r>
      <w:r w:rsidRPr="008B2D9E">
        <w:rPr>
          <w:rFonts w:cs="Calibri"/>
        </w:rPr>
        <w:t xml:space="preserve"> εκατ. ευρώ (39% </w:t>
      </w:r>
      <w:r w:rsidR="00934087" w:rsidRPr="008B2D9E">
        <w:rPr>
          <w:rFonts w:cs="Calibri"/>
        </w:rPr>
        <w:t>μ</w:t>
      </w:r>
      <w:r w:rsidR="00934087">
        <w:rPr>
          <w:rFonts w:cs="Calibri"/>
        </w:rPr>
        <w:t>εγαλύτερο</w:t>
      </w:r>
      <w:r w:rsidRPr="008B2D9E">
        <w:rPr>
          <w:rFonts w:cs="Calibri"/>
        </w:rPr>
        <w:t xml:space="preserve"> από το πρώτο εξάμηνο του 2023).</w:t>
      </w:r>
      <w:r w:rsidR="00A12CDC">
        <w:rPr>
          <w:rFonts w:cs="Calibri"/>
        </w:rPr>
        <w:t xml:space="preserve"> </w:t>
      </w:r>
      <w:r w:rsidRPr="008B2D9E">
        <w:rPr>
          <w:rFonts w:cs="Calibri"/>
        </w:rPr>
        <w:t>Τ</w:t>
      </w:r>
      <w:r w:rsidR="00934087">
        <w:rPr>
          <w:rFonts w:cs="Calibri"/>
        </w:rPr>
        <w:t>ο ανα</w:t>
      </w:r>
      <w:r w:rsidR="00934087" w:rsidRPr="008B2D9E">
        <w:rPr>
          <w:rFonts w:cs="Calibri"/>
        </w:rPr>
        <w:t>προσαρμοσμέν</w:t>
      </w:r>
      <w:r w:rsidR="00934087">
        <w:rPr>
          <w:rFonts w:cs="Calibri"/>
        </w:rPr>
        <w:t>ο</w:t>
      </w:r>
      <w:r w:rsidR="00934087" w:rsidRPr="008B2D9E">
        <w:rPr>
          <w:rFonts w:cs="Calibri"/>
        </w:rPr>
        <w:t xml:space="preserve"> περιθ</w:t>
      </w:r>
      <w:r w:rsidR="00934087">
        <w:rPr>
          <w:rFonts w:cs="Calibri"/>
        </w:rPr>
        <w:t>ώριο</w:t>
      </w:r>
      <w:r w:rsidR="00934087" w:rsidRPr="008B2D9E">
        <w:rPr>
          <w:rFonts w:cs="Calibri"/>
        </w:rPr>
        <w:t xml:space="preserve"> </w:t>
      </w:r>
      <w:r w:rsidR="00934087" w:rsidRPr="008B2D9E">
        <w:rPr>
          <w:rFonts w:cs="Calibri"/>
          <w:lang w:val="en-GB"/>
        </w:rPr>
        <w:t>EBITDA</w:t>
      </w:r>
      <w:r w:rsidRPr="008B2D9E">
        <w:rPr>
          <w:rFonts w:cs="Calibri"/>
        </w:rPr>
        <w:t xml:space="preserve"> για το δεύτερο τρίμηνο ξεπέρασ</w:t>
      </w:r>
      <w:r w:rsidR="00934087">
        <w:rPr>
          <w:rFonts w:cs="Calibri"/>
        </w:rPr>
        <w:t>ε</w:t>
      </w:r>
      <w:r w:rsidRPr="008B2D9E">
        <w:rPr>
          <w:rFonts w:cs="Calibri"/>
        </w:rPr>
        <w:t xml:space="preserve"> το 15%, προσθέτοντας επιπλέον 65,</w:t>
      </w:r>
      <w:r w:rsidR="00DF6E79">
        <w:rPr>
          <w:rFonts w:cs="Calibri"/>
        </w:rPr>
        <w:t>0</w:t>
      </w:r>
      <w:r w:rsidRPr="008B2D9E">
        <w:rPr>
          <w:rFonts w:cs="Calibri"/>
        </w:rPr>
        <w:t xml:space="preserve"> εκατ. ευρώ (+8</w:t>
      </w:r>
      <w:r w:rsidR="00DF6E79">
        <w:rPr>
          <w:rFonts w:cs="Calibri"/>
        </w:rPr>
        <w:t>1</w:t>
      </w:r>
      <w:r w:rsidRPr="008B2D9E">
        <w:rPr>
          <w:rFonts w:cs="Calibri"/>
        </w:rPr>
        <w:t xml:space="preserve">% σε ετήσια βάση και </w:t>
      </w:r>
      <w:r w:rsidR="001E157B">
        <w:rPr>
          <w:rFonts w:cs="Calibri"/>
        </w:rPr>
        <w:t>+</w:t>
      </w:r>
      <w:r w:rsidRPr="008B2D9E">
        <w:rPr>
          <w:rFonts w:cs="Calibri"/>
        </w:rPr>
        <w:t xml:space="preserve">20% σε τριμηνιαία βάση) </w:t>
      </w:r>
      <w:r w:rsidR="00A12CDC">
        <w:rPr>
          <w:rFonts w:cs="Calibri"/>
        </w:rPr>
        <w:t>στ</w:t>
      </w:r>
      <w:r w:rsidR="00DF75AE">
        <w:rPr>
          <w:rFonts w:cs="Calibri"/>
        </w:rPr>
        <w:t>ο</w:t>
      </w:r>
      <w:r w:rsidR="00A12CDC">
        <w:rPr>
          <w:rFonts w:cs="Calibri"/>
        </w:rPr>
        <w:t xml:space="preserve"> αντίστοιχ</w:t>
      </w:r>
      <w:r w:rsidR="00DF75AE">
        <w:rPr>
          <w:rFonts w:cs="Calibri"/>
        </w:rPr>
        <w:t>ο</w:t>
      </w:r>
      <w:r w:rsidRPr="008B2D9E">
        <w:rPr>
          <w:rFonts w:cs="Calibri"/>
        </w:rPr>
        <w:t xml:space="preserve"> του </w:t>
      </w:r>
      <w:r w:rsidR="00A12CDC">
        <w:rPr>
          <w:rFonts w:cs="Calibri"/>
        </w:rPr>
        <w:t>πρώτου</w:t>
      </w:r>
      <w:r w:rsidRPr="008B2D9E">
        <w:rPr>
          <w:rFonts w:cs="Calibri"/>
        </w:rPr>
        <w:t xml:space="preserve"> τριμήνου 2024.</w:t>
      </w:r>
    </w:p>
    <w:p w14:paraId="71A99028" w14:textId="1222369F" w:rsidR="008B2D9E" w:rsidRPr="008B2D9E" w:rsidRDefault="008B2D9E" w:rsidP="008B2D9E">
      <w:pPr>
        <w:spacing w:after="120" w:line="240" w:lineRule="auto"/>
        <w:jc w:val="both"/>
        <w:rPr>
          <w:rFonts w:cs="Calibri"/>
        </w:rPr>
      </w:pPr>
      <w:r w:rsidRPr="008B2D9E">
        <w:rPr>
          <w:rFonts w:cs="Calibri"/>
        </w:rPr>
        <w:t>Το καθαρό χρηματοοικονομικό κόστος επηρεάστηκε από τη μείωση των πιστωτικών περιθωρίων για όλες τις θυγατρικές και από τη μικρή μείωση των επιτοκίων αναφοράς. Συγκεκριμένα, μειώθηκ</w:t>
      </w:r>
      <w:r w:rsidR="00934087">
        <w:rPr>
          <w:rFonts w:cs="Calibri"/>
        </w:rPr>
        <w:t>ε</w:t>
      </w:r>
      <w:r w:rsidRPr="008B2D9E">
        <w:rPr>
          <w:rFonts w:cs="Calibri"/>
        </w:rPr>
        <w:t xml:space="preserve"> κατά 6% σε σχέση με το περσινό πρώτο εξάμηνο, </w:t>
      </w:r>
      <w:r w:rsidR="001E157B">
        <w:rPr>
          <w:rFonts w:cs="Calibri"/>
        </w:rPr>
        <w:t>σ</w:t>
      </w:r>
      <w:r w:rsidRPr="008B2D9E">
        <w:rPr>
          <w:rFonts w:cs="Calibri"/>
        </w:rPr>
        <w:t xml:space="preserve">τα 31,7 εκατ. ευρώ, έναντι 33,9 εκατ. ευρώ </w:t>
      </w:r>
      <w:r w:rsidR="001E157B">
        <w:rPr>
          <w:rFonts w:cs="Calibri"/>
        </w:rPr>
        <w:t>την αντίστοιχη περίοδο πέρυσι</w:t>
      </w:r>
      <w:r w:rsidRPr="008B2D9E">
        <w:rPr>
          <w:rFonts w:cs="Calibri"/>
        </w:rPr>
        <w:t xml:space="preserve">. Η μείωση αυτή έγινε αισθητή κυρίως στον τομέα </w:t>
      </w:r>
      <w:r w:rsidR="00150675">
        <w:rPr>
          <w:rFonts w:cs="Calibri"/>
        </w:rPr>
        <w:t>σωλήνων χάλυβα</w:t>
      </w:r>
      <w:r w:rsidRPr="008B2D9E">
        <w:rPr>
          <w:rFonts w:cs="Calibri"/>
        </w:rPr>
        <w:t xml:space="preserve">, ενώ οι αυξημένες κεφαλαιουχικές δαπάνες του τομέα καλωδίων αύξησαν τα </w:t>
      </w:r>
      <w:r w:rsidR="001E157B">
        <w:rPr>
          <w:rFonts w:cs="Calibri"/>
        </w:rPr>
        <w:t xml:space="preserve">αντίστοιχα </w:t>
      </w:r>
      <w:r w:rsidR="00E307F6">
        <w:rPr>
          <w:rFonts w:cs="Calibri"/>
        </w:rPr>
        <w:t xml:space="preserve">χρηματοοικονομικά </w:t>
      </w:r>
      <w:r w:rsidRPr="008B2D9E">
        <w:rPr>
          <w:rFonts w:cs="Calibri"/>
        </w:rPr>
        <w:t>έξοδα.</w:t>
      </w:r>
    </w:p>
    <w:p w14:paraId="1F37385D" w14:textId="36F1084D" w:rsidR="00B74331" w:rsidRPr="002C3624" w:rsidRDefault="008B2D9E" w:rsidP="002C3624">
      <w:pPr>
        <w:spacing w:after="120" w:line="240" w:lineRule="auto"/>
        <w:jc w:val="both"/>
        <w:rPr>
          <w:rFonts w:cs="Calibri"/>
        </w:rPr>
      </w:pPr>
      <w:r w:rsidRPr="008B2D9E">
        <w:rPr>
          <w:rFonts w:cs="Calibri"/>
        </w:rPr>
        <w:t xml:space="preserve">Η ισχυρή λειτουργική κερδοφορία στο </w:t>
      </w:r>
      <w:r w:rsidR="00934087">
        <w:rPr>
          <w:rFonts w:cs="Calibri"/>
        </w:rPr>
        <w:t>πρώτο</w:t>
      </w:r>
      <w:r w:rsidRPr="008B2D9E">
        <w:rPr>
          <w:rFonts w:cs="Calibri"/>
        </w:rPr>
        <w:t xml:space="preserve"> εξάμηνο 2024 υπερδιπλασίασε </w:t>
      </w:r>
      <w:r w:rsidRPr="00910BB3">
        <w:rPr>
          <w:rFonts w:cs="Calibri"/>
          <w:b/>
          <w:bCs/>
        </w:rPr>
        <w:t>τα κέρδη προ φόρων</w:t>
      </w:r>
      <w:r w:rsidRPr="008B2D9E">
        <w:rPr>
          <w:rFonts w:cs="Calibri"/>
        </w:rPr>
        <w:t xml:space="preserve">, με τα </w:t>
      </w:r>
      <w:r w:rsidRPr="00910BB3">
        <w:rPr>
          <w:rFonts w:cs="Calibri"/>
          <w:b/>
          <w:bCs/>
        </w:rPr>
        <w:t>κέρδη μετά από φόρους</w:t>
      </w:r>
      <w:r w:rsidRPr="008B2D9E">
        <w:rPr>
          <w:rFonts w:cs="Calibri"/>
        </w:rPr>
        <w:t xml:space="preserve"> να α</w:t>
      </w:r>
      <w:r w:rsidR="00934087">
        <w:rPr>
          <w:rFonts w:cs="Calibri"/>
        </w:rPr>
        <w:t>νέρχονται</w:t>
      </w:r>
      <w:r w:rsidRPr="008B2D9E">
        <w:rPr>
          <w:rFonts w:cs="Calibri"/>
        </w:rPr>
        <w:t xml:space="preserve"> στα 56,</w:t>
      </w:r>
      <w:r w:rsidR="008E2F27" w:rsidRPr="008E2F27">
        <w:rPr>
          <w:rFonts w:cs="Calibri"/>
        </w:rPr>
        <w:t>5</w:t>
      </w:r>
      <w:r w:rsidRPr="008B2D9E">
        <w:rPr>
          <w:rFonts w:cs="Calibri"/>
        </w:rPr>
        <w:t xml:space="preserve"> εκατ. ευρώ (7,0% των </w:t>
      </w:r>
      <w:r w:rsidR="00934087">
        <w:rPr>
          <w:rFonts w:cs="Calibri"/>
        </w:rPr>
        <w:t>πωλήσεων</w:t>
      </w:r>
      <w:r w:rsidRPr="008B2D9E">
        <w:rPr>
          <w:rFonts w:cs="Calibri"/>
        </w:rPr>
        <w:t>).</w:t>
      </w:r>
      <w:bookmarkStart w:id="9" w:name="_Hlk3377163"/>
      <w:bookmarkEnd w:id="6"/>
      <w:bookmarkEnd w:id="7"/>
      <w:bookmarkEnd w:id="8"/>
    </w:p>
    <w:p w14:paraId="55397E24" w14:textId="74793841" w:rsidR="0083076E" w:rsidRPr="0083076E" w:rsidRDefault="0083076E" w:rsidP="0083076E">
      <w:pPr>
        <w:autoSpaceDE w:val="0"/>
        <w:autoSpaceDN w:val="0"/>
        <w:adjustRightInd w:val="0"/>
        <w:spacing w:after="120" w:line="240" w:lineRule="auto"/>
        <w:jc w:val="both"/>
        <w:rPr>
          <w:rFonts w:cs="Calibri"/>
        </w:rPr>
      </w:pPr>
      <w:bookmarkStart w:id="10" w:name="_Hlk111560556"/>
      <w:bookmarkStart w:id="11" w:name="_Hlk34214080"/>
      <w:bookmarkStart w:id="12" w:name="_Hlk160011018"/>
      <w:bookmarkEnd w:id="9"/>
      <w:r w:rsidRPr="0083076E">
        <w:rPr>
          <w:rFonts w:cs="Calibri"/>
        </w:rPr>
        <w:t xml:space="preserve">Οι </w:t>
      </w:r>
      <w:r w:rsidRPr="008D50A9">
        <w:rPr>
          <w:rFonts w:cs="Calibri"/>
          <w:b/>
          <w:bCs/>
        </w:rPr>
        <w:t>συνολικές κεφαλαιουχικές δαπάνες</w:t>
      </w:r>
      <w:r w:rsidRPr="0083076E">
        <w:rPr>
          <w:rFonts w:cs="Calibri"/>
        </w:rPr>
        <w:t xml:space="preserve"> του </w:t>
      </w:r>
      <w:r w:rsidR="006F7495">
        <w:rPr>
          <w:rFonts w:cs="Calibri"/>
        </w:rPr>
        <w:t>Ο</w:t>
      </w:r>
      <w:r w:rsidRPr="0083076E">
        <w:rPr>
          <w:rFonts w:cs="Calibri"/>
        </w:rPr>
        <w:t xml:space="preserve">μίλου ανήλθαν σε 122,3 εκατ. ευρώ το πρώτο εξάμηνο του 2024, κατανεμημένες σε 105,2 εκατ. ευρώ για </w:t>
      </w:r>
      <w:r w:rsidR="006F7495">
        <w:rPr>
          <w:rFonts w:cs="Calibri"/>
        </w:rPr>
        <w:t>τον τομέα</w:t>
      </w:r>
      <w:r w:rsidRPr="0083076E">
        <w:rPr>
          <w:rFonts w:cs="Calibri"/>
        </w:rPr>
        <w:t xml:space="preserve"> </w:t>
      </w:r>
      <w:r w:rsidR="001A0CBE">
        <w:rPr>
          <w:rFonts w:cs="Calibri"/>
        </w:rPr>
        <w:t xml:space="preserve">των </w:t>
      </w:r>
      <w:r w:rsidR="001A0CBE" w:rsidRPr="0083076E">
        <w:rPr>
          <w:rFonts w:cs="Calibri"/>
        </w:rPr>
        <w:t>καλωδί</w:t>
      </w:r>
      <w:r w:rsidR="001A0CBE">
        <w:rPr>
          <w:rFonts w:cs="Calibri"/>
        </w:rPr>
        <w:t>ων</w:t>
      </w:r>
      <w:r w:rsidRPr="0083076E">
        <w:rPr>
          <w:rFonts w:cs="Calibri"/>
        </w:rPr>
        <w:t xml:space="preserve"> και 17,1 εκατ. ευρώ για τον τομέα των </w:t>
      </w:r>
      <w:r>
        <w:rPr>
          <w:rFonts w:cs="Calibri"/>
        </w:rPr>
        <w:t>σωλήνων χάλυβα</w:t>
      </w:r>
      <w:r w:rsidR="006F7495">
        <w:rPr>
          <w:rFonts w:cs="Calibri"/>
        </w:rPr>
        <w:t xml:space="preserve"> </w:t>
      </w:r>
      <w:r w:rsidRPr="0083076E">
        <w:rPr>
          <w:rFonts w:cs="Calibri"/>
        </w:rPr>
        <w:t>(</w:t>
      </w:r>
      <w:r w:rsidR="00E307F6">
        <w:rPr>
          <w:rFonts w:cs="Calibri"/>
        </w:rPr>
        <w:t>για</w:t>
      </w:r>
      <w:r w:rsidRPr="0083076E">
        <w:rPr>
          <w:rFonts w:cs="Calibri"/>
        </w:rPr>
        <w:t xml:space="preserve"> λεπτομέρειες</w:t>
      </w:r>
      <w:r w:rsidR="00E307F6">
        <w:rPr>
          <w:rFonts w:cs="Calibri"/>
        </w:rPr>
        <w:t>, βλέπε</w:t>
      </w:r>
      <w:r w:rsidRPr="0083076E">
        <w:rPr>
          <w:rFonts w:cs="Calibri"/>
        </w:rPr>
        <w:t xml:space="preserve"> </w:t>
      </w:r>
      <w:r w:rsidR="006F7495">
        <w:rPr>
          <w:rFonts w:cs="Calibri"/>
        </w:rPr>
        <w:t>στην ενότητα</w:t>
      </w:r>
      <w:r w:rsidRPr="0083076E">
        <w:rPr>
          <w:rFonts w:cs="Calibri"/>
        </w:rPr>
        <w:t xml:space="preserve"> για </w:t>
      </w:r>
      <w:r w:rsidR="006F7495">
        <w:rPr>
          <w:rFonts w:cs="Calibri"/>
        </w:rPr>
        <w:t>τους επιχειρηματικούς</w:t>
      </w:r>
      <w:r w:rsidRPr="0083076E">
        <w:rPr>
          <w:rFonts w:cs="Calibri"/>
        </w:rPr>
        <w:t xml:space="preserve"> τομείς).</w:t>
      </w:r>
    </w:p>
    <w:p w14:paraId="2C5EC1BA" w14:textId="5731C87F" w:rsidR="00742E4C" w:rsidRPr="00352128" w:rsidRDefault="0083076E" w:rsidP="0083076E">
      <w:pPr>
        <w:autoSpaceDE w:val="0"/>
        <w:autoSpaceDN w:val="0"/>
        <w:adjustRightInd w:val="0"/>
        <w:spacing w:after="120" w:line="240" w:lineRule="auto"/>
        <w:jc w:val="both"/>
        <w:rPr>
          <w:rFonts w:cs="Calibri"/>
        </w:rPr>
      </w:pPr>
      <w:r w:rsidRPr="0083076E">
        <w:rPr>
          <w:rFonts w:cs="Calibri"/>
        </w:rPr>
        <w:t xml:space="preserve">Το </w:t>
      </w:r>
      <w:r w:rsidRPr="001A0CBE">
        <w:rPr>
          <w:rFonts w:cs="Calibri"/>
          <w:b/>
          <w:bCs/>
        </w:rPr>
        <w:t>συνολικό κεφάλαιο κίνησης</w:t>
      </w:r>
      <w:r w:rsidRPr="0083076E">
        <w:rPr>
          <w:rFonts w:cs="Calibri"/>
        </w:rPr>
        <w:t xml:space="preserve"> αυξήθηκε κατά 55,8 εκατ. ευρώ</w:t>
      </w:r>
      <w:r w:rsidR="00A11BE5" w:rsidRPr="00A11BE5">
        <w:rPr>
          <w:rFonts w:cs="Calibri"/>
        </w:rPr>
        <w:t xml:space="preserve"> </w:t>
      </w:r>
      <w:r w:rsidR="00A11BE5">
        <w:rPr>
          <w:rFonts w:cs="Calibri"/>
        </w:rPr>
        <w:t xml:space="preserve">και ανήλθε </w:t>
      </w:r>
      <w:r w:rsidR="00A11BE5" w:rsidRPr="0083076E">
        <w:rPr>
          <w:rFonts w:cs="Calibri"/>
        </w:rPr>
        <w:t xml:space="preserve">στις 30 Ιουνίου 2024 </w:t>
      </w:r>
      <w:r w:rsidR="00A11BE5">
        <w:rPr>
          <w:rFonts w:cs="Calibri"/>
        </w:rPr>
        <w:t xml:space="preserve">σε </w:t>
      </w:r>
      <w:r w:rsidRPr="0083076E">
        <w:rPr>
          <w:rFonts w:cs="Calibri"/>
        </w:rPr>
        <w:t xml:space="preserve">168,6 εκατ. ευρώ έναντι 112,8 εκατ. ευρώ στις 31 Δεκεμβρίου 2023. Η εν λόγω αύξηση οφείλεται στα υψηλότερα αποθέματα για την εξυπηρέτηση των επερχόμενων παραδόσεων και στο χρονοδιάγραμμα των </w:t>
      </w:r>
      <w:r w:rsidR="001E157B">
        <w:rPr>
          <w:rFonts w:cs="Calibri"/>
        </w:rPr>
        <w:t xml:space="preserve">«οροσήμων </w:t>
      </w:r>
      <w:r w:rsidRPr="0083076E">
        <w:rPr>
          <w:rFonts w:cs="Calibri"/>
        </w:rPr>
        <w:t>πληρωμών</w:t>
      </w:r>
      <w:r w:rsidR="001E157B">
        <w:rPr>
          <w:rFonts w:cs="Calibri"/>
        </w:rPr>
        <w:t>»</w:t>
      </w:r>
      <w:r w:rsidRPr="0083076E">
        <w:rPr>
          <w:rFonts w:cs="Calibri"/>
        </w:rPr>
        <w:t xml:space="preserve"> για</w:t>
      </w:r>
      <w:r w:rsidR="001F5AD2">
        <w:rPr>
          <w:rFonts w:cs="Calibri"/>
        </w:rPr>
        <w:t xml:space="preserve"> τα</w:t>
      </w:r>
      <w:r w:rsidRPr="0083076E">
        <w:rPr>
          <w:rFonts w:cs="Calibri"/>
        </w:rPr>
        <w:t xml:space="preserve"> έργα</w:t>
      </w:r>
      <w:r w:rsidR="001F5AD2">
        <w:rPr>
          <w:rFonts w:cs="Calibri"/>
        </w:rPr>
        <w:t xml:space="preserve"> που εκτελούνται</w:t>
      </w:r>
      <w:r w:rsidRPr="0083076E">
        <w:rPr>
          <w:rFonts w:cs="Calibri"/>
        </w:rPr>
        <w:t>. Οι αυξημένες κεφαλαιουχικές δαπάνες κατά το πρώτο εξάμηνο του έτους</w:t>
      </w:r>
      <w:r w:rsidR="001F5AD2">
        <w:rPr>
          <w:rFonts w:cs="Calibri"/>
        </w:rPr>
        <w:t xml:space="preserve"> σε συνδυασμό</w:t>
      </w:r>
      <w:r w:rsidRPr="0083076E">
        <w:rPr>
          <w:rFonts w:cs="Calibri"/>
        </w:rPr>
        <w:t xml:space="preserve"> με τις αυξημένες ανάγκες </w:t>
      </w:r>
      <w:r>
        <w:rPr>
          <w:rFonts w:cs="Calibri"/>
        </w:rPr>
        <w:t>για κεφάλαια κίνησης</w:t>
      </w:r>
      <w:r w:rsidRPr="0083076E">
        <w:rPr>
          <w:rFonts w:cs="Calibri"/>
        </w:rPr>
        <w:t xml:space="preserve"> </w:t>
      </w:r>
      <w:r w:rsidR="001F5AD2">
        <w:rPr>
          <w:rFonts w:cs="Calibri"/>
        </w:rPr>
        <w:t xml:space="preserve">διαμόρφωσαν </w:t>
      </w:r>
      <w:r w:rsidR="001F5AD2" w:rsidRPr="0083076E">
        <w:rPr>
          <w:rFonts w:cs="Calibri"/>
        </w:rPr>
        <w:t>στις 30 Ιουνίου 2024</w:t>
      </w:r>
      <w:r w:rsidRPr="0083076E">
        <w:rPr>
          <w:rFonts w:cs="Calibri"/>
        </w:rPr>
        <w:t xml:space="preserve"> το καθαρό </w:t>
      </w:r>
      <w:r w:rsidR="002775F3">
        <w:rPr>
          <w:rFonts w:cs="Calibri"/>
        </w:rPr>
        <w:t>δανεισμό</w:t>
      </w:r>
      <w:r w:rsidRPr="0083076E">
        <w:rPr>
          <w:rFonts w:cs="Calibri"/>
        </w:rPr>
        <w:t xml:space="preserve"> σε 494 εκατ.</w:t>
      </w:r>
      <w:r w:rsidR="001F5AD2">
        <w:rPr>
          <w:rFonts w:cs="Calibri"/>
        </w:rPr>
        <w:t xml:space="preserve"> ευρώ</w:t>
      </w:r>
      <w:r w:rsidRPr="0083076E">
        <w:rPr>
          <w:rFonts w:cs="Calibri"/>
        </w:rPr>
        <w:t>,</w:t>
      </w:r>
      <w:r w:rsidR="001F5AD2" w:rsidRPr="001F5AD2">
        <w:rPr>
          <w:rFonts w:cs="Calibri"/>
        </w:rPr>
        <w:t xml:space="preserve"> </w:t>
      </w:r>
      <w:r w:rsidR="00773026">
        <w:rPr>
          <w:rFonts w:cs="Calibri"/>
        </w:rPr>
        <w:t xml:space="preserve">γύρω στα </w:t>
      </w:r>
      <w:r w:rsidR="001F5AD2" w:rsidRPr="0083076E">
        <w:rPr>
          <w:rFonts w:cs="Calibri"/>
        </w:rPr>
        <w:t>100</w:t>
      </w:r>
      <w:r w:rsidR="00773026">
        <w:rPr>
          <w:rFonts w:cs="Calibri"/>
        </w:rPr>
        <w:t> </w:t>
      </w:r>
      <w:r w:rsidR="001F5AD2" w:rsidRPr="0083076E">
        <w:rPr>
          <w:rFonts w:cs="Calibri"/>
        </w:rPr>
        <w:t>εκατ.</w:t>
      </w:r>
      <w:r w:rsidR="00773026">
        <w:rPr>
          <w:rFonts w:cs="Calibri"/>
        </w:rPr>
        <w:t> </w:t>
      </w:r>
      <w:r w:rsidR="001F5AD2" w:rsidRPr="0083076E">
        <w:rPr>
          <w:rFonts w:cs="Calibri"/>
        </w:rPr>
        <w:t>ευρώ</w:t>
      </w:r>
      <w:r w:rsidR="001F5AD2">
        <w:rPr>
          <w:rFonts w:cs="Calibri"/>
        </w:rPr>
        <w:t xml:space="preserve"> </w:t>
      </w:r>
      <w:r w:rsidR="00773026">
        <w:rPr>
          <w:rFonts w:cs="Calibri"/>
        </w:rPr>
        <w:t xml:space="preserve">υψηλότερο από τα επίπεδα </w:t>
      </w:r>
      <w:r w:rsidR="001F5AD2">
        <w:rPr>
          <w:rFonts w:cs="Calibri"/>
        </w:rPr>
        <w:t>στο τέλος του 2023</w:t>
      </w:r>
      <w:r w:rsidRPr="0083076E">
        <w:rPr>
          <w:rFonts w:cs="Calibri"/>
        </w:rPr>
        <w:t>.</w:t>
      </w:r>
    </w:p>
    <w:bookmarkEnd w:id="10"/>
    <w:bookmarkEnd w:id="11"/>
    <w:bookmarkEnd w:id="12"/>
    <w:p w14:paraId="2F9B648A" w14:textId="6DBB8715" w:rsidR="00F60A44" w:rsidRDefault="00F60A44" w:rsidP="00F60A44">
      <w:pPr>
        <w:spacing w:after="120" w:line="240" w:lineRule="auto"/>
        <w:jc w:val="both"/>
        <w:rPr>
          <w:rFonts w:eastAsia="SimSun" w:cs="Calibri"/>
          <w:b/>
          <w:bCs/>
          <w:color w:val="4F6228"/>
          <w:sz w:val="24"/>
          <w:szCs w:val="24"/>
          <w:lang w:val="en-GB"/>
        </w:rPr>
      </w:pPr>
      <w:r w:rsidRPr="000722ED">
        <w:rPr>
          <w:rFonts w:eastAsia="SimSun" w:cs="Calibri"/>
          <w:b/>
          <w:bCs/>
          <w:color w:val="4F6228"/>
          <w:sz w:val="24"/>
          <w:szCs w:val="24"/>
        </w:rPr>
        <w:t>Επιδόσεις</w:t>
      </w:r>
      <w:r w:rsidRPr="00E7588B">
        <w:rPr>
          <w:rFonts w:eastAsia="SimSun" w:cs="Calibri"/>
          <w:b/>
          <w:bCs/>
          <w:color w:val="4F6228"/>
          <w:sz w:val="24"/>
          <w:szCs w:val="24"/>
          <w:lang w:val="en-GB"/>
        </w:rPr>
        <w:t xml:space="preserve"> </w:t>
      </w:r>
      <w:r w:rsidRPr="000722ED">
        <w:rPr>
          <w:rFonts w:eastAsia="SimSun" w:cs="Calibri"/>
          <w:b/>
          <w:bCs/>
          <w:color w:val="4F6228"/>
          <w:sz w:val="24"/>
          <w:szCs w:val="24"/>
        </w:rPr>
        <w:t>ανά</w:t>
      </w:r>
      <w:r w:rsidRPr="00E7588B">
        <w:rPr>
          <w:rFonts w:eastAsia="SimSun" w:cs="Calibri"/>
          <w:b/>
          <w:bCs/>
          <w:color w:val="4F6228"/>
          <w:sz w:val="24"/>
          <w:szCs w:val="24"/>
          <w:lang w:val="en-GB"/>
        </w:rPr>
        <w:t xml:space="preserve"> </w:t>
      </w:r>
      <w:r w:rsidRPr="000722ED">
        <w:rPr>
          <w:rFonts w:eastAsia="SimSun" w:cs="Calibri"/>
          <w:b/>
          <w:bCs/>
          <w:color w:val="4F6228"/>
          <w:sz w:val="24"/>
          <w:szCs w:val="24"/>
        </w:rPr>
        <w:t>επιχειρηματικό</w:t>
      </w:r>
      <w:r w:rsidRPr="00E7588B">
        <w:rPr>
          <w:rFonts w:eastAsia="SimSun" w:cs="Calibri"/>
          <w:b/>
          <w:bCs/>
          <w:color w:val="4F6228"/>
          <w:sz w:val="24"/>
          <w:szCs w:val="24"/>
          <w:lang w:val="en-GB"/>
        </w:rPr>
        <w:t xml:space="preserve"> </w:t>
      </w:r>
      <w:r>
        <w:rPr>
          <w:rFonts w:eastAsia="SimSun" w:cs="Calibri"/>
          <w:b/>
          <w:bCs/>
          <w:color w:val="4F6228"/>
          <w:sz w:val="24"/>
          <w:szCs w:val="24"/>
        </w:rPr>
        <w:t>τομέα</w:t>
      </w:r>
    </w:p>
    <w:p w14:paraId="197A93BA" w14:textId="77777777" w:rsidR="00635231" w:rsidRPr="008414D9" w:rsidRDefault="00635231" w:rsidP="005B51D1">
      <w:pPr>
        <w:spacing w:after="0" w:line="240" w:lineRule="auto"/>
        <w:rPr>
          <w:rFonts w:eastAsia="SimSun" w:cs="Calibri"/>
          <w:b/>
          <w:bCs/>
          <w:color w:val="4F6228"/>
          <w:sz w:val="24"/>
          <w:szCs w:val="24"/>
          <w:lang w:val="en-GB"/>
        </w:rPr>
      </w:pPr>
    </w:p>
    <w:tbl>
      <w:tblPr>
        <w:tblW w:w="10206" w:type="dxa"/>
        <w:tblLayout w:type="fixed"/>
        <w:tblLook w:val="04A0" w:firstRow="1" w:lastRow="0" w:firstColumn="1" w:lastColumn="0" w:noHBand="0" w:noVBand="1"/>
      </w:tblPr>
      <w:tblGrid>
        <w:gridCol w:w="1560"/>
        <w:gridCol w:w="992"/>
        <w:gridCol w:w="850"/>
        <w:gridCol w:w="851"/>
        <w:gridCol w:w="850"/>
        <w:gridCol w:w="851"/>
        <w:gridCol w:w="850"/>
        <w:gridCol w:w="851"/>
        <w:gridCol w:w="850"/>
        <w:gridCol w:w="851"/>
        <w:gridCol w:w="850"/>
      </w:tblGrid>
      <w:tr w:rsidR="00F60A44" w:rsidRPr="008414D9" w14:paraId="1DCAD06F" w14:textId="77777777" w:rsidTr="0066547F">
        <w:trPr>
          <w:trHeight w:val="465"/>
        </w:trPr>
        <w:tc>
          <w:tcPr>
            <w:tcW w:w="1560" w:type="dxa"/>
            <w:tcBorders>
              <w:top w:val="nil"/>
              <w:left w:val="nil"/>
              <w:bottom w:val="single" w:sz="4" w:space="0" w:color="385623" w:themeColor="accent6" w:themeShade="80"/>
              <w:right w:val="dotted" w:sz="4" w:space="0" w:color="385623" w:themeColor="accent6" w:themeShade="80"/>
            </w:tcBorders>
            <w:shd w:val="clear" w:color="000000" w:fill="FFFFFF"/>
            <w:vAlign w:val="center"/>
            <w:hideMark/>
          </w:tcPr>
          <w:p w14:paraId="4C57B876" w14:textId="77777777" w:rsidR="00F60A44" w:rsidRPr="000722ED" w:rsidRDefault="00F60A44" w:rsidP="00F60A44">
            <w:pPr>
              <w:spacing w:after="120" w:line="240" w:lineRule="auto"/>
              <w:jc w:val="both"/>
              <w:rPr>
                <w:rFonts w:eastAsia="Times New Roman" w:cs="Calibri"/>
                <w:bCs/>
                <w:i/>
                <w:sz w:val="18"/>
                <w:szCs w:val="18"/>
                <w:lang w:eastAsia="el-GR"/>
              </w:rPr>
            </w:pPr>
            <w:r w:rsidRPr="000722ED">
              <w:rPr>
                <w:rFonts w:eastAsia="Times New Roman" w:cs="Calibri"/>
                <w:bCs/>
                <w:i/>
                <w:sz w:val="18"/>
                <w:szCs w:val="18"/>
                <w:lang w:eastAsia="el-GR"/>
              </w:rPr>
              <w:t>Ποσά σε</w:t>
            </w:r>
          </w:p>
          <w:p w14:paraId="4C3FAFF0" w14:textId="5C4C69EC" w:rsidR="00F60A44" w:rsidRPr="008414D9" w:rsidRDefault="00F60A44" w:rsidP="00F60A44">
            <w:pPr>
              <w:spacing w:after="0" w:line="240" w:lineRule="auto"/>
              <w:jc w:val="both"/>
              <w:rPr>
                <w:rFonts w:eastAsia="Times New Roman" w:cs="Calibri"/>
                <w:bCs/>
                <w:i/>
                <w:sz w:val="17"/>
                <w:szCs w:val="17"/>
                <w:lang w:val="en-GB" w:eastAsia="el-GR"/>
              </w:rPr>
            </w:pPr>
            <w:r w:rsidRPr="000722ED">
              <w:rPr>
                <w:rFonts w:eastAsia="Times New Roman" w:cs="Calibri"/>
                <w:bCs/>
                <w:i/>
                <w:sz w:val="18"/>
                <w:szCs w:val="18"/>
                <w:lang w:eastAsia="el-GR"/>
              </w:rPr>
              <w:t>χιλιάδες ευρώ</w:t>
            </w:r>
          </w:p>
        </w:tc>
        <w:tc>
          <w:tcPr>
            <w:tcW w:w="1842" w:type="dxa"/>
            <w:gridSpan w:val="2"/>
            <w:tcBorders>
              <w:top w:val="nil"/>
              <w:left w:val="dotted" w:sz="4" w:space="0" w:color="385623" w:themeColor="accent6" w:themeShade="80"/>
              <w:bottom w:val="single" w:sz="4" w:space="0" w:color="385623" w:themeColor="accent6" w:themeShade="80"/>
              <w:right w:val="dotted" w:sz="4" w:space="0" w:color="385623" w:themeColor="accent6" w:themeShade="80"/>
            </w:tcBorders>
            <w:shd w:val="clear" w:color="000000" w:fill="FFFFFF"/>
            <w:vAlign w:val="center"/>
            <w:hideMark/>
          </w:tcPr>
          <w:p w14:paraId="424D6813" w14:textId="5D11FC8A" w:rsidR="00F60A44" w:rsidRPr="008414D9" w:rsidRDefault="00F60A44" w:rsidP="00F60A44">
            <w:pPr>
              <w:spacing w:after="120" w:line="240" w:lineRule="auto"/>
              <w:jc w:val="center"/>
              <w:rPr>
                <w:rFonts w:eastAsia="Times New Roman" w:cs="Calibri"/>
                <w:b/>
                <w:bCs/>
                <w:sz w:val="17"/>
                <w:szCs w:val="17"/>
                <w:lang w:val="en-GB" w:eastAsia="el-GR"/>
              </w:rPr>
            </w:pPr>
            <w:r>
              <w:rPr>
                <w:rFonts w:eastAsia="Times New Roman" w:cs="Calibri"/>
                <w:b/>
                <w:bCs/>
                <w:sz w:val="18"/>
                <w:szCs w:val="18"/>
                <w:lang w:eastAsia="el-GR"/>
              </w:rPr>
              <w:t>Πωλήσεις</w:t>
            </w:r>
          </w:p>
        </w:tc>
        <w:tc>
          <w:tcPr>
            <w:tcW w:w="1701" w:type="dxa"/>
            <w:gridSpan w:val="2"/>
            <w:tcBorders>
              <w:top w:val="nil"/>
              <w:left w:val="dotted" w:sz="4" w:space="0" w:color="385623" w:themeColor="accent6" w:themeShade="80"/>
              <w:bottom w:val="single" w:sz="4" w:space="0" w:color="385623" w:themeColor="accent6" w:themeShade="80"/>
              <w:right w:val="dotted" w:sz="4" w:space="0" w:color="385623" w:themeColor="accent6" w:themeShade="80"/>
            </w:tcBorders>
            <w:shd w:val="clear" w:color="auto" w:fill="auto"/>
            <w:vAlign w:val="center"/>
          </w:tcPr>
          <w:p w14:paraId="2E9E6B3C" w14:textId="4DFF8FDA" w:rsidR="00F60A44" w:rsidRPr="008414D9" w:rsidRDefault="00F60A44" w:rsidP="00F60A44">
            <w:pPr>
              <w:spacing w:after="120" w:line="240" w:lineRule="auto"/>
              <w:jc w:val="center"/>
              <w:rPr>
                <w:rFonts w:eastAsia="Times New Roman" w:cs="Calibri"/>
                <w:b/>
                <w:bCs/>
                <w:sz w:val="17"/>
                <w:szCs w:val="17"/>
                <w:lang w:val="en-GB" w:eastAsia="el-GR"/>
              </w:rPr>
            </w:pPr>
            <w:r w:rsidRPr="009259F9">
              <w:rPr>
                <w:rFonts w:eastAsia="Times New Roman" w:cs="Calibri"/>
                <w:b/>
                <w:bCs/>
                <w:sz w:val="18"/>
                <w:szCs w:val="18"/>
                <w:lang w:val="en-GB" w:eastAsia="el-GR"/>
              </w:rPr>
              <w:t>EBITDA</w:t>
            </w:r>
          </w:p>
        </w:tc>
        <w:tc>
          <w:tcPr>
            <w:tcW w:w="1701" w:type="dxa"/>
            <w:gridSpan w:val="2"/>
            <w:tcBorders>
              <w:top w:val="nil"/>
              <w:left w:val="dotted" w:sz="4" w:space="0" w:color="385623" w:themeColor="accent6" w:themeShade="80"/>
              <w:bottom w:val="single" w:sz="4" w:space="0" w:color="385623" w:themeColor="accent6" w:themeShade="80"/>
              <w:right w:val="dotted" w:sz="4" w:space="0" w:color="385623" w:themeColor="accent6" w:themeShade="80"/>
            </w:tcBorders>
            <w:shd w:val="clear" w:color="000000" w:fill="FFFFFF"/>
            <w:vAlign w:val="center"/>
            <w:hideMark/>
          </w:tcPr>
          <w:p w14:paraId="0E849778" w14:textId="5ADCDCEB" w:rsidR="00F60A44" w:rsidRPr="008414D9" w:rsidRDefault="00F60A44" w:rsidP="00F60A44">
            <w:pPr>
              <w:spacing w:after="120" w:line="240" w:lineRule="auto"/>
              <w:jc w:val="center"/>
              <w:rPr>
                <w:rFonts w:eastAsia="Times New Roman" w:cs="Calibri"/>
                <w:b/>
                <w:bCs/>
                <w:sz w:val="17"/>
                <w:szCs w:val="17"/>
                <w:lang w:val="en-GB" w:eastAsia="el-GR"/>
              </w:rPr>
            </w:pPr>
            <w:r w:rsidRPr="009259F9">
              <w:rPr>
                <w:rFonts w:eastAsia="Times New Roman" w:cs="Calibri"/>
                <w:b/>
                <w:bCs/>
                <w:sz w:val="18"/>
                <w:szCs w:val="18"/>
                <w:lang w:val="en-GB" w:eastAsia="el-GR"/>
              </w:rPr>
              <w:t>a-EBITDA</w:t>
            </w:r>
          </w:p>
        </w:tc>
        <w:tc>
          <w:tcPr>
            <w:tcW w:w="1701" w:type="dxa"/>
            <w:gridSpan w:val="2"/>
            <w:tcBorders>
              <w:top w:val="nil"/>
              <w:left w:val="dotted" w:sz="4" w:space="0" w:color="385623" w:themeColor="accent6" w:themeShade="80"/>
              <w:bottom w:val="single" w:sz="4" w:space="0" w:color="385623" w:themeColor="accent6" w:themeShade="80"/>
              <w:right w:val="dotted" w:sz="4" w:space="0" w:color="385623" w:themeColor="accent6" w:themeShade="80"/>
            </w:tcBorders>
            <w:shd w:val="clear" w:color="000000" w:fill="FFFFFF"/>
            <w:vAlign w:val="center"/>
            <w:hideMark/>
          </w:tcPr>
          <w:p w14:paraId="0FB392B1" w14:textId="2A3BB764" w:rsidR="00F60A44" w:rsidRPr="008414D9" w:rsidRDefault="00F60A44" w:rsidP="00F60A44">
            <w:pPr>
              <w:spacing w:after="120" w:line="240" w:lineRule="auto"/>
              <w:jc w:val="center"/>
              <w:rPr>
                <w:rFonts w:eastAsia="Times New Roman" w:cs="Calibri"/>
                <w:b/>
                <w:bCs/>
                <w:sz w:val="17"/>
                <w:szCs w:val="17"/>
                <w:lang w:val="en-GB" w:eastAsia="el-GR"/>
              </w:rPr>
            </w:pPr>
            <w:r w:rsidRPr="009259F9">
              <w:rPr>
                <w:rFonts w:eastAsia="Times New Roman" w:cs="Calibri"/>
                <w:b/>
                <w:bCs/>
                <w:sz w:val="18"/>
                <w:szCs w:val="18"/>
                <w:lang w:val="en-GB" w:eastAsia="el-GR"/>
              </w:rPr>
              <w:t>EBIT</w:t>
            </w:r>
          </w:p>
        </w:tc>
        <w:tc>
          <w:tcPr>
            <w:tcW w:w="1701" w:type="dxa"/>
            <w:gridSpan w:val="2"/>
            <w:tcBorders>
              <w:top w:val="nil"/>
              <w:left w:val="dotted" w:sz="4" w:space="0" w:color="385623" w:themeColor="accent6" w:themeShade="80"/>
              <w:bottom w:val="single" w:sz="4" w:space="0" w:color="385623" w:themeColor="accent6" w:themeShade="80"/>
              <w:right w:val="dotted" w:sz="4" w:space="0" w:color="385623" w:themeColor="accent6" w:themeShade="80"/>
            </w:tcBorders>
            <w:shd w:val="clear" w:color="000000" w:fill="FFFFFF"/>
            <w:vAlign w:val="center"/>
            <w:hideMark/>
          </w:tcPr>
          <w:p w14:paraId="770F3756" w14:textId="5BE687D4" w:rsidR="00F60A44" w:rsidRPr="008414D9" w:rsidRDefault="00F60A44" w:rsidP="00F60A44">
            <w:pPr>
              <w:spacing w:after="120" w:line="240" w:lineRule="auto"/>
              <w:jc w:val="center"/>
              <w:rPr>
                <w:rFonts w:eastAsia="Times New Roman" w:cs="Calibri"/>
                <w:b/>
                <w:bCs/>
                <w:sz w:val="17"/>
                <w:szCs w:val="17"/>
                <w:lang w:val="en-GB" w:eastAsia="el-GR"/>
              </w:rPr>
            </w:pPr>
            <w:r>
              <w:rPr>
                <w:rFonts w:eastAsia="Times New Roman" w:cs="Calibri"/>
                <w:b/>
                <w:bCs/>
                <w:sz w:val="18"/>
                <w:szCs w:val="18"/>
                <w:lang w:eastAsia="el-GR"/>
              </w:rPr>
              <w:t>Κέρδη προ φόρων</w:t>
            </w:r>
          </w:p>
        </w:tc>
      </w:tr>
      <w:tr w:rsidR="0066547F" w:rsidRPr="006A1361" w14:paraId="0E009A64" w14:textId="77777777" w:rsidTr="0066547F">
        <w:trPr>
          <w:trHeight w:val="255"/>
        </w:trPr>
        <w:tc>
          <w:tcPr>
            <w:tcW w:w="1560" w:type="dxa"/>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000000" w:fill="FFFFFF"/>
            <w:vAlign w:val="center"/>
            <w:hideMark/>
          </w:tcPr>
          <w:p w14:paraId="08AB0546" w14:textId="70B68B3E" w:rsidR="0066547F" w:rsidRPr="008414D9" w:rsidRDefault="0066547F" w:rsidP="0066547F">
            <w:pPr>
              <w:spacing w:before="60" w:after="60" w:line="240" w:lineRule="auto"/>
              <w:rPr>
                <w:rFonts w:eastAsia="Times New Roman" w:cs="Calibri"/>
                <w:b/>
                <w:bCs/>
                <w:sz w:val="17"/>
                <w:szCs w:val="17"/>
                <w:u w:val="single"/>
                <w:lang w:val="en-GB" w:eastAsia="el-GR"/>
              </w:rPr>
            </w:pPr>
            <w:r>
              <w:rPr>
                <w:rFonts w:eastAsia="Times New Roman" w:cs="Calibri"/>
                <w:b/>
                <w:bCs/>
                <w:sz w:val="18"/>
                <w:szCs w:val="18"/>
                <w:u w:val="single"/>
                <w:lang w:eastAsia="el-GR"/>
              </w:rPr>
              <w:t>Τομέα</w:t>
            </w:r>
            <w:r w:rsidRPr="005460AF">
              <w:rPr>
                <w:rFonts w:eastAsia="Times New Roman" w:cs="Calibri"/>
                <w:b/>
                <w:bCs/>
                <w:sz w:val="18"/>
                <w:szCs w:val="18"/>
                <w:u w:val="single"/>
                <w:lang w:eastAsia="el-GR"/>
              </w:rPr>
              <w:t>ς</w:t>
            </w:r>
          </w:p>
        </w:tc>
        <w:tc>
          <w:tcPr>
            <w:tcW w:w="992" w:type="dxa"/>
            <w:tcBorders>
              <w:top w:val="single" w:sz="4" w:space="0" w:color="385623" w:themeColor="accent6" w:themeShade="80"/>
              <w:left w:val="dotted" w:sz="4" w:space="0" w:color="385623" w:themeColor="accent6" w:themeShade="80"/>
              <w:bottom w:val="single" w:sz="4" w:space="0" w:color="385623" w:themeColor="accent6" w:themeShade="80"/>
              <w:right w:val="nil"/>
            </w:tcBorders>
            <w:shd w:val="clear" w:color="auto" w:fill="E2EFD9"/>
            <w:vAlign w:val="center"/>
            <w:hideMark/>
          </w:tcPr>
          <w:p w14:paraId="23F604D4" w14:textId="3A905654" w:rsidR="0066547F" w:rsidRPr="006A1361" w:rsidRDefault="0066547F" w:rsidP="0066547F">
            <w:pPr>
              <w:spacing w:before="60" w:after="60" w:line="240" w:lineRule="auto"/>
              <w:jc w:val="right"/>
              <w:rPr>
                <w:rFonts w:cs="Calibri"/>
                <w:b/>
                <w:bCs/>
                <w:color w:val="000000"/>
                <w:sz w:val="17"/>
                <w:szCs w:val="17"/>
                <w:lang w:val="en-GB"/>
              </w:rPr>
            </w:pPr>
            <w:r>
              <w:rPr>
                <w:rFonts w:cs="Calibri"/>
                <w:b/>
                <w:bCs/>
                <w:color w:val="000000"/>
                <w:sz w:val="17"/>
                <w:szCs w:val="17"/>
              </w:rPr>
              <w:t>1</w:t>
            </w:r>
            <w:r w:rsidRPr="0066547F">
              <w:rPr>
                <w:rFonts w:cs="Calibri"/>
                <w:b/>
                <w:bCs/>
                <w:color w:val="000000"/>
                <w:sz w:val="17"/>
                <w:szCs w:val="17"/>
                <w:vertAlign w:val="superscript"/>
              </w:rPr>
              <w:t>ο</w:t>
            </w:r>
            <w:r>
              <w:rPr>
                <w:rFonts w:cs="Calibri"/>
                <w:b/>
                <w:bCs/>
                <w:color w:val="000000"/>
                <w:sz w:val="17"/>
                <w:szCs w:val="17"/>
              </w:rPr>
              <w:t xml:space="preserve"> εξ. </w:t>
            </w:r>
            <w:r w:rsidRPr="006A1361">
              <w:rPr>
                <w:rFonts w:cs="Calibri"/>
                <w:b/>
                <w:bCs/>
                <w:color w:val="000000"/>
                <w:sz w:val="17"/>
                <w:szCs w:val="17"/>
              </w:rPr>
              <w:t xml:space="preserve"> 2024</w:t>
            </w:r>
          </w:p>
        </w:tc>
        <w:tc>
          <w:tcPr>
            <w:tcW w:w="850" w:type="dxa"/>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000000" w:fill="FFFFFF"/>
            <w:vAlign w:val="center"/>
            <w:hideMark/>
          </w:tcPr>
          <w:p w14:paraId="30240DE9" w14:textId="2104BE4A" w:rsidR="0066547F" w:rsidRPr="006A1361" w:rsidRDefault="0066547F" w:rsidP="0066547F">
            <w:pPr>
              <w:spacing w:before="60" w:after="60" w:line="240" w:lineRule="auto"/>
              <w:jc w:val="right"/>
              <w:rPr>
                <w:rFonts w:cs="Calibri"/>
                <w:b/>
                <w:bCs/>
                <w:color w:val="000000"/>
                <w:sz w:val="17"/>
                <w:szCs w:val="17"/>
                <w:lang w:val="en-GB"/>
              </w:rPr>
            </w:pPr>
            <w:r>
              <w:rPr>
                <w:rFonts w:cs="Calibri"/>
                <w:b/>
                <w:bCs/>
                <w:color w:val="000000"/>
                <w:sz w:val="17"/>
                <w:szCs w:val="17"/>
              </w:rPr>
              <w:t>1</w:t>
            </w:r>
            <w:r>
              <w:rPr>
                <w:rFonts w:cs="Calibri"/>
                <w:b/>
                <w:bCs/>
                <w:color w:val="000000"/>
                <w:sz w:val="17"/>
                <w:szCs w:val="17"/>
                <w:vertAlign w:val="superscript"/>
              </w:rPr>
              <w:t xml:space="preserve">ο </w:t>
            </w:r>
            <w:r>
              <w:rPr>
                <w:rFonts w:cs="Calibri"/>
                <w:b/>
                <w:bCs/>
                <w:color w:val="000000"/>
                <w:sz w:val="17"/>
                <w:szCs w:val="17"/>
              </w:rPr>
              <w:t>εξ</w:t>
            </w:r>
            <w:r w:rsidRPr="006A1361">
              <w:rPr>
                <w:rFonts w:cs="Calibri"/>
                <w:b/>
                <w:bCs/>
                <w:color w:val="000000"/>
                <w:sz w:val="17"/>
                <w:szCs w:val="17"/>
              </w:rPr>
              <w:t xml:space="preserve"> 2023</w:t>
            </w:r>
          </w:p>
        </w:tc>
        <w:tc>
          <w:tcPr>
            <w:tcW w:w="851" w:type="dxa"/>
            <w:tcBorders>
              <w:top w:val="single" w:sz="4" w:space="0" w:color="385623" w:themeColor="accent6" w:themeShade="80"/>
              <w:left w:val="dotted" w:sz="4" w:space="0" w:color="385623" w:themeColor="accent6" w:themeShade="80"/>
              <w:bottom w:val="single" w:sz="4" w:space="0" w:color="385623" w:themeColor="accent6" w:themeShade="80"/>
              <w:right w:val="nil"/>
            </w:tcBorders>
            <w:shd w:val="clear" w:color="auto" w:fill="E2EFD9"/>
            <w:vAlign w:val="center"/>
          </w:tcPr>
          <w:p w14:paraId="723675C3" w14:textId="37DACAB7" w:rsidR="0066547F" w:rsidRPr="006A1361" w:rsidRDefault="0066547F" w:rsidP="0066547F">
            <w:pPr>
              <w:spacing w:before="60" w:after="60" w:line="240" w:lineRule="auto"/>
              <w:jc w:val="right"/>
              <w:rPr>
                <w:rFonts w:cs="Calibri"/>
                <w:b/>
                <w:bCs/>
                <w:color w:val="000000"/>
                <w:sz w:val="17"/>
                <w:szCs w:val="17"/>
                <w:lang w:val="en-GB"/>
              </w:rPr>
            </w:pPr>
            <w:r>
              <w:rPr>
                <w:rFonts w:cs="Calibri"/>
                <w:b/>
                <w:bCs/>
                <w:color w:val="000000"/>
                <w:sz w:val="17"/>
                <w:szCs w:val="17"/>
              </w:rPr>
              <w:t>1</w:t>
            </w:r>
            <w:r w:rsidRPr="0066547F">
              <w:rPr>
                <w:rFonts w:cs="Calibri"/>
                <w:b/>
                <w:bCs/>
                <w:color w:val="000000"/>
                <w:sz w:val="17"/>
                <w:szCs w:val="17"/>
                <w:vertAlign w:val="superscript"/>
              </w:rPr>
              <w:t>ο</w:t>
            </w:r>
            <w:r>
              <w:rPr>
                <w:rFonts w:cs="Calibri"/>
                <w:b/>
                <w:bCs/>
                <w:color w:val="000000"/>
                <w:sz w:val="17"/>
                <w:szCs w:val="17"/>
              </w:rPr>
              <w:t xml:space="preserve"> εξ. </w:t>
            </w:r>
            <w:r w:rsidRPr="006A1361">
              <w:rPr>
                <w:rFonts w:cs="Calibri"/>
                <w:b/>
                <w:bCs/>
                <w:color w:val="000000"/>
                <w:sz w:val="17"/>
                <w:szCs w:val="17"/>
              </w:rPr>
              <w:t xml:space="preserve"> 2024</w:t>
            </w:r>
          </w:p>
        </w:tc>
        <w:tc>
          <w:tcPr>
            <w:tcW w:w="850" w:type="dxa"/>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auto" w:fill="auto"/>
            <w:vAlign w:val="center"/>
          </w:tcPr>
          <w:p w14:paraId="2E50BD0A" w14:textId="08FB1B22" w:rsidR="0066547F" w:rsidRPr="006A1361" w:rsidRDefault="0066547F" w:rsidP="0066547F">
            <w:pPr>
              <w:spacing w:before="60" w:after="60" w:line="240" w:lineRule="auto"/>
              <w:jc w:val="right"/>
              <w:rPr>
                <w:rFonts w:cs="Calibri"/>
                <w:b/>
                <w:bCs/>
                <w:color w:val="000000"/>
                <w:sz w:val="17"/>
                <w:szCs w:val="17"/>
                <w:lang w:val="en-GB"/>
              </w:rPr>
            </w:pPr>
            <w:r>
              <w:rPr>
                <w:rFonts w:cs="Calibri"/>
                <w:b/>
                <w:bCs/>
                <w:color w:val="000000"/>
                <w:sz w:val="17"/>
                <w:szCs w:val="17"/>
              </w:rPr>
              <w:t>1</w:t>
            </w:r>
            <w:r>
              <w:rPr>
                <w:rFonts w:cs="Calibri"/>
                <w:b/>
                <w:bCs/>
                <w:color w:val="000000"/>
                <w:sz w:val="17"/>
                <w:szCs w:val="17"/>
                <w:vertAlign w:val="superscript"/>
              </w:rPr>
              <w:t xml:space="preserve">ο </w:t>
            </w:r>
            <w:r>
              <w:rPr>
                <w:rFonts w:cs="Calibri"/>
                <w:b/>
                <w:bCs/>
                <w:color w:val="000000"/>
                <w:sz w:val="17"/>
                <w:szCs w:val="17"/>
              </w:rPr>
              <w:t>εξ</w:t>
            </w:r>
            <w:r w:rsidRPr="006A1361">
              <w:rPr>
                <w:rFonts w:cs="Calibri"/>
                <w:b/>
                <w:bCs/>
                <w:color w:val="000000"/>
                <w:sz w:val="17"/>
                <w:szCs w:val="17"/>
              </w:rPr>
              <w:t xml:space="preserve"> 2023</w:t>
            </w:r>
          </w:p>
        </w:tc>
        <w:tc>
          <w:tcPr>
            <w:tcW w:w="851" w:type="dxa"/>
            <w:tcBorders>
              <w:top w:val="single" w:sz="4" w:space="0" w:color="385623" w:themeColor="accent6" w:themeShade="80"/>
              <w:left w:val="dotted" w:sz="4" w:space="0" w:color="385623" w:themeColor="accent6" w:themeShade="80"/>
              <w:bottom w:val="single" w:sz="4" w:space="0" w:color="385623" w:themeColor="accent6" w:themeShade="80"/>
              <w:right w:val="nil"/>
            </w:tcBorders>
            <w:shd w:val="clear" w:color="auto" w:fill="E2EFD9"/>
            <w:vAlign w:val="center"/>
          </w:tcPr>
          <w:p w14:paraId="6A710491" w14:textId="4F928AFE" w:rsidR="0066547F" w:rsidRPr="006A1361" w:rsidRDefault="0066547F" w:rsidP="0066547F">
            <w:pPr>
              <w:spacing w:before="60" w:after="60" w:line="240" w:lineRule="auto"/>
              <w:jc w:val="right"/>
              <w:rPr>
                <w:rFonts w:cs="Calibri"/>
                <w:b/>
                <w:bCs/>
                <w:color w:val="000000"/>
                <w:sz w:val="17"/>
                <w:szCs w:val="17"/>
                <w:lang w:val="en-GB"/>
              </w:rPr>
            </w:pPr>
            <w:r>
              <w:rPr>
                <w:rFonts w:cs="Calibri"/>
                <w:b/>
                <w:bCs/>
                <w:color w:val="000000"/>
                <w:sz w:val="17"/>
                <w:szCs w:val="17"/>
              </w:rPr>
              <w:t>1</w:t>
            </w:r>
            <w:r w:rsidRPr="0066547F">
              <w:rPr>
                <w:rFonts w:cs="Calibri"/>
                <w:b/>
                <w:bCs/>
                <w:color w:val="000000"/>
                <w:sz w:val="17"/>
                <w:szCs w:val="17"/>
                <w:vertAlign w:val="superscript"/>
              </w:rPr>
              <w:t>ο</w:t>
            </w:r>
            <w:r>
              <w:rPr>
                <w:rFonts w:cs="Calibri"/>
                <w:b/>
                <w:bCs/>
                <w:color w:val="000000"/>
                <w:sz w:val="17"/>
                <w:szCs w:val="17"/>
              </w:rPr>
              <w:t xml:space="preserve"> εξ. </w:t>
            </w:r>
            <w:r w:rsidRPr="006A1361">
              <w:rPr>
                <w:rFonts w:cs="Calibri"/>
                <w:b/>
                <w:bCs/>
                <w:color w:val="000000"/>
                <w:sz w:val="17"/>
                <w:szCs w:val="17"/>
              </w:rPr>
              <w:t xml:space="preserve"> 2024</w:t>
            </w:r>
          </w:p>
        </w:tc>
        <w:tc>
          <w:tcPr>
            <w:tcW w:w="850" w:type="dxa"/>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000000" w:fill="FFFFFF"/>
            <w:vAlign w:val="center"/>
            <w:hideMark/>
          </w:tcPr>
          <w:p w14:paraId="0CC92A03" w14:textId="2AE08A59" w:rsidR="0066547F" w:rsidRPr="006A1361" w:rsidRDefault="0066547F" w:rsidP="0066547F">
            <w:pPr>
              <w:spacing w:before="60" w:after="60" w:line="240" w:lineRule="auto"/>
              <w:jc w:val="right"/>
              <w:rPr>
                <w:rFonts w:cs="Calibri"/>
                <w:b/>
                <w:bCs/>
                <w:color w:val="000000"/>
                <w:sz w:val="17"/>
                <w:szCs w:val="17"/>
                <w:lang w:val="en-GB"/>
              </w:rPr>
            </w:pPr>
            <w:r>
              <w:rPr>
                <w:rFonts w:cs="Calibri"/>
                <w:b/>
                <w:bCs/>
                <w:color w:val="000000"/>
                <w:sz w:val="17"/>
                <w:szCs w:val="17"/>
              </w:rPr>
              <w:t>1</w:t>
            </w:r>
            <w:r>
              <w:rPr>
                <w:rFonts w:cs="Calibri"/>
                <w:b/>
                <w:bCs/>
                <w:color w:val="000000"/>
                <w:sz w:val="17"/>
                <w:szCs w:val="17"/>
                <w:vertAlign w:val="superscript"/>
              </w:rPr>
              <w:t xml:space="preserve">ο </w:t>
            </w:r>
            <w:r>
              <w:rPr>
                <w:rFonts w:cs="Calibri"/>
                <w:b/>
                <w:bCs/>
                <w:color w:val="000000"/>
                <w:sz w:val="17"/>
                <w:szCs w:val="17"/>
              </w:rPr>
              <w:t>εξ</w:t>
            </w:r>
            <w:r w:rsidRPr="006A1361">
              <w:rPr>
                <w:rFonts w:cs="Calibri"/>
                <w:b/>
                <w:bCs/>
                <w:color w:val="000000"/>
                <w:sz w:val="17"/>
                <w:szCs w:val="17"/>
              </w:rPr>
              <w:t xml:space="preserve"> 2023</w:t>
            </w:r>
          </w:p>
        </w:tc>
        <w:tc>
          <w:tcPr>
            <w:tcW w:w="851" w:type="dxa"/>
            <w:tcBorders>
              <w:top w:val="single" w:sz="4" w:space="0" w:color="385623" w:themeColor="accent6" w:themeShade="80"/>
              <w:left w:val="dotted" w:sz="4" w:space="0" w:color="385623" w:themeColor="accent6" w:themeShade="80"/>
              <w:bottom w:val="single" w:sz="4" w:space="0" w:color="385623" w:themeColor="accent6" w:themeShade="80"/>
              <w:right w:val="nil"/>
            </w:tcBorders>
            <w:shd w:val="clear" w:color="auto" w:fill="E2EFD9"/>
            <w:vAlign w:val="center"/>
          </w:tcPr>
          <w:p w14:paraId="1C5D67D2" w14:textId="19124F62" w:rsidR="0066547F" w:rsidRPr="006A1361" w:rsidRDefault="0066547F" w:rsidP="0066547F">
            <w:pPr>
              <w:spacing w:before="60" w:after="60" w:line="240" w:lineRule="auto"/>
              <w:jc w:val="right"/>
              <w:rPr>
                <w:rFonts w:cs="Calibri"/>
                <w:b/>
                <w:bCs/>
                <w:color w:val="000000"/>
                <w:sz w:val="17"/>
                <w:szCs w:val="17"/>
                <w:lang w:val="en-GB"/>
              </w:rPr>
            </w:pPr>
            <w:r>
              <w:rPr>
                <w:rFonts w:cs="Calibri"/>
                <w:b/>
                <w:bCs/>
                <w:color w:val="000000"/>
                <w:sz w:val="17"/>
                <w:szCs w:val="17"/>
              </w:rPr>
              <w:t>1</w:t>
            </w:r>
            <w:r w:rsidRPr="0066547F">
              <w:rPr>
                <w:rFonts w:cs="Calibri"/>
                <w:b/>
                <w:bCs/>
                <w:color w:val="000000"/>
                <w:sz w:val="17"/>
                <w:szCs w:val="17"/>
                <w:vertAlign w:val="superscript"/>
              </w:rPr>
              <w:t>ο</w:t>
            </w:r>
            <w:r>
              <w:rPr>
                <w:rFonts w:cs="Calibri"/>
                <w:b/>
                <w:bCs/>
                <w:color w:val="000000"/>
                <w:sz w:val="17"/>
                <w:szCs w:val="17"/>
              </w:rPr>
              <w:t xml:space="preserve"> εξ. </w:t>
            </w:r>
            <w:r w:rsidRPr="006A1361">
              <w:rPr>
                <w:rFonts w:cs="Calibri"/>
                <w:b/>
                <w:bCs/>
                <w:color w:val="000000"/>
                <w:sz w:val="17"/>
                <w:szCs w:val="17"/>
              </w:rPr>
              <w:t xml:space="preserve"> 2024</w:t>
            </w:r>
          </w:p>
        </w:tc>
        <w:tc>
          <w:tcPr>
            <w:tcW w:w="850" w:type="dxa"/>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000000" w:fill="FFFFFF"/>
            <w:vAlign w:val="center"/>
            <w:hideMark/>
          </w:tcPr>
          <w:p w14:paraId="466495A4" w14:textId="2CF9E5D0" w:rsidR="0066547F" w:rsidRPr="006A1361" w:rsidRDefault="0066547F" w:rsidP="0066547F">
            <w:pPr>
              <w:spacing w:before="60" w:after="60" w:line="240" w:lineRule="auto"/>
              <w:jc w:val="right"/>
              <w:rPr>
                <w:rFonts w:cs="Calibri"/>
                <w:b/>
                <w:bCs/>
                <w:color w:val="000000"/>
                <w:sz w:val="17"/>
                <w:szCs w:val="17"/>
                <w:lang w:val="en-GB"/>
              </w:rPr>
            </w:pPr>
            <w:r>
              <w:rPr>
                <w:rFonts w:cs="Calibri"/>
                <w:b/>
                <w:bCs/>
                <w:color w:val="000000"/>
                <w:sz w:val="17"/>
                <w:szCs w:val="17"/>
              </w:rPr>
              <w:t>1</w:t>
            </w:r>
            <w:r>
              <w:rPr>
                <w:rFonts w:cs="Calibri"/>
                <w:b/>
                <w:bCs/>
                <w:color w:val="000000"/>
                <w:sz w:val="17"/>
                <w:szCs w:val="17"/>
                <w:vertAlign w:val="superscript"/>
              </w:rPr>
              <w:t xml:space="preserve">ο </w:t>
            </w:r>
            <w:r>
              <w:rPr>
                <w:rFonts w:cs="Calibri"/>
                <w:b/>
                <w:bCs/>
                <w:color w:val="000000"/>
                <w:sz w:val="17"/>
                <w:szCs w:val="17"/>
              </w:rPr>
              <w:t>εξ</w:t>
            </w:r>
            <w:r w:rsidRPr="006A1361">
              <w:rPr>
                <w:rFonts w:cs="Calibri"/>
                <w:b/>
                <w:bCs/>
                <w:color w:val="000000"/>
                <w:sz w:val="17"/>
                <w:szCs w:val="17"/>
              </w:rPr>
              <w:t xml:space="preserve"> 2023</w:t>
            </w:r>
          </w:p>
        </w:tc>
        <w:tc>
          <w:tcPr>
            <w:tcW w:w="851" w:type="dxa"/>
            <w:tcBorders>
              <w:top w:val="single" w:sz="4" w:space="0" w:color="385623" w:themeColor="accent6" w:themeShade="80"/>
              <w:left w:val="dotted" w:sz="4" w:space="0" w:color="385623" w:themeColor="accent6" w:themeShade="80"/>
              <w:bottom w:val="single" w:sz="4" w:space="0" w:color="385623" w:themeColor="accent6" w:themeShade="80"/>
              <w:right w:val="nil"/>
            </w:tcBorders>
            <w:shd w:val="clear" w:color="auto" w:fill="E2EFD9"/>
            <w:vAlign w:val="center"/>
          </w:tcPr>
          <w:p w14:paraId="1BCD90D1" w14:textId="790EFAB5" w:rsidR="0066547F" w:rsidRPr="006A1361" w:rsidRDefault="0066547F" w:rsidP="0066547F">
            <w:pPr>
              <w:spacing w:before="60" w:after="60" w:line="240" w:lineRule="auto"/>
              <w:jc w:val="right"/>
              <w:rPr>
                <w:rFonts w:cs="Calibri"/>
                <w:b/>
                <w:bCs/>
                <w:color w:val="000000"/>
                <w:sz w:val="17"/>
                <w:szCs w:val="17"/>
                <w:lang w:val="en-GB"/>
              </w:rPr>
            </w:pPr>
            <w:r>
              <w:rPr>
                <w:rFonts w:cs="Calibri"/>
                <w:b/>
                <w:bCs/>
                <w:color w:val="000000"/>
                <w:sz w:val="17"/>
                <w:szCs w:val="17"/>
              </w:rPr>
              <w:t>1</w:t>
            </w:r>
            <w:r w:rsidRPr="0066547F">
              <w:rPr>
                <w:rFonts w:cs="Calibri"/>
                <w:b/>
                <w:bCs/>
                <w:color w:val="000000"/>
                <w:sz w:val="17"/>
                <w:szCs w:val="17"/>
                <w:vertAlign w:val="superscript"/>
              </w:rPr>
              <w:t>ο</w:t>
            </w:r>
            <w:r>
              <w:rPr>
                <w:rFonts w:cs="Calibri"/>
                <w:b/>
                <w:bCs/>
                <w:color w:val="000000"/>
                <w:sz w:val="17"/>
                <w:szCs w:val="17"/>
              </w:rPr>
              <w:t xml:space="preserve"> εξ. </w:t>
            </w:r>
            <w:r w:rsidRPr="006A1361">
              <w:rPr>
                <w:rFonts w:cs="Calibri"/>
                <w:b/>
                <w:bCs/>
                <w:color w:val="000000"/>
                <w:sz w:val="17"/>
                <w:szCs w:val="17"/>
              </w:rPr>
              <w:t xml:space="preserve"> 2024</w:t>
            </w:r>
          </w:p>
        </w:tc>
        <w:tc>
          <w:tcPr>
            <w:tcW w:w="850" w:type="dxa"/>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000000" w:fill="FFFFFF"/>
            <w:vAlign w:val="center"/>
            <w:hideMark/>
          </w:tcPr>
          <w:p w14:paraId="38396C68" w14:textId="3793F152" w:rsidR="0066547F" w:rsidRPr="006A1361" w:rsidRDefault="0066547F" w:rsidP="0066547F">
            <w:pPr>
              <w:spacing w:before="60" w:after="60" w:line="240" w:lineRule="auto"/>
              <w:jc w:val="right"/>
              <w:rPr>
                <w:rFonts w:cs="Calibri"/>
                <w:b/>
                <w:bCs/>
                <w:color w:val="000000"/>
                <w:sz w:val="17"/>
                <w:szCs w:val="17"/>
                <w:lang w:val="en-GB"/>
              </w:rPr>
            </w:pPr>
            <w:r>
              <w:rPr>
                <w:rFonts w:cs="Calibri"/>
                <w:b/>
                <w:bCs/>
                <w:color w:val="000000"/>
                <w:sz w:val="17"/>
                <w:szCs w:val="17"/>
              </w:rPr>
              <w:t>1</w:t>
            </w:r>
            <w:r>
              <w:rPr>
                <w:rFonts w:cs="Calibri"/>
                <w:b/>
                <w:bCs/>
                <w:color w:val="000000"/>
                <w:sz w:val="17"/>
                <w:szCs w:val="17"/>
                <w:vertAlign w:val="superscript"/>
              </w:rPr>
              <w:t xml:space="preserve">ο </w:t>
            </w:r>
            <w:r>
              <w:rPr>
                <w:rFonts w:cs="Calibri"/>
                <w:b/>
                <w:bCs/>
                <w:color w:val="000000"/>
                <w:sz w:val="17"/>
                <w:szCs w:val="17"/>
              </w:rPr>
              <w:t>εξ</w:t>
            </w:r>
            <w:r w:rsidRPr="006A1361">
              <w:rPr>
                <w:rFonts w:cs="Calibri"/>
                <w:b/>
                <w:bCs/>
                <w:color w:val="000000"/>
                <w:sz w:val="17"/>
                <w:szCs w:val="17"/>
              </w:rPr>
              <w:t xml:space="preserve"> 2023</w:t>
            </w:r>
          </w:p>
        </w:tc>
      </w:tr>
      <w:tr w:rsidR="00F60A44" w:rsidRPr="006A1361" w14:paraId="62D276B5" w14:textId="77777777" w:rsidTr="0066547F">
        <w:trPr>
          <w:trHeight w:val="300"/>
        </w:trPr>
        <w:tc>
          <w:tcPr>
            <w:tcW w:w="1560"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hideMark/>
          </w:tcPr>
          <w:p w14:paraId="482FA22E" w14:textId="3A85F270" w:rsidR="00F60A44" w:rsidRPr="008414D9" w:rsidRDefault="00F60A44" w:rsidP="00F60A44">
            <w:pPr>
              <w:spacing w:after="0" w:line="288" w:lineRule="auto"/>
              <w:rPr>
                <w:rFonts w:eastAsia="Times New Roman" w:cs="Calibri"/>
                <w:bCs/>
                <w:sz w:val="17"/>
                <w:szCs w:val="17"/>
                <w:lang w:val="en-GB" w:eastAsia="el-GR"/>
              </w:rPr>
            </w:pPr>
            <w:r w:rsidRPr="005460AF">
              <w:rPr>
                <w:rFonts w:eastAsia="Times New Roman" w:cs="Calibri"/>
                <w:bCs/>
                <w:sz w:val="18"/>
                <w:szCs w:val="18"/>
                <w:lang w:eastAsia="el-GR"/>
              </w:rPr>
              <w:t xml:space="preserve">Καλώδια </w:t>
            </w:r>
          </w:p>
        </w:tc>
        <w:tc>
          <w:tcPr>
            <w:tcW w:w="992"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666D8CDC" w14:textId="082AFAA3"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560</w:t>
            </w:r>
            <w:r w:rsidR="0066547F">
              <w:rPr>
                <w:rFonts w:cs="Calibri"/>
                <w:color w:val="000000"/>
                <w:sz w:val="18"/>
                <w:szCs w:val="18"/>
              </w:rPr>
              <w:t>.</w:t>
            </w:r>
            <w:r w:rsidRPr="0045480C">
              <w:rPr>
                <w:rFonts w:cs="Calibri"/>
                <w:color w:val="000000"/>
                <w:sz w:val="18"/>
                <w:szCs w:val="18"/>
              </w:rPr>
              <w:t>086</w:t>
            </w:r>
          </w:p>
        </w:tc>
        <w:tc>
          <w:tcPr>
            <w:tcW w:w="850"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13C1BF13" w14:textId="3EF9D40B"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493</w:t>
            </w:r>
            <w:r w:rsidR="0066547F">
              <w:rPr>
                <w:rFonts w:cs="Calibri"/>
                <w:color w:val="000000"/>
                <w:sz w:val="18"/>
                <w:szCs w:val="18"/>
              </w:rPr>
              <w:t>.</w:t>
            </w:r>
            <w:r w:rsidRPr="0045480C">
              <w:rPr>
                <w:rFonts w:cs="Calibri"/>
                <w:color w:val="000000"/>
                <w:sz w:val="18"/>
                <w:szCs w:val="18"/>
              </w:rPr>
              <w:t>281</w:t>
            </w:r>
          </w:p>
        </w:tc>
        <w:tc>
          <w:tcPr>
            <w:tcW w:w="851"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vAlign w:val="center"/>
          </w:tcPr>
          <w:p w14:paraId="0ACBE5A4" w14:textId="4C72AC16"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81</w:t>
            </w:r>
            <w:r w:rsidR="0066547F">
              <w:rPr>
                <w:rFonts w:cs="Calibri"/>
                <w:color w:val="000000"/>
                <w:sz w:val="18"/>
                <w:szCs w:val="18"/>
              </w:rPr>
              <w:t>.</w:t>
            </w:r>
            <w:r w:rsidRPr="0045480C">
              <w:rPr>
                <w:rFonts w:cs="Calibri"/>
                <w:color w:val="000000"/>
                <w:sz w:val="18"/>
                <w:szCs w:val="18"/>
              </w:rPr>
              <w:t>125</w:t>
            </w:r>
          </w:p>
        </w:tc>
        <w:tc>
          <w:tcPr>
            <w:tcW w:w="850"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auto" w:fill="auto"/>
            <w:vAlign w:val="center"/>
          </w:tcPr>
          <w:p w14:paraId="4B357EB9" w14:textId="7A86D759"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52</w:t>
            </w:r>
            <w:r w:rsidR="0066547F">
              <w:rPr>
                <w:rFonts w:cs="Calibri"/>
                <w:color w:val="000000"/>
                <w:sz w:val="18"/>
                <w:szCs w:val="18"/>
              </w:rPr>
              <w:t>.</w:t>
            </w:r>
            <w:r w:rsidRPr="0045480C">
              <w:rPr>
                <w:rFonts w:cs="Calibri"/>
                <w:color w:val="000000"/>
                <w:sz w:val="18"/>
                <w:szCs w:val="18"/>
              </w:rPr>
              <w:t>581</w:t>
            </w:r>
          </w:p>
        </w:tc>
        <w:tc>
          <w:tcPr>
            <w:tcW w:w="851"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5E4B573F" w14:textId="06BCDEC3"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79</w:t>
            </w:r>
            <w:r w:rsidR="0066547F">
              <w:rPr>
                <w:rFonts w:cs="Calibri"/>
                <w:color w:val="000000"/>
                <w:sz w:val="18"/>
                <w:szCs w:val="18"/>
              </w:rPr>
              <w:t>.</w:t>
            </w:r>
            <w:r w:rsidRPr="0045480C">
              <w:rPr>
                <w:rFonts w:cs="Calibri"/>
                <w:color w:val="000000"/>
                <w:sz w:val="18"/>
                <w:szCs w:val="18"/>
              </w:rPr>
              <w:t>385</w:t>
            </w:r>
          </w:p>
        </w:tc>
        <w:tc>
          <w:tcPr>
            <w:tcW w:w="850"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0B5EF623" w14:textId="25A9821A"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59</w:t>
            </w:r>
            <w:r w:rsidR="0066547F">
              <w:rPr>
                <w:rFonts w:cs="Calibri"/>
                <w:color w:val="000000"/>
                <w:sz w:val="18"/>
                <w:szCs w:val="18"/>
              </w:rPr>
              <w:t>.</w:t>
            </w:r>
            <w:r w:rsidRPr="0045480C">
              <w:rPr>
                <w:rFonts w:cs="Calibri"/>
                <w:color w:val="000000"/>
                <w:sz w:val="18"/>
                <w:szCs w:val="18"/>
              </w:rPr>
              <w:t>446</w:t>
            </w:r>
          </w:p>
        </w:tc>
        <w:tc>
          <w:tcPr>
            <w:tcW w:w="851"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551565EB" w14:textId="1F874EFD"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69</w:t>
            </w:r>
            <w:r w:rsidR="0066547F">
              <w:rPr>
                <w:rFonts w:cs="Calibri"/>
                <w:color w:val="000000"/>
                <w:sz w:val="18"/>
                <w:szCs w:val="18"/>
              </w:rPr>
              <w:t>.</w:t>
            </w:r>
            <w:r w:rsidRPr="0045480C">
              <w:rPr>
                <w:rFonts w:cs="Calibri"/>
                <w:color w:val="000000"/>
                <w:sz w:val="18"/>
                <w:szCs w:val="18"/>
              </w:rPr>
              <w:t>540</w:t>
            </w:r>
          </w:p>
        </w:tc>
        <w:tc>
          <w:tcPr>
            <w:tcW w:w="850"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30F3D3F8" w14:textId="69123C9F"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42</w:t>
            </w:r>
            <w:r w:rsidR="0066547F">
              <w:rPr>
                <w:rFonts w:cs="Calibri"/>
                <w:color w:val="000000"/>
                <w:sz w:val="18"/>
                <w:szCs w:val="18"/>
              </w:rPr>
              <w:t>.</w:t>
            </w:r>
            <w:r w:rsidRPr="0045480C">
              <w:rPr>
                <w:rFonts w:cs="Calibri"/>
                <w:color w:val="000000"/>
                <w:sz w:val="18"/>
                <w:szCs w:val="18"/>
              </w:rPr>
              <w:t>839</w:t>
            </w:r>
          </w:p>
        </w:tc>
        <w:tc>
          <w:tcPr>
            <w:tcW w:w="851"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1517A4A4" w14:textId="23C48EFB"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47</w:t>
            </w:r>
            <w:r w:rsidR="0066547F">
              <w:rPr>
                <w:rFonts w:cs="Calibri"/>
                <w:color w:val="000000"/>
                <w:sz w:val="18"/>
                <w:szCs w:val="18"/>
              </w:rPr>
              <w:t>.</w:t>
            </w:r>
            <w:r w:rsidRPr="0045480C">
              <w:rPr>
                <w:rFonts w:cs="Calibri"/>
                <w:color w:val="000000"/>
                <w:sz w:val="18"/>
                <w:szCs w:val="18"/>
              </w:rPr>
              <w:t>088</w:t>
            </w:r>
          </w:p>
        </w:tc>
        <w:tc>
          <w:tcPr>
            <w:tcW w:w="850"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4713EF5C" w14:textId="73CE4B29"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21</w:t>
            </w:r>
            <w:r w:rsidR="0066547F">
              <w:rPr>
                <w:rFonts w:cs="Calibri"/>
                <w:color w:val="000000"/>
                <w:sz w:val="18"/>
                <w:szCs w:val="18"/>
              </w:rPr>
              <w:t>.</w:t>
            </w:r>
            <w:r w:rsidRPr="0045480C">
              <w:rPr>
                <w:rFonts w:cs="Calibri"/>
                <w:color w:val="000000"/>
                <w:sz w:val="18"/>
                <w:szCs w:val="18"/>
              </w:rPr>
              <w:t>301</w:t>
            </w:r>
          </w:p>
        </w:tc>
      </w:tr>
      <w:tr w:rsidR="00F60A44" w:rsidRPr="006A1361" w14:paraId="58745175" w14:textId="77777777" w:rsidTr="0066547F">
        <w:trPr>
          <w:trHeight w:val="300"/>
        </w:trPr>
        <w:tc>
          <w:tcPr>
            <w:tcW w:w="1560" w:type="dxa"/>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000000" w:fill="FFFFFF"/>
            <w:noWrap/>
            <w:vAlign w:val="center"/>
            <w:hideMark/>
          </w:tcPr>
          <w:p w14:paraId="3F20F93C" w14:textId="3F784C35" w:rsidR="00F60A44" w:rsidRPr="008414D9" w:rsidRDefault="00F60A44" w:rsidP="00F60A44">
            <w:pPr>
              <w:spacing w:after="0" w:line="288" w:lineRule="auto"/>
              <w:rPr>
                <w:rFonts w:eastAsia="Times New Roman" w:cs="Calibri"/>
                <w:bCs/>
                <w:sz w:val="17"/>
                <w:szCs w:val="17"/>
                <w:lang w:val="en-GB" w:eastAsia="el-GR"/>
              </w:rPr>
            </w:pPr>
            <w:r w:rsidRPr="005460AF">
              <w:rPr>
                <w:rFonts w:eastAsia="Times New Roman" w:cs="Calibri"/>
                <w:bCs/>
                <w:sz w:val="18"/>
                <w:szCs w:val="18"/>
                <w:lang w:eastAsia="el-GR"/>
              </w:rPr>
              <w:t xml:space="preserve">Σωλήνες </w:t>
            </w:r>
            <w:r>
              <w:rPr>
                <w:rFonts w:eastAsia="Times New Roman" w:cs="Calibri"/>
                <w:bCs/>
                <w:sz w:val="18"/>
                <w:szCs w:val="18"/>
                <w:lang w:eastAsia="el-GR"/>
              </w:rPr>
              <w:t>Χ</w:t>
            </w:r>
            <w:r w:rsidRPr="005460AF">
              <w:rPr>
                <w:rFonts w:eastAsia="Times New Roman" w:cs="Calibri"/>
                <w:bCs/>
                <w:sz w:val="18"/>
                <w:szCs w:val="18"/>
                <w:lang w:eastAsia="el-GR"/>
              </w:rPr>
              <w:t>άλυβα</w:t>
            </w:r>
          </w:p>
        </w:tc>
        <w:tc>
          <w:tcPr>
            <w:tcW w:w="992" w:type="dxa"/>
            <w:tcBorders>
              <w:top w:val="single" w:sz="4" w:space="0" w:color="385623" w:themeColor="accent6" w:themeShade="80"/>
              <w:left w:val="dotted" w:sz="4" w:space="0" w:color="385623" w:themeColor="accent6" w:themeShade="80"/>
              <w:bottom w:val="single" w:sz="4" w:space="0" w:color="538135" w:themeColor="accent6" w:themeShade="BF"/>
              <w:right w:val="nil"/>
            </w:tcBorders>
            <w:shd w:val="clear" w:color="auto" w:fill="E2EFD9"/>
            <w:noWrap/>
            <w:vAlign w:val="center"/>
          </w:tcPr>
          <w:p w14:paraId="6F0659D2" w14:textId="2477E4B1"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252</w:t>
            </w:r>
            <w:r w:rsidR="0066547F">
              <w:rPr>
                <w:rFonts w:cs="Calibri"/>
                <w:color w:val="000000"/>
                <w:sz w:val="18"/>
                <w:szCs w:val="18"/>
              </w:rPr>
              <w:t>.</w:t>
            </w:r>
            <w:r w:rsidRPr="0045480C">
              <w:rPr>
                <w:rFonts w:cs="Calibri"/>
                <w:color w:val="000000"/>
                <w:sz w:val="18"/>
                <w:szCs w:val="18"/>
              </w:rPr>
              <w:t>071</w:t>
            </w:r>
          </w:p>
        </w:tc>
        <w:tc>
          <w:tcPr>
            <w:tcW w:w="850" w:type="dxa"/>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000000" w:fill="FFFFFF"/>
            <w:noWrap/>
            <w:vAlign w:val="center"/>
          </w:tcPr>
          <w:p w14:paraId="61B0C420" w14:textId="2AA6C873"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304</w:t>
            </w:r>
            <w:r w:rsidR="0066547F">
              <w:rPr>
                <w:rFonts w:cs="Calibri"/>
                <w:color w:val="000000"/>
                <w:sz w:val="18"/>
                <w:szCs w:val="18"/>
              </w:rPr>
              <w:t>.</w:t>
            </w:r>
            <w:r w:rsidRPr="0045480C">
              <w:rPr>
                <w:rFonts w:cs="Calibri"/>
                <w:color w:val="000000"/>
                <w:sz w:val="18"/>
                <w:szCs w:val="18"/>
              </w:rPr>
              <w:t>991</w:t>
            </w:r>
          </w:p>
        </w:tc>
        <w:tc>
          <w:tcPr>
            <w:tcW w:w="851" w:type="dxa"/>
            <w:tcBorders>
              <w:top w:val="single" w:sz="4" w:space="0" w:color="385623" w:themeColor="accent6" w:themeShade="80"/>
              <w:left w:val="dotted" w:sz="4" w:space="0" w:color="385623" w:themeColor="accent6" w:themeShade="80"/>
              <w:bottom w:val="single" w:sz="4" w:space="0" w:color="538135" w:themeColor="accent6" w:themeShade="BF"/>
              <w:right w:val="nil"/>
            </w:tcBorders>
            <w:shd w:val="clear" w:color="auto" w:fill="E2EFD9"/>
            <w:vAlign w:val="center"/>
          </w:tcPr>
          <w:p w14:paraId="5560DCC3" w14:textId="1D3A5F0A"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4</w:t>
            </w:r>
            <w:r w:rsidR="00DF6E79">
              <w:rPr>
                <w:rFonts w:cs="Calibri"/>
                <w:color w:val="000000"/>
                <w:sz w:val="18"/>
                <w:szCs w:val="18"/>
              </w:rPr>
              <w:t>0</w:t>
            </w:r>
            <w:r w:rsidR="0066547F">
              <w:rPr>
                <w:rFonts w:cs="Calibri"/>
                <w:color w:val="000000"/>
                <w:sz w:val="18"/>
                <w:szCs w:val="18"/>
              </w:rPr>
              <w:t>.</w:t>
            </w:r>
            <w:r w:rsidR="00DF6E79">
              <w:rPr>
                <w:rFonts w:cs="Calibri"/>
                <w:color w:val="000000"/>
                <w:sz w:val="18"/>
                <w:szCs w:val="18"/>
              </w:rPr>
              <w:t>583</w:t>
            </w:r>
          </w:p>
        </w:tc>
        <w:tc>
          <w:tcPr>
            <w:tcW w:w="850" w:type="dxa"/>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auto" w:fill="auto"/>
            <w:vAlign w:val="center"/>
          </w:tcPr>
          <w:p w14:paraId="0001F637" w14:textId="16ED79F7"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27</w:t>
            </w:r>
            <w:r w:rsidR="0066547F">
              <w:rPr>
                <w:rFonts w:cs="Calibri"/>
                <w:color w:val="000000"/>
                <w:sz w:val="18"/>
                <w:szCs w:val="18"/>
              </w:rPr>
              <w:t>.</w:t>
            </w:r>
            <w:r w:rsidRPr="0045480C">
              <w:rPr>
                <w:rFonts w:cs="Calibri"/>
                <w:color w:val="000000"/>
                <w:sz w:val="18"/>
                <w:szCs w:val="18"/>
              </w:rPr>
              <w:t>034</w:t>
            </w:r>
          </w:p>
        </w:tc>
        <w:tc>
          <w:tcPr>
            <w:tcW w:w="851" w:type="dxa"/>
            <w:tcBorders>
              <w:top w:val="single" w:sz="4" w:space="0" w:color="385623" w:themeColor="accent6" w:themeShade="80"/>
              <w:left w:val="dotted" w:sz="4" w:space="0" w:color="385623" w:themeColor="accent6" w:themeShade="80"/>
              <w:bottom w:val="single" w:sz="4" w:space="0" w:color="538135" w:themeColor="accent6" w:themeShade="BF"/>
              <w:right w:val="nil"/>
            </w:tcBorders>
            <w:shd w:val="clear" w:color="auto" w:fill="E2EFD9"/>
            <w:noWrap/>
            <w:vAlign w:val="center"/>
          </w:tcPr>
          <w:p w14:paraId="664F597F" w14:textId="342B7C2A"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4</w:t>
            </w:r>
            <w:r w:rsidR="00DF6E79">
              <w:rPr>
                <w:rFonts w:cs="Calibri"/>
                <w:color w:val="000000"/>
                <w:sz w:val="18"/>
                <w:szCs w:val="18"/>
              </w:rPr>
              <w:t>0</w:t>
            </w:r>
            <w:r w:rsidR="0066547F">
              <w:rPr>
                <w:rFonts w:cs="Calibri"/>
                <w:color w:val="000000"/>
                <w:sz w:val="18"/>
                <w:szCs w:val="18"/>
              </w:rPr>
              <w:t>.</w:t>
            </w:r>
            <w:r w:rsidR="00DF6E79">
              <w:rPr>
                <w:rFonts w:cs="Calibri"/>
                <w:color w:val="000000"/>
                <w:sz w:val="18"/>
                <w:szCs w:val="18"/>
              </w:rPr>
              <w:t>583</w:t>
            </w:r>
          </w:p>
        </w:tc>
        <w:tc>
          <w:tcPr>
            <w:tcW w:w="850" w:type="dxa"/>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000000" w:fill="FFFFFF"/>
            <w:noWrap/>
            <w:vAlign w:val="center"/>
          </w:tcPr>
          <w:p w14:paraId="0D293BDA" w14:textId="178F3F19"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27</w:t>
            </w:r>
            <w:r w:rsidR="0066547F">
              <w:rPr>
                <w:rFonts w:cs="Calibri"/>
                <w:color w:val="000000"/>
                <w:sz w:val="18"/>
                <w:szCs w:val="18"/>
              </w:rPr>
              <w:t>.</w:t>
            </w:r>
            <w:r w:rsidRPr="0045480C">
              <w:rPr>
                <w:rFonts w:cs="Calibri"/>
                <w:color w:val="000000"/>
                <w:sz w:val="18"/>
                <w:szCs w:val="18"/>
              </w:rPr>
              <w:t>034</w:t>
            </w:r>
          </w:p>
        </w:tc>
        <w:tc>
          <w:tcPr>
            <w:tcW w:w="851" w:type="dxa"/>
            <w:tcBorders>
              <w:top w:val="single" w:sz="4" w:space="0" w:color="385623" w:themeColor="accent6" w:themeShade="80"/>
              <w:left w:val="dotted" w:sz="4" w:space="0" w:color="385623" w:themeColor="accent6" w:themeShade="80"/>
              <w:bottom w:val="single" w:sz="4" w:space="0" w:color="538135" w:themeColor="accent6" w:themeShade="BF"/>
              <w:right w:val="nil"/>
            </w:tcBorders>
            <w:shd w:val="clear" w:color="auto" w:fill="E2EFD9"/>
            <w:noWrap/>
            <w:vAlign w:val="center"/>
          </w:tcPr>
          <w:p w14:paraId="01E9CBF4" w14:textId="2A409E0D"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3</w:t>
            </w:r>
            <w:r w:rsidR="00DF6E79">
              <w:rPr>
                <w:rFonts w:cs="Calibri"/>
                <w:color w:val="000000"/>
                <w:sz w:val="18"/>
                <w:szCs w:val="18"/>
              </w:rPr>
              <w:t>5</w:t>
            </w:r>
            <w:r w:rsidR="0066547F">
              <w:rPr>
                <w:rFonts w:cs="Calibri"/>
                <w:color w:val="000000"/>
                <w:sz w:val="18"/>
                <w:szCs w:val="18"/>
              </w:rPr>
              <w:t>.</w:t>
            </w:r>
            <w:r w:rsidR="00DF6E79">
              <w:rPr>
                <w:rFonts w:cs="Calibri"/>
                <w:color w:val="000000"/>
                <w:sz w:val="18"/>
                <w:szCs w:val="18"/>
              </w:rPr>
              <w:t>604</w:t>
            </w:r>
          </w:p>
        </w:tc>
        <w:tc>
          <w:tcPr>
            <w:tcW w:w="850" w:type="dxa"/>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000000" w:fill="FFFFFF"/>
            <w:noWrap/>
            <w:vAlign w:val="center"/>
          </w:tcPr>
          <w:p w14:paraId="0141F423" w14:textId="1FD8876F"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22</w:t>
            </w:r>
            <w:r w:rsidR="0066547F">
              <w:rPr>
                <w:rFonts w:cs="Calibri"/>
                <w:color w:val="000000"/>
                <w:sz w:val="18"/>
                <w:szCs w:val="18"/>
              </w:rPr>
              <w:t>.</w:t>
            </w:r>
            <w:r w:rsidRPr="0045480C">
              <w:rPr>
                <w:rFonts w:cs="Calibri"/>
                <w:color w:val="000000"/>
                <w:sz w:val="18"/>
                <w:szCs w:val="18"/>
              </w:rPr>
              <w:t>281</w:t>
            </w:r>
          </w:p>
        </w:tc>
        <w:tc>
          <w:tcPr>
            <w:tcW w:w="851" w:type="dxa"/>
            <w:tcBorders>
              <w:top w:val="single" w:sz="4" w:space="0" w:color="385623" w:themeColor="accent6" w:themeShade="80"/>
              <w:left w:val="dotted" w:sz="4" w:space="0" w:color="385623" w:themeColor="accent6" w:themeShade="80"/>
              <w:bottom w:val="single" w:sz="4" w:space="0" w:color="538135" w:themeColor="accent6" w:themeShade="BF"/>
              <w:right w:val="nil"/>
            </w:tcBorders>
            <w:shd w:val="clear" w:color="auto" w:fill="E2EFD9"/>
            <w:noWrap/>
            <w:vAlign w:val="center"/>
          </w:tcPr>
          <w:p w14:paraId="5A3F8170" w14:textId="1718FCD3"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26</w:t>
            </w:r>
            <w:r w:rsidR="0066547F">
              <w:rPr>
                <w:rFonts w:cs="Calibri"/>
                <w:color w:val="000000"/>
                <w:sz w:val="18"/>
                <w:szCs w:val="18"/>
              </w:rPr>
              <w:t>.</w:t>
            </w:r>
            <w:r w:rsidR="00DF6E79">
              <w:rPr>
                <w:rFonts w:cs="Calibri"/>
                <w:color w:val="000000"/>
                <w:sz w:val="18"/>
                <w:szCs w:val="18"/>
              </w:rPr>
              <w:t>220</w:t>
            </w:r>
          </w:p>
        </w:tc>
        <w:tc>
          <w:tcPr>
            <w:tcW w:w="850" w:type="dxa"/>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000000" w:fill="FFFFFF"/>
            <w:noWrap/>
            <w:vAlign w:val="center"/>
          </w:tcPr>
          <w:p w14:paraId="5155824B" w14:textId="4BED07A8"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9</w:t>
            </w:r>
            <w:r w:rsidR="0066547F">
              <w:rPr>
                <w:rFonts w:cs="Calibri"/>
                <w:color w:val="000000"/>
                <w:sz w:val="18"/>
                <w:szCs w:val="18"/>
              </w:rPr>
              <w:t>.</w:t>
            </w:r>
            <w:r w:rsidRPr="0045480C">
              <w:rPr>
                <w:rFonts w:cs="Calibri"/>
                <w:color w:val="000000"/>
                <w:sz w:val="18"/>
                <w:szCs w:val="18"/>
              </w:rPr>
              <w:t>846</w:t>
            </w:r>
          </w:p>
        </w:tc>
      </w:tr>
      <w:tr w:rsidR="00F60A44" w:rsidRPr="006A1361" w14:paraId="41DCF138" w14:textId="77777777" w:rsidTr="0066547F">
        <w:trPr>
          <w:trHeight w:val="300"/>
        </w:trPr>
        <w:tc>
          <w:tcPr>
            <w:tcW w:w="1560"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hideMark/>
          </w:tcPr>
          <w:p w14:paraId="0165EA06" w14:textId="60ABFCC3" w:rsidR="00F60A44" w:rsidRPr="008414D9" w:rsidRDefault="00F60A44" w:rsidP="00F60A44">
            <w:pPr>
              <w:spacing w:after="0" w:line="288" w:lineRule="auto"/>
              <w:rPr>
                <w:rFonts w:eastAsia="Times New Roman" w:cs="Calibri"/>
                <w:bCs/>
                <w:sz w:val="17"/>
                <w:szCs w:val="17"/>
                <w:lang w:val="en-GB" w:eastAsia="el-GR"/>
              </w:rPr>
            </w:pPr>
            <w:r w:rsidRPr="005460AF">
              <w:rPr>
                <w:rFonts w:eastAsia="Times New Roman" w:cs="Calibri"/>
                <w:bCs/>
                <w:sz w:val="18"/>
                <w:szCs w:val="18"/>
                <w:lang w:eastAsia="el-GR"/>
              </w:rPr>
              <w:t>Λοιπές δραστηριότητες</w:t>
            </w:r>
          </w:p>
        </w:tc>
        <w:tc>
          <w:tcPr>
            <w:tcW w:w="992"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3DCF869A" w14:textId="39253CFC" w:rsidR="00F60A44" w:rsidRPr="0045480C" w:rsidRDefault="00F60A44" w:rsidP="00F60A44">
            <w:pPr>
              <w:spacing w:after="0" w:line="288" w:lineRule="auto"/>
              <w:jc w:val="right"/>
              <w:rPr>
                <w:rFonts w:cs="Calibri"/>
                <w:color w:val="000000"/>
                <w:sz w:val="18"/>
                <w:szCs w:val="18"/>
                <w:lang w:val="en-GB"/>
              </w:rPr>
            </w:pPr>
            <w:r>
              <w:rPr>
                <w:rFonts w:cs="Calibri"/>
                <w:color w:val="000000"/>
                <w:sz w:val="18"/>
                <w:szCs w:val="18"/>
              </w:rPr>
              <w:t>-</w:t>
            </w:r>
            <w:r w:rsidRPr="0045480C">
              <w:rPr>
                <w:rFonts w:cs="Calibri"/>
                <w:color w:val="000000"/>
                <w:sz w:val="18"/>
                <w:szCs w:val="18"/>
              </w:rPr>
              <w:t> </w:t>
            </w:r>
          </w:p>
        </w:tc>
        <w:tc>
          <w:tcPr>
            <w:tcW w:w="850"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5D6B920B" w14:textId="64A15F32" w:rsidR="00F60A44" w:rsidRPr="0045480C" w:rsidRDefault="00F60A44" w:rsidP="00F60A44">
            <w:pPr>
              <w:spacing w:after="0" w:line="288" w:lineRule="auto"/>
              <w:jc w:val="right"/>
              <w:rPr>
                <w:rFonts w:cs="Calibri"/>
                <w:color w:val="000000"/>
                <w:sz w:val="18"/>
                <w:szCs w:val="18"/>
                <w:lang w:val="en-GB"/>
              </w:rPr>
            </w:pPr>
            <w:r>
              <w:rPr>
                <w:rFonts w:cs="Calibri"/>
                <w:color w:val="000000"/>
                <w:sz w:val="18"/>
                <w:szCs w:val="18"/>
              </w:rPr>
              <w:t>-</w:t>
            </w:r>
            <w:r w:rsidRPr="0045480C">
              <w:rPr>
                <w:rFonts w:cs="Calibri"/>
                <w:color w:val="000000"/>
                <w:sz w:val="18"/>
                <w:szCs w:val="18"/>
              </w:rPr>
              <w:t> </w:t>
            </w:r>
          </w:p>
        </w:tc>
        <w:tc>
          <w:tcPr>
            <w:tcW w:w="851"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vAlign w:val="center"/>
          </w:tcPr>
          <w:p w14:paraId="02CE9BF9" w14:textId="3754CF0F"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(511)</w:t>
            </w:r>
          </w:p>
        </w:tc>
        <w:tc>
          <w:tcPr>
            <w:tcW w:w="850"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auto" w:fill="auto"/>
            <w:vAlign w:val="center"/>
          </w:tcPr>
          <w:p w14:paraId="4B42491E" w14:textId="29BCA6B3"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(367)</w:t>
            </w:r>
          </w:p>
        </w:tc>
        <w:tc>
          <w:tcPr>
            <w:tcW w:w="851"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48FBDD71" w14:textId="3E0BD384"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(511)</w:t>
            </w:r>
          </w:p>
        </w:tc>
        <w:tc>
          <w:tcPr>
            <w:tcW w:w="850"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016B04DB" w14:textId="2C37EE37"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(367)</w:t>
            </w:r>
          </w:p>
        </w:tc>
        <w:tc>
          <w:tcPr>
            <w:tcW w:w="851"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01A60002" w14:textId="23CEF1C7"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(515)</w:t>
            </w:r>
          </w:p>
        </w:tc>
        <w:tc>
          <w:tcPr>
            <w:tcW w:w="850"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585AF3EA" w14:textId="02CAA74E"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(373)</w:t>
            </w:r>
          </w:p>
        </w:tc>
        <w:tc>
          <w:tcPr>
            <w:tcW w:w="851" w:type="dxa"/>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344C3D46" w14:textId="7858DC49"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(425)</w:t>
            </w:r>
          </w:p>
        </w:tc>
        <w:tc>
          <w:tcPr>
            <w:tcW w:w="850" w:type="dxa"/>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6BD768D0" w14:textId="3D498FEB" w:rsidR="00F60A44" w:rsidRPr="0045480C" w:rsidRDefault="00F60A44" w:rsidP="00F60A44">
            <w:pPr>
              <w:spacing w:after="0" w:line="288" w:lineRule="auto"/>
              <w:jc w:val="right"/>
              <w:rPr>
                <w:rFonts w:cs="Calibri"/>
                <w:color w:val="000000"/>
                <w:sz w:val="18"/>
                <w:szCs w:val="18"/>
                <w:lang w:val="en-GB"/>
              </w:rPr>
            </w:pPr>
            <w:r w:rsidRPr="0045480C">
              <w:rPr>
                <w:rFonts w:cs="Calibri"/>
                <w:color w:val="000000"/>
                <w:sz w:val="18"/>
                <w:szCs w:val="18"/>
              </w:rPr>
              <w:t>(294)</w:t>
            </w:r>
          </w:p>
        </w:tc>
      </w:tr>
      <w:tr w:rsidR="00F60A44" w:rsidRPr="006A1361" w14:paraId="319F5953" w14:textId="77777777" w:rsidTr="0066547F">
        <w:trPr>
          <w:trHeight w:val="300"/>
        </w:trPr>
        <w:tc>
          <w:tcPr>
            <w:tcW w:w="1560" w:type="dxa"/>
            <w:tcBorders>
              <w:top w:val="single" w:sz="4" w:space="0" w:color="538135" w:themeColor="accent6" w:themeShade="BF"/>
              <w:left w:val="nil"/>
              <w:bottom w:val="single" w:sz="4" w:space="0" w:color="385623" w:themeColor="accent6" w:themeShade="80"/>
              <w:right w:val="dotted" w:sz="4" w:space="0" w:color="385623" w:themeColor="accent6" w:themeShade="80"/>
            </w:tcBorders>
            <w:shd w:val="clear" w:color="auto" w:fill="auto"/>
            <w:noWrap/>
            <w:vAlign w:val="center"/>
            <w:hideMark/>
          </w:tcPr>
          <w:p w14:paraId="541EBC59" w14:textId="1CD42384" w:rsidR="00F60A44" w:rsidRPr="008414D9" w:rsidRDefault="00F60A44" w:rsidP="00F60A44">
            <w:pPr>
              <w:spacing w:after="0" w:line="288" w:lineRule="auto"/>
              <w:rPr>
                <w:rFonts w:eastAsia="Times New Roman" w:cs="Calibri"/>
                <w:b/>
                <w:bCs/>
                <w:sz w:val="17"/>
                <w:szCs w:val="17"/>
                <w:lang w:val="en-GB" w:eastAsia="el-GR"/>
              </w:rPr>
            </w:pPr>
            <w:r w:rsidRPr="005460AF">
              <w:rPr>
                <w:rFonts w:eastAsia="Times New Roman" w:cs="Calibri"/>
                <w:b/>
                <w:bCs/>
                <w:sz w:val="18"/>
                <w:szCs w:val="18"/>
                <w:lang w:eastAsia="el-GR"/>
              </w:rPr>
              <w:t>Σύνολο</w:t>
            </w:r>
          </w:p>
        </w:tc>
        <w:tc>
          <w:tcPr>
            <w:tcW w:w="992" w:type="dxa"/>
            <w:tcBorders>
              <w:top w:val="single" w:sz="4" w:space="0" w:color="538135" w:themeColor="accent6" w:themeShade="BF"/>
              <w:left w:val="dotted" w:sz="4" w:space="0" w:color="385623" w:themeColor="accent6" w:themeShade="80"/>
              <w:bottom w:val="single" w:sz="4" w:space="0" w:color="385623" w:themeColor="accent6" w:themeShade="80"/>
              <w:right w:val="nil"/>
            </w:tcBorders>
            <w:shd w:val="clear" w:color="auto" w:fill="E2EFD9"/>
            <w:noWrap/>
            <w:vAlign w:val="center"/>
          </w:tcPr>
          <w:p w14:paraId="3A2C755A" w14:textId="0DC08CAC" w:rsidR="00F60A44" w:rsidRPr="0045480C" w:rsidRDefault="00F60A44" w:rsidP="00F60A44">
            <w:pPr>
              <w:spacing w:after="0" w:line="288" w:lineRule="auto"/>
              <w:jc w:val="right"/>
              <w:rPr>
                <w:rFonts w:cs="Calibri"/>
                <w:b/>
                <w:bCs/>
                <w:color w:val="000000"/>
                <w:sz w:val="18"/>
                <w:szCs w:val="18"/>
                <w:lang w:val="en-GB"/>
              </w:rPr>
            </w:pPr>
            <w:r w:rsidRPr="0045480C">
              <w:rPr>
                <w:rFonts w:cs="Calibri"/>
                <w:b/>
                <w:bCs/>
                <w:color w:val="000000"/>
                <w:sz w:val="18"/>
                <w:szCs w:val="18"/>
              </w:rPr>
              <w:t>812</w:t>
            </w:r>
            <w:r w:rsidR="0066547F">
              <w:rPr>
                <w:rFonts w:cs="Calibri"/>
                <w:b/>
                <w:bCs/>
                <w:color w:val="000000"/>
                <w:sz w:val="18"/>
                <w:szCs w:val="18"/>
              </w:rPr>
              <w:t>.</w:t>
            </w:r>
            <w:r w:rsidRPr="0045480C">
              <w:rPr>
                <w:rFonts w:cs="Calibri"/>
                <w:b/>
                <w:bCs/>
                <w:color w:val="000000"/>
                <w:sz w:val="18"/>
                <w:szCs w:val="18"/>
              </w:rPr>
              <w:t>157</w:t>
            </w:r>
          </w:p>
        </w:tc>
        <w:tc>
          <w:tcPr>
            <w:tcW w:w="850" w:type="dxa"/>
            <w:tcBorders>
              <w:top w:val="single" w:sz="4" w:space="0" w:color="538135" w:themeColor="accent6" w:themeShade="BF"/>
              <w:left w:val="nil"/>
              <w:bottom w:val="single" w:sz="4" w:space="0" w:color="385623" w:themeColor="accent6" w:themeShade="80"/>
              <w:right w:val="dotted" w:sz="4" w:space="0" w:color="385623" w:themeColor="accent6" w:themeShade="80"/>
            </w:tcBorders>
            <w:shd w:val="clear" w:color="auto" w:fill="auto"/>
            <w:noWrap/>
            <w:vAlign w:val="center"/>
          </w:tcPr>
          <w:p w14:paraId="569EE16C" w14:textId="1846720A" w:rsidR="00F60A44" w:rsidRPr="0045480C" w:rsidRDefault="00F60A44" w:rsidP="00F60A44">
            <w:pPr>
              <w:spacing w:after="0" w:line="288" w:lineRule="auto"/>
              <w:jc w:val="right"/>
              <w:rPr>
                <w:rFonts w:cs="Calibri"/>
                <w:b/>
                <w:bCs/>
                <w:color w:val="000000"/>
                <w:sz w:val="18"/>
                <w:szCs w:val="18"/>
                <w:lang w:val="en-GB"/>
              </w:rPr>
            </w:pPr>
            <w:r w:rsidRPr="0045480C">
              <w:rPr>
                <w:rFonts w:cs="Calibri"/>
                <w:b/>
                <w:bCs/>
                <w:color w:val="000000"/>
                <w:sz w:val="18"/>
                <w:szCs w:val="18"/>
              </w:rPr>
              <w:t>798</w:t>
            </w:r>
            <w:r w:rsidR="0066547F">
              <w:rPr>
                <w:rFonts w:cs="Calibri"/>
                <w:b/>
                <w:bCs/>
                <w:color w:val="000000"/>
                <w:sz w:val="18"/>
                <w:szCs w:val="18"/>
              </w:rPr>
              <w:t>.</w:t>
            </w:r>
            <w:r w:rsidRPr="0045480C">
              <w:rPr>
                <w:rFonts w:cs="Calibri"/>
                <w:b/>
                <w:bCs/>
                <w:color w:val="000000"/>
                <w:sz w:val="18"/>
                <w:szCs w:val="18"/>
              </w:rPr>
              <w:t>272</w:t>
            </w:r>
          </w:p>
        </w:tc>
        <w:tc>
          <w:tcPr>
            <w:tcW w:w="851" w:type="dxa"/>
            <w:tcBorders>
              <w:top w:val="single" w:sz="4" w:space="0" w:color="538135" w:themeColor="accent6" w:themeShade="BF"/>
              <w:left w:val="dotted" w:sz="4" w:space="0" w:color="385623" w:themeColor="accent6" w:themeShade="80"/>
              <w:bottom w:val="single" w:sz="4" w:space="0" w:color="385623" w:themeColor="accent6" w:themeShade="80"/>
              <w:right w:val="nil"/>
            </w:tcBorders>
            <w:shd w:val="clear" w:color="auto" w:fill="E2EFD9"/>
            <w:vAlign w:val="center"/>
          </w:tcPr>
          <w:p w14:paraId="283AE35F" w14:textId="60D1C1DB" w:rsidR="00F60A44" w:rsidRPr="0045480C" w:rsidRDefault="00F60A44" w:rsidP="00F60A44">
            <w:pPr>
              <w:spacing w:after="0" w:line="288" w:lineRule="auto"/>
              <w:jc w:val="right"/>
              <w:rPr>
                <w:rFonts w:cs="Calibri"/>
                <w:b/>
                <w:bCs/>
                <w:color w:val="000000"/>
                <w:sz w:val="18"/>
                <w:szCs w:val="18"/>
                <w:lang w:val="en-GB"/>
              </w:rPr>
            </w:pPr>
            <w:r w:rsidRPr="0045480C">
              <w:rPr>
                <w:rFonts w:cs="Calibri"/>
                <w:b/>
                <w:bCs/>
                <w:color w:val="000000"/>
                <w:sz w:val="18"/>
                <w:szCs w:val="18"/>
              </w:rPr>
              <w:t>121</w:t>
            </w:r>
            <w:r w:rsidR="0066547F">
              <w:rPr>
                <w:rFonts w:cs="Calibri"/>
                <w:b/>
                <w:bCs/>
                <w:color w:val="000000"/>
                <w:sz w:val="18"/>
                <w:szCs w:val="18"/>
              </w:rPr>
              <w:t>.</w:t>
            </w:r>
            <w:r w:rsidR="00DF6E79">
              <w:rPr>
                <w:rFonts w:cs="Calibri"/>
                <w:b/>
                <w:bCs/>
                <w:color w:val="000000"/>
                <w:sz w:val="18"/>
                <w:szCs w:val="18"/>
              </w:rPr>
              <w:t>196</w:t>
            </w:r>
          </w:p>
        </w:tc>
        <w:tc>
          <w:tcPr>
            <w:tcW w:w="850" w:type="dxa"/>
            <w:tcBorders>
              <w:top w:val="single" w:sz="4" w:space="0" w:color="538135" w:themeColor="accent6" w:themeShade="BF"/>
              <w:left w:val="nil"/>
              <w:bottom w:val="single" w:sz="4" w:space="0" w:color="385623" w:themeColor="accent6" w:themeShade="80"/>
              <w:right w:val="dotted" w:sz="4" w:space="0" w:color="385623" w:themeColor="accent6" w:themeShade="80"/>
            </w:tcBorders>
            <w:shd w:val="clear" w:color="auto" w:fill="auto"/>
            <w:vAlign w:val="center"/>
          </w:tcPr>
          <w:p w14:paraId="76318601" w14:textId="58DA1550" w:rsidR="00F60A44" w:rsidRPr="0045480C" w:rsidRDefault="00F60A44" w:rsidP="00F60A44">
            <w:pPr>
              <w:spacing w:after="0" w:line="288" w:lineRule="auto"/>
              <w:jc w:val="right"/>
              <w:rPr>
                <w:rFonts w:cs="Calibri"/>
                <w:b/>
                <w:bCs/>
                <w:color w:val="000000"/>
                <w:sz w:val="18"/>
                <w:szCs w:val="18"/>
                <w:lang w:val="en-GB"/>
              </w:rPr>
            </w:pPr>
            <w:r w:rsidRPr="0045480C">
              <w:rPr>
                <w:rFonts w:cs="Calibri"/>
                <w:b/>
                <w:bCs/>
                <w:color w:val="000000"/>
                <w:sz w:val="18"/>
                <w:szCs w:val="18"/>
              </w:rPr>
              <w:t>79</w:t>
            </w:r>
            <w:r w:rsidR="0066547F">
              <w:rPr>
                <w:rFonts w:cs="Calibri"/>
                <w:b/>
                <w:bCs/>
                <w:color w:val="000000"/>
                <w:sz w:val="18"/>
                <w:szCs w:val="18"/>
              </w:rPr>
              <w:t>.</w:t>
            </w:r>
            <w:r w:rsidRPr="0045480C">
              <w:rPr>
                <w:rFonts w:cs="Calibri"/>
                <w:b/>
                <w:bCs/>
                <w:color w:val="000000"/>
                <w:sz w:val="18"/>
                <w:szCs w:val="18"/>
              </w:rPr>
              <w:t>249</w:t>
            </w:r>
          </w:p>
        </w:tc>
        <w:tc>
          <w:tcPr>
            <w:tcW w:w="851" w:type="dxa"/>
            <w:tcBorders>
              <w:top w:val="single" w:sz="4" w:space="0" w:color="538135" w:themeColor="accent6" w:themeShade="BF"/>
              <w:left w:val="dotted" w:sz="4" w:space="0" w:color="385623" w:themeColor="accent6" w:themeShade="80"/>
              <w:bottom w:val="single" w:sz="4" w:space="0" w:color="385623" w:themeColor="accent6" w:themeShade="80"/>
              <w:right w:val="nil"/>
            </w:tcBorders>
            <w:shd w:val="clear" w:color="auto" w:fill="E2EFD9"/>
            <w:noWrap/>
            <w:vAlign w:val="center"/>
          </w:tcPr>
          <w:p w14:paraId="64EED40A" w14:textId="65DDF16D" w:rsidR="00F60A44" w:rsidRPr="0045480C" w:rsidRDefault="00F60A44" w:rsidP="00F60A44">
            <w:pPr>
              <w:spacing w:after="0" w:line="288" w:lineRule="auto"/>
              <w:jc w:val="right"/>
              <w:rPr>
                <w:rFonts w:cs="Calibri"/>
                <w:b/>
                <w:bCs/>
                <w:color w:val="000000"/>
                <w:sz w:val="18"/>
                <w:szCs w:val="18"/>
                <w:lang w:val="en-GB"/>
              </w:rPr>
            </w:pPr>
            <w:r w:rsidRPr="0045480C">
              <w:rPr>
                <w:rFonts w:cs="Calibri"/>
                <w:b/>
                <w:bCs/>
                <w:color w:val="000000"/>
                <w:sz w:val="18"/>
                <w:szCs w:val="18"/>
              </w:rPr>
              <w:t>119</w:t>
            </w:r>
            <w:r w:rsidR="0066547F">
              <w:rPr>
                <w:rFonts w:cs="Calibri"/>
                <w:b/>
                <w:bCs/>
                <w:color w:val="000000"/>
                <w:sz w:val="18"/>
                <w:szCs w:val="18"/>
              </w:rPr>
              <w:t>.</w:t>
            </w:r>
            <w:r w:rsidR="00DF6E79">
              <w:rPr>
                <w:rFonts w:cs="Calibri"/>
                <w:b/>
                <w:bCs/>
                <w:color w:val="000000"/>
                <w:sz w:val="18"/>
                <w:szCs w:val="18"/>
              </w:rPr>
              <w:t>456</w:t>
            </w:r>
          </w:p>
        </w:tc>
        <w:tc>
          <w:tcPr>
            <w:tcW w:w="850" w:type="dxa"/>
            <w:tcBorders>
              <w:top w:val="single" w:sz="4" w:space="0" w:color="538135" w:themeColor="accent6" w:themeShade="BF"/>
              <w:left w:val="nil"/>
              <w:bottom w:val="single" w:sz="4" w:space="0" w:color="385623" w:themeColor="accent6" w:themeShade="80"/>
              <w:right w:val="dotted" w:sz="4" w:space="0" w:color="385623" w:themeColor="accent6" w:themeShade="80"/>
            </w:tcBorders>
            <w:shd w:val="clear" w:color="auto" w:fill="auto"/>
            <w:noWrap/>
            <w:vAlign w:val="center"/>
          </w:tcPr>
          <w:p w14:paraId="39497141" w14:textId="0F46EC0F" w:rsidR="00F60A44" w:rsidRPr="0045480C" w:rsidRDefault="00F60A44" w:rsidP="00F60A44">
            <w:pPr>
              <w:spacing w:after="0" w:line="288" w:lineRule="auto"/>
              <w:jc w:val="right"/>
              <w:rPr>
                <w:rFonts w:cs="Calibri"/>
                <w:b/>
                <w:bCs/>
                <w:color w:val="000000"/>
                <w:sz w:val="18"/>
                <w:szCs w:val="18"/>
                <w:lang w:val="en-GB"/>
              </w:rPr>
            </w:pPr>
            <w:r w:rsidRPr="0045480C">
              <w:rPr>
                <w:rFonts w:cs="Calibri"/>
                <w:b/>
                <w:bCs/>
                <w:color w:val="000000"/>
                <w:sz w:val="18"/>
                <w:szCs w:val="18"/>
              </w:rPr>
              <w:t>86</w:t>
            </w:r>
            <w:r w:rsidR="0066547F">
              <w:rPr>
                <w:rFonts w:cs="Calibri"/>
                <w:b/>
                <w:bCs/>
                <w:color w:val="000000"/>
                <w:sz w:val="18"/>
                <w:szCs w:val="18"/>
              </w:rPr>
              <w:t>.</w:t>
            </w:r>
            <w:r w:rsidRPr="0045480C">
              <w:rPr>
                <w:rFonts w:cs="Calibri"/>
                <w:b/>
                <w:bCs/>
                <w:color w:val="000000"/>
                <w:sz w:val="18"/>
                <w:szCs w:val="18"/>
              </w:rPr>
              <w:t>113</w:t>
            </w:r>
          </w:p>
        </w:tc>
        <w:tc>
          <w:tcPr>
            <w:tcW w:w="851" w:type="dxa"/>
            <w:tcBorders>
              <w:top w:val="single" w:sz="4" w:space="0" w:color="538135" w:themeColor="accent6" w:themeShade="BF"/>
              <w:left w:val="dotted" w:sz="4" w:space="0" w:color="385623" w:themeColor="accent6" w:themeShade="80"/>
              <w:bottom w:val="single" w:sz="4" w:space="0" w:color="385623" w:themeColor="accent6" w:themeShade="80"/>
              <w:right w:val="nil"/>
            </w:tcBorders>
            <w:shd w:val="clear" w:color="auto" w:fill="E2EFD9"/>
            <w:noWrap/>
            <w:vAlign w:val="center"/>
          </w:tcPr>
          <w:p w14:paraId="518A9A7C" w14:textId="73FEC6C7" w:rsidR="00F60A44" w:rsidRPr="0045480C" w:rsidRDefault="00F60A44" w:rsidP="00F60A44">
            <w:pPr>
              <w:spacing w:after="0" w:line="288" w:lineRule="auto"/>
              <w:jc w:val="right"/>
              <w:rPr>
                <w:rFonts w:cs="Calibri"/>
                <w:b/>
                <w:bCs/>
                <w:color w:val="000000"/>
                <w:sz w:val="18"/>
                <w:szCs w:val="18"/>
                <w:lang w:val="en-GB"/>
              </w:rPr>
            </w:pPr>
            <w:r w:rsidRPr="0045480C">
              <w:rPr>
                <w:rFonts w:cs="Calibri"/>
                <w:b/>
                <w:bCs/>
                <w:color w:val="000000"/>
                <w:sz w:val="18"/>
                <w:szCs w:val="18"/>
              </w:rPr>
              <w:t>10</w:t>
            </w:r>
            <w:r w:rsidR="00DF6E79">
              <w:rPr>
                <w:rFonts w:cs="Calibri"/>
                <w:b/>
                <w:bCs/>
                <w:color w:val="000000"/>
                <w:sz w:val="18"/>
                <w:szCs w:val="18"/>
              </w:rPr>
              <w:t>4</w:t>
            </w:r>
            <w:r w:rsidR="0066547F">
              <w:rPr>
                <w:rFonts w:cs="Calibri"/>
                <w:b/>
                <w:bCs/>
                <w:color w:val="000000"/>
                <w:sz w:val="18"/>
                <w:szCs w:val="18"/>
              </w:rPr>
              <w:t>.</w:t>
            </w:r>
            <w:r w:rsidR="00DF6E79">
              <w:rPr>
                <w:rFonts w:cs="Calibri"/>
                <w:b/>
                <w:bCs/>
                <w:color w:val="000000"/>
                <w:sz w:val="18"/>
                <w:szCs w:val="18"/>
              </w:rPr>
              <w:t>630</w:t>
            </w:r>
          </w:p>
        </w:tc>
        <w:tc>
          <w:tcPr>
            <w:tcW w:w="850" w:type="dxa"/>
            <w:tcBorders>
              <w:top w:val="single" w:sz="4" w:space="0" w:color="538135" w:themeColor="accent6" w:themeShade="BF"/>
              <w:left w:val="nil"/>
              <w:bottom w:val="single" w:sz="4" w:space="0" w:color="385623" w:themeColor="accent6" w:themeShade="80"/>
              <w:right w:val="dotted" w:sz="4" w:space="0" w:color="385623" w:themeColor="accent6" w:themeShade="80"/>
            </w:tcBorders>
            <w:shd w:val="clear" w:color="auto" w:fill="auto"/>
            <w:noWrap/>
            <w:vAlign w:val="center"/>
          </w:tcPr>
          <w:p w14:paraId="4D557903" w14:textId="17AA635C" w:rsidR="00F60A44" w:rsidRPr="0045480C" w:rsidRDefault="00F60A44" w:rsidP="00F60A44">
            <w:pPr>
              <w:spacing w:after="0" w:line="288" w:lineRule="auto"/>
              <w:jc w:val="right"/>
              <w:rPr>
                <w:rFonts w:cs="Calibri"/>
                <w:b/>
                <w:bCs/>
                <w:color w:val="000000"/>
                <w:sz w:val="18"/>
                <w:szCs w:val="18"/>
                <w:lang w:val="en-GB"/>
              </w:rPr>
            </w:pPr>
            <w:r w:rsidRPr="0045480C">
              <w:rPr>
                <w:rFonts w:cs="Calibri"/>
                <w:b/>
                <w:bCs/>
                <w:color w:val="000000"/>
                <w:sz w:val="18"/>
                <w:szCs w:val="18"/>
              </w:rPr>
              <w:t>64</w:t>
            </w:r>
            <w:r w:rsidR="0066547F">
              <w:rPr>
                <w:rFonts w:cs="Calibri"/>
                <w:b/>
                <w:bCs/>
                <w:color w:val="000000"/>
                <w:sz w:val="18"/>
                <w:szCs w:val="18"/>
              </w:rPr>
              <w:t>.</w:t>
            </w:r>
            <w:r w:rsidRPr="0045480C">
              <w:rPr>
                <w:rFonts w:cs="Calibri"/>
                <w:b/>
                <w:bCs/>
                <w:color w:val="000000"/>
                <w:sz w:val="18"/>
                <w:szCs w:val="18"/>
              </w:rPr>
              <w:t>746</w:t>
            </w:r>
          </w:p>
        </w:tc>
        <w:tc>
          <w:tcPr>
            <w:tcW w:w="851" w:type="dxa"/>
            <w:tcBorders>
              <w:top w:val="single" w:sz="4" w:space="0" w:color="538135" w:themeColor="accent6" w:themeShade="BF"/>
              <w:left w:val="dotted" w:sz="4" w:space="0" w:color="385623" w:themeColor="accent6" w:themeShade="80"/>
              <w:bottom w:val="single" w:sz="4" w:space="0" w:color="385623" w:themeColor="accent6" w:themeShade="80"/>
              <w:right w:val="nil"/>
            </w:tcBorders>
            <w:shd w:val="clear" w:color="auto" w:fill="E2EFD9"/>
            <w:noWrap/>
            <w:vAlign w:val="center"/>
          </w:tcPr>
          <w:p w14:paraId="63104C7E" w14:textId="7A702057" w:rsidR="00F60A44" w:rsidRPr="0045480C" w:rsidRDefault="00F60A44" w:rsidP="00F60A44">
            <w:pPr>
              <w:spacing w:after="0" w:line="288" w:lineRule="auto"/>
              <w:jc w:val="right"/>
              <w:rPr>
                <w:rFonts w:cs="Calibri"/>
                <w:b/>
                <w:bCs/>
                <w:color w:val="000000"/>
                <w:sz w:val="18"/>
                <w:szCs w:val="18"/>
                <w:lang w:val="en-GB"/>
              </w:rPr>
            </w:pPr>
            <w:r w:rsidRPr="0045480C">
              <w:rPr>
                <w:rFonts w:cs="Calibri"/>
                <w:b/>
                <w:bCs/>
                <w:color w:val="000000"/>
                <w:sz w:val="18"/>
                <w:szCs w:val="18"/>
              </w:rPr>
              <w:t>7</w:t>
            </w:r>
            <w:r w:rsidR="00DF6E79">
              <w:rPr>
                <w:rFonts w:cs="Calibri"/>
                <w:b/>
                <w:bCs/>
                <w:color w:val="000000"/>
                <w:sz w:val="18"/>
                <w:szCs w:val="18"/>
              </w:rPr>
              <w:t>2</w:t>
            </w:r>
            <w:r w:rsidR="0066547F">
              <w:rPr>
                <w:rFonts w:cs="Calibri"/>
                <w:b/>
                <w:bCs/>
                <w:color w:val="000000"/>
                <w:sz w:val="18"/>
                <w:szCs w:val="18"/>
              </w:rPr>
              <w:t>.</w:t>
            </w:r>
            <w:r w:rsidR="00DF6E79">
              <w:rPr>
                <w:rFonts w:cs="Calibri"/>
                <w:b/>
                <w:bCs/>
                <w:color w:val="000000"/>
                <w:sz w:val="18"/>
                <w:szCs w:val="18"/>
              </w:rPr>
              <w:t>883</w:t>
            </w:r>
          </w:p>
        </w:tc>
        <w:tc>
          <w:tcPr>
            <w:tcW w:w="850" w:type="dxa"/>
            <w:tcBorders>
              <w:top w:val="single" w:sz="4" w:space="0" w:color="538135" w:themeColor="accent6" w:themeShade="BF"/>
              <w:left w:val="nil"/>
              <w:bottom w:val="single" w:sz="4" w:space="0" w:color="385623" w:themeColor="accent6" w:themeShade="80"/>
              <w:right w:val="dotted" w:sz="4" w:space="0" w:color="385623" w:themeColor="accent6" w:themeShade="80"/>
            </w:tcBorders>
            <w:shd w:val="clear" w:color="auto" w:fill="auto"/>
            <w:noWrap/>
            <w:vAlign w:val="center"/>
          </w:tcPr>
          <w:p w14:paraId="035366E7" w14:textId="131F781F" w:rsidR="00F60A44" w:rsidRPr="0045480C" w:rsidRDefault="00F60A44" w:rsidP="00F60A44">
            <w:pPr>
              <w:spacing w:after="0" w:line="288" w:lineRule="auto"/>
              <w:jc w:val="right"/>
              <w:rPr>
                <w:rFonts w:cs="Calibri"/>
                <w:b/>
                <w:bCs/>
                <w:color w:val="000000"/>
                <w:sz w:val="18"/>
                <w:szCs w:val="18"/>
                <w:lang w:val="en-GB"/>
              </w:rPr>
            </w:pPr>
            <w:r w:rsidRPr="0045480C">
              <w:rPr>
                <w:rFonts w:cs="Calibri"/>
                <w:b/>
                <w:bCs/>
                <w:color w:val="000000"/>
                <w:sz w:val="18"/>
                <w:szCs w:val="18"/>
              </w:rPr>
              <w:t>30</w:t>
            </w:r>
            <w:r w:rsidR="0066547F">
              <w:rPr>
                <w:rFonts w:cs="Calibri"/>
                <w:b/>
                <w:bCs/>
                <w:color w:val="000000"/>
                <w:sz w:val="18"/>
                <w:szCs w:val="18"/>
              </w:rPr>
              <w:t>.</w:t>
            </w:r>
            <w:r w:rsidRPr="0045480C">
              <w:rPr>
                <w:rFonts w:cs="Calibri"/>
                <w:b/>
                <w:bCs/>
                <w:color w:val="000000"/>
                <w:sz w:val="18"/>
                <w:szCs w:val="18"/>
              </w:rPr>
              <w:t>852</w:t>
            </w:r>
          </w:p>
        </w:tc>
      </w:tr>
    </w:tbl>
    <w:p w14:paraId="3E3E93B7" w14:textId="26B88424" w:rsidR="00F60A44" w:rsidRPr="005F6732" w:rsidRDefault="00F60A44" w:rsidP="00F60A44">
      <w:pPr>
        <w:spacing w:after="120" w:line="240" w:lineRule="auto"/>
        <w:rPr>
          <w:rFonts w:eastAsia="SimSun" w:cs="Calibri"/>
          <w:b/>
          <w:bCs/>
          <w:color w:val="4F6228"/>
          <w:sz w:val="24"/>
          <w:szCs w:val="24"/>
        </w:rPr>
      </w:pPr>
      <w:r w:rsidRPr="005F6732">
        <w:rPr>
          <w:rFonts w:eastAsia="SimSun" w:cs="Calibri"/>
          <w:i/>
          <w:color w:val="000000"/>
          <w:sz w:val="16"/>
          <w:szCs w:val="20"/>
        </w:rPr>
        <w:t xml:space="preserve">Πηγή: Συνοπτική Ενοποιημένη Κατάσταση Αποτελεσμάτων (Παράρτημα </w:t>
      </w:r>
      <w:r w:rsidRPr="005F6732">
        <w:rPr>
          <w:rFonts w:eastAsia="SimSun" w:cs="Calibri"/>
          <w:i/>
          <w:color w:val="000000"/>
          <w:sz w:val="16"/>
          <w:szCs w:val="20"/>
          <w:lang w:val="en-GB"/>
        </w:rPr>
        <w:t>A</w:t>
      </w:r>
      <w:r w:rsidRPr="005F6732">
        <w:rPr>
          <w:rFonts w:eastAsia="SimSun" w:cs="Calibri"/>
          <w:i/>
          <w:color w:val="000000"/>
          <w:sz w:val="16"/>
          <w:szCs w:val="20"/>
        </w:rPr>
        <w:t>)</w:t>
      </w:r>
      <w:r>
        <w:rPr>
          <w:rFonts w:eastAsia="SimSun" w:cs="Calibri"/>
          <w:i/>
          <w:color w:val="000000"/>
          <w:sz w:val="16"/>
          <w:szCs w:val="20"/>
        </w:rPr>
        <w:t>,</w:t>
      </w:r>
      <w:r w:rsidRPr="00F60A44">
        <w:rPr>
          <w:rFonts w:eastAsia="SimSun" w:cs="Calibri"/>
          <w:i/>
          <w:color w:val="000000"/>
          <w:sz w:val="16"/>
          <w:szCs w:val="20"/>
        </w:rPr>
        <w:t xml:space="preserve"> </w:t>
      </w:r>
      <w:r>
        <w:rPr>
          <w:rFonts w:eastAsia="SimSun" w:cs="Calibri"/>
          <w:i/>
          <w:color w:val="000000"/>
          <w:sz w:val="16"/>
          <w:szCs w:val="20"/>
        </w:rPr>
        <w:t>Χρηματοοικονομική Πληροφόρηση ανά τομέα</w:t>
      </w:r>
      <w:r w:rsidRPr="003A027F">
        <w:rPr>
          <w:rFonts w:eastAsia="SimSun" w:cs="Calibri"/>
          <w:i/>
          <w:color w:val="000000"/>
          <w:sz w:val="16"/>
          <w:szCs w:val="20"/>
        </w:rPr>
        <w:t xml:space="preserve">(Παράρτημα </w:t>
      </w:r>
      <w:r>
        <w:rPr>
          <w:rFonts w:eastAsia="SimSun" w:cs="Calibri"/>
          <w:i/>
          <w:color w:val="000000"/>
          <w:sz w:val="16"/>
          <w:szCs w:val="20"/>
        </w:rPr>
        <w:t>Β</w:t>
      </w:r>
      <w:r w:rsidRPr="003A027F">
        <w:rPr>
          <w:rFonts w:eastAsia="SimSun" w:cs="Calibri"/>
          <w:i/>
          <w:color w:val="000000"/>
          <w:sz w:val="16"/>
          <w:szCs w:val="20"/>
        </w:rPr>
        <w:t>)</w:t>
      </w:r>
      <w:r w:rsidRPr="005F6732">
        <w:rPr>
          <w:rFonts w:eastAsia="SimSun" w:cs="Calibri"/>
          <w:i/>
          <w:color w:val="000000"/>
          <w:sz w:val="16"/>
          <w:szCs w:val="20"/>
        </w:rPr>
        <w:t xml:space="preserve"> και ΕΜΑ (Παράρτημα </w:t>
      </w:r>
      <w:r>
        <w:rPr>
          <w:rFonts w:eastAsia="SimSun" w:cs="Calibri"/>
          <w:i/>
          <w:color w:val="000000"/>
          <w:sz w:val="16"/>
          <w:szCs w:val="20"/>
        </w:rPr>
        <w:t>Δ</w:t>
      </w:r>
      <w:r w:rsidRPr="005F6732">
        <w:rPr>
          <w:rFonts w:eastAsia="SimSun" w:cs="Calibri"/>
          <w:i/>
          <w:color w:val="000000"/>
          <w:sz w:val="16"/>
          <w:szCs w:val="20"/>
        </w:rPr>
        <w:t>)</w:t>
      </w:r>
    </w:p>
    <w:p w14:paraId="013CD672" w14:textId="77777777" w:rsidR="003B31ED" w:rsidRPr="00772E7E" w:rsidRDefault="003B31ED" w:rsidP="003B31ED">
      <w:pPr>
        <w:keepNext/>
        <w:keepLines/>
        <w:spacing w:after="120" w:line="240" w:lineRule="auto"/>
        <w:jc w:val="both"/>
        <w:outlineLvl w:val="1"/>
        <w:rPr>
          <w:rFonts w:eastAsia="SimSun" w:cs="Calibri"/>
          <w:b/>
          <w:bCs/>
          <w:color w:val="4F6228"/>
          <w:sz w:val="24"/>
          <w:szCs w:val="24"/>
        </w:rPr>
      </w:pPr>
      <w:bookmarkStart w:id="13" w:name="_Hlk160011057"/>
      <w:r w:rsidRPr="002558CC">
        <w:rPr>
          <w:rFonts w:eastAsia="SimSun" w:cs="Calibri"/>
          <w:b/>
          <w:bCs/>
          <w:color w:val="4F6228"/>
          <w:sz w:val="24"/>
          <w:szCs w:val="24"/>
        </w:rPr>
        <w:t>Καλώδια</w:t>
      </w:r>
    </w:p>
    <w:p w14:paraId="6B9DB7A0" w14:textId="28595C97" w:rsidR="00F60A44" w:rsidRPr="00F60A44" w:rsidRDefault="0066547F" w:rsidP="00F60A44">
      <w:pPr>
        <w:spacing w:after="120" w:line="240" w:lineRule="auto"/>
        <w:jc w:val="both"/>
      </w:pPr>
      <w:bookmarkStart w:id="14" w:name="_Hlk174363546"/>
      <w:r>
        <w:t>Οι πωλήσεις</w:t>
      </w:r>
      <w:r w:rsidR="00F60A44" w:rsidRPr="00F60A44">
        <w:t xml:space="preserve"> για τον τομέα των καλωδίων ανήλθαν σε 560 εκατ. ευρώ (+13,5% σε ετήσια βάση), με την αύξηση να οφείλεται, όπως έχει ήδη αναφερθεί, </w:t>
      </w:r>
      <w:r w:rsidR="00A22786">
        <w:t xml:space="preserve">στα έργα </w:t>
      </w:r>
      <w:r w:rsidR="00B800D4">
        <w:t xml:space="preserve">καλωδίων </w:t>
      </w:r>
      <w:r w:rsidR="00F60A44" w:rsidRPr="00F60A44">
        <w:t>(+70,5% αύξηση σε ετήσια βάση). Τ</w:t>
      </w:r>
      <w:r w:rsidR="007658DC">
        <w:rPr>
          <w:lang w:val="en-US"/>
        </w:rPr>
        <w:t>o</w:t>
      </w:r>
      <w:r w:rsidR="00F60A44" w:rsidRPr="00F60A44">
        <w:t xml:space="preserve"> </w:t>
      </w:r>
      <w:r w:rsidR="007658DC">
        <w:t>ανα</w:t>
      </w:r>
      <w:r w:rsidR="00F60A44" w:rsidRPr="00F60A44">
        <w:t>προσαρμοσμέν</w:t>
      </w:r>
      <w:r w:rsidR="007658DC">
        <w:t>ο</w:t>
      </w:r>
      <w:r w:rsidR="00F60A44" w:rsidRPr="00F60A44">
        <w:t xml:space="preserve"> </w:t>
      </w:r>
      <w:r w:rsidR="00F60A44" w:rsidRPr="00F60A44">
        <w:rPr>
          <w:lang w:val="en-GB"/>
        </w:rPr>
        <w:t>EBITDA</w:t>
      </w:r>
      <w:r w:rsidR="00F60A44" w:rsidRPr="00F60A44">
        <w:t xml:space="preserve"> ανήλθ</w:t>
      </w:r>
      <w:r w:rsidR="007658DC">
        <w:t>ε</w:t>
      </w:r>
      <w:r w:rsidR="00F60A44" w:rsidRPr="00F60A44">
        <w:t xml:space="preserve"> σε 79,4 εκατ. ευρώ (+33,5% αύξηση σε ετήσια βάση) με</w:t>
      </w:r>
      <w:r w:rsidR="00A22786">
        <w:t xml:space="preserve"> τα</w:t>
      </w:r>
      <w:r w:rsidR="00F60A44" w:rsidRPr="00F60A44">
        <w:t xml:space="preserve"> περιθώρια κέρδους</w:t>
      </w:r>
      <w:r w:rsidR="00A22786">
        <w:t xml:space="preserve"> να ανέρχονται σε</w:t>
      </w:r>
      <w:r w:rsidR="00F60A44" w:rsidRPr="00F60A44">
        <w:t xml:space="preserve"> 14,2% έναντι 12,1% </w:t>
      </w:r>
      <w:r w:rsidR="00A22786">
        <w:t>στο πρώτο</w:t>
      </w:r>
      <w:r w:rsidR="00F60A44" w:rsidRPr="00F60A44">
        <w:t xml:space="preserve"> εξάμηνο του 2023. Η αυξημένη συνεισφορά των </w:t>
      </w:r>
      <w:r w:rsidR="00A22786">
        <w:t>πωλήσεων</w:t>
      </w:r>
      <w:r w:rsidR="00F60A44" w:rsidRPr="00F60A44">
        <w:t xml:space="preserve"> </w:t>
      </w:r>
      <w:r w:rsidR="00A22786">
        <w:t>από τα έργα</w:t>
      </w:r>
      <w:r w:rsidR="00F60A44" w:rsidRPr="00F60A44">
        <w:t xml:space="preserve"> </w:t>
      </w:r>
      <w:r w:rsidR="00E307F6">
        <w:t xml:space="preserve">καλωδίων </w:t>
      </w:r>
      <w:r w:rsidR="00A22786">
        <w:t xml:space="preserve">σε συνδυασμό </w:t>
      </w:r>
      <w:r w:rsidR="00F60A44" w:rsidRPr="00F60A44">
        <w:t xml:space="preserve">με τα σταθερά υψηλά περιθώρια κέρδους ήταν οι κύριοι παράγοντες της βελτιωμένης κερδοφορίας </w:t>
      </w:r>
      <w:r w:rsidR="00773026">
        <w:t>του τομέα</w:t>
      </w:r>
      <w:r w:rsidR="00F60A44" w:rsidRPr="00F60A44">
        <w:t>.</w:t>
      </w:r>
      <w:r w:rsidR="00A22786">
        <w:t xml:space="preserve"> Η</w:t>
      </w:r>
      <w:r w:rsidR="00F60A44" w:rsidRPr="00F60A44">
        <w:t xml:space="preserve"> σταθερή ζήτηση</w:t>
      </w:r>
      <w:r w:rsidR="00A22786">
        <w:t xml:space="preserve"> για προϊόντα καλωδίων</w:t>
      </w:r>
      <w:r w:rsidR="00F60A44" w:rsidRPr="00F60A44">
        <w:t xml:space="preserve"> </w:t>
      </w:r>
      <w:r w:rsidR="00773026">
        <w:t xml:space="preserve">επιπρόσθετα </w:t>
      </w:r>
      <w:r w:rsidR="00F60A44" w:rsidRPr="00F60A44">
        <w:t>βοήθησε να διατηρ</w:t>
      </w:r>
      <w:r w:rsidR="00773026">
        <w:t xml:space="preserve">ηθούν </w:t>
      </w:r>
      <w:r w:rsidR="00F60A44" w:rsidRPr="00F60A44">
        <w:t xml:space="preserve">τα ικανοποιητικά περιθώρια κέρδους </w:t>
      </w:r>
      <w:r w:rsidR="00773026">
        <w:t xml:space="preserve">του </w:t>
      </w:r>
      <w:r w:rsidR="00F60A44" w:rsidRPr="00F60A44">
        <w:t>2023.</w:t>
      </w:r>
    </w:p>
    <w:p w14:paraId="2EA20727" w14:textId="472F4D52" w:rsidR="00A33BCC" w:rsidRPr="00A33BCC" w:rsidRDefault="00A33BCC" w:rsidP="00A33BCC">
      <w:pPr>
        <w:spacing w:after="120" w:line="240" w:lineRule="auto"/>
        <w:jc w:val="both"/>
      </w:pPr>
      <w:r w:rsidRPr="00A33BCC">
        <w:t xml:space="preserve">Το 2024, η Hellenic Cables συμμετείχε ενεργά σε πολλούς διαγωνισμούς και </w:t>
      </w:r>
      <w:r w:rsidRPr="008D50A9">
        <w:t>ανέλαβε αρκετά</w:t>
      </w:r>
      <w:r w:rsidRPr="008D50A9">
        <w:rPr>
          <w:b/>
          <w:bCs/>
        </w:rPr>
        <w:t xml:space="preserve"> νέα έργα</w:t>
      </w:r>
      <w:r w:rsidRPr="00A33BCC">
        <w:t xml:space="preserve"> τόσο σε υπεράκτια αιολικά πάρκα, όσο και στην αγορά των διασυνδέσεων.  Πιο συγκεκριμένα:</w:t>
      </w:r>
    </w:p>
    <w:p w14:paraId="1453F611" w14:textId="18C14E33" w:rsidR="00F60A44" w:rsidRPr="00DC6011" w:rsidRDefault="00F60A44" w:rsidP="00E64A37">
      <w:pPr>
        <w:numPr>
          <w:ilvl w:val="0"/>
          <w:numId w:val="1"/>
        </w:numPr>
        <w:spacing w:after="120" w:line="240" w:lineRule="auto"/>
        <w:ind w:left="567" w:hanging="425"/>
        <w:jc w:val="both"/>
        <w:rPr>
          <w:rFonts w:asciiTheme="minorHAnsi" w:hAnsiTheme="minorHAnsi" w:cstheme="minorHAnsi"/>
        </w:rPr>
      </w:pPr>
      <w:r w:rsidRPr="00F60A44">
        <w:t xml:space="preserve">Η </w:t>
      </w:r>
      <w:r w:rsidRPr="00F60A44">
        <w:rPr>
          <w:lang w:val="en-GB"/>
        </w:rPr>
        <w:t>Seaway</w:t>
      </w:r>
      <w:r w:rsidRPr="00F60A44">
        <w:t xml:space="preserve">7 όρισε την </w:t>
      </w:r>
      <w:r w:rsidR="00B800D4">
        <w:rPr>
          <w:lang w:val="en-US"/>
        </w:rPr>
        <w:t>Hellenic</w:t>
      </w:r>
      <w:r w:rsidR="00B800D4" w:rsidRPr="00B800D4">
        <w:t xml:space="preserve"> </w:t>
      </w:r>
      <w:r w:rsidR="00B800D4">
        <w:rPr>
          <w:lang w:val="en-US"/>
        </w:rPr>
        <w:t>Cables</w:t>
      </w:r>
      <w:r w:rsidRPr="00F60A44">
        <w:t xml:space="preserve"> ως βασικό υπεργολάβο για το σχεδιασμό, την κατασκευή, τις δοκιμές και την προμήθεια υποβρυχίων καλωδίων 66</w:t>
      </w:r>
      <w:r w:rsidRPr="00F60A44">
        <w:rPr>
          <w:lang w:val="en-GB"/>
        </w:rPr>
        <w:t>kV</w:t>
      </w:r>
      <w:r w:rsidRPr="00F60A44">
        <w:t xml:space="preserve"> περίπου 205 χ</w:t>
      </w:r>
      <w:r w:rsidR="00773026">
        <w:t>λμ.</w:t>
      </w:r>
      <w:r w:rsidRPr="00F60A44">
        <w:t xml:space="preserve"> και σχετικών εξαρτημάτων για τα αιολικά πάρκα </w:t>
      </w:r>
      <w:r w:rsidRPr="00F60A44">
        <w:rPr>
          <w:lang w:val="en-GB"/>
        </w:rPr>
        <w:t>Ba</w:t>
      </w:r>
      <w:r w:rsidRPr="00F60A44">
        <w:t>ł</w:t>
      </w:r>
      <w:proofErr w:type="spellStart"/>
      <w:r w:rsidRPr="00F60A44">
        <w:rPr>
          <w:lang w:val="en-GB"/>
        </w:rPr>
        <w:t>tyk</w:t>
      </w:r>
      <w:proofErr w:type="spellEnd"/>
      <w:r w:rsidRPr="00F60A44">
        <w:t xml:space="preserve"> </w:t>
      </w:r>
      <w:r w:rsidRPr="00F60A44">
        <w:rPr>
          <w:lang w:val="en-GB"/>
        </w:rPr>
        <w:t>II</w:t>
      </w:r>
      <w:r w:rsidRPr="00F60A44">
        <w:t xml:space="preserve"> και </w:t>
      </w:r>
      <w:r w:rsidRPr="00F60A44">
        <w:rPr>
          <w:lang w:val="en-GB"/>
        </w:rPr>
        <w:t>III</w:t>
      </w:r>
      <w:r w:rsidRPr="00F60A44">
        <w:t xml:space="preserve">, που βρίσκονται στη νοτιοδυτική Βαλτική Θάλασσα εντός των πολωνικών υδάτων. </w:t>
      </w:r>
    </w:p>
    <w:p w14:paraId="49F79FCA" w14:textId="4AE1C049" w:rsidR="00F60A44" w:rsidRPr="00DC6011" w:rsidRDefault="00F60A44" w:rsidP="00E64A37">
      <w:pPr>
        <w:numPr>
          <w:ilvl w:val="0"/>
          <w:numId w:val="1"/>
        </w:numPr>
        <w:spacing w:after="120" w:line="240" w:lineRule="auto"/>
        <w:ind w:left="567" w:hanging="425"/>
        <w:jc w:val="both"/>
        <w:rPr>
          <w:rFonts w:asciiTheme="minorHAnsi" w:hAnsiTheme="minorHAnsi" w:cstheme="minorHAnsi"/>
        </w:rPr>
      </w:pPr>
      <w:r w:rsidRPr="00DC6011">
        <w:t xml:space="preserve">Η </w:t>
      </w:r>
      <w:r w:rsidRPr="00F60A44">
        <w:rPr>
          <w:lang w:val="en-GB"/>
        </w:rPr>
        <w:t>Amprion</w:t>
      </w:r>
      <w:r w:rsidRPr="00DC6011">
        <w:t xml:space="preserve"> </w:t>
      </w:r>
      <w:r w:rsidRPr="00F60A44">
        <w:rPr>
          <w:lang w:val="en-GB"/>
        </w:rPr>
        <w:t>GmbH</w:t>
      </w:r>
      <w:r w:rsidRPr="00DC6011">
        <w:t xml:space="preserve">, </w:t>
      </w:r>
      <w:r w:rsidR="00743031" w:rsidRPr="00743031">
        <w:t>έναν από τους κορυφαίους Διαχειριστές Συστημάτων Μεταφοράς (</w:t>
      </w:r>
      <w:proofErr w:type="spellStart"/>
      <w:r w:rsidR="00743031" w:rsidRPr="00743031">
        <w:t>TSOs</w:t>
      </w:r>
      <w:proofErr w:type="spellEnd"/>
      <w:r w:rsidR="00743031" w:rsidRPr="00743031">
        <w:t xml:space="preserve">) </w:t>
      </w:r>
      <w:r w:rsidR="002C3624">
        <w:t>στην</w:t>
      </w:r>
      <w:r w:rsidR="00743031" w:rsidRPr="00743031">
        <w:t xml:space="preserve"> Ευρώπη, </w:t>
      </w:r>
      <w:r w:rsidR="00B800D4">
        <w:t xml:space="preserve">ανέθεσε </w:t>
      </w:r>
      <w:r w:rsidR="00743031" w:rsidRPr="00743031">
        <w:t xml:space="preserve">την υλοποίηση δύο συστημάτων υπόγειας μεταφοράς εναλλασσόμενου ρεύματος AC 380kV στη Γερμανία που αφορούν τα έργα Borgholzhausen (BHH, ENLAG16) και </w:t>
      </w:r>
      <w:proofErr w:type="spellStart"/>
      <w:r w:rsidR="00743031" w:rsidRPr="00743031">
        <w:t>Conneforde-Cloppenburg</w:t>
      </w:r>
      <w:proofErr w:type="spellEnd"/>
      <w:r w:rsidR="00743031" w:rsidRPr="00743031">
        <w:t xml:space="preserve"> -</w:t>
      </w:r>
      <w:proofErr w:type="spellStart"/>
      <w:r w:rsidR="00743031" w:rsidRPr="00743031">
        <w:t>Merzen</w:t>
      </w:r>
      <w:proofErr w:type="spellEnd"/>
      <w:r w:rsidR="00743031" w:rsidRPr="00743031">
        <w:t xml:space="preserve"> (CCM, BBPIG6, Τμήμα Α και C).</w:t>
      </w:r>
    </w:p>
    <w:p w14:paraId="610C2C61" w14:textId="0815BDE4" w:rsidR="00F60A44" w:rsidRPr="007658DC" w:rsidRDefault="00F60A44" w:rsidP="007658DC">
      <w:pPr>
        <w:numPr>
          <w:ilvl w:val="0"/>
          <w:numId w:val="1"/>
        </w:numPr>
        <w:spacing w:after="120" w:line="240" w:lineRule="auto"/>
        <w:ind w:left="567" w:hanging="425"/>
        <w:jc w:val="both"/>
      </w:pPr>
      <w:r w:rsidRPr="007658DC">
        <w:t xml:space="preserve">Η </w:t>
      </w:r>
      <w:r w:rsidRPr="007658DC">
        <w:rPr>
          <w:lang w:val="en-GB"/>
        </w:rPr>
        <w:t>Elia</w:t>
      </w:r>
      <w:r w:rsidRPr="007658DC">
        <w:t xml:space="preserve"> </w:t>
      </w:r>
      <w:r w:rsidRPr="007658DC">
        <w:rPr>
          <w:lang w:val="en-GB"/>
        </w:rPr>
        <w:t>Asset</w:t>
      </w:r>
      <w:r w:rsidRPr="007658DC">
        <w:t xml:space="preserve"> </w:t>
      </w:r>
      <w:r w:rsidRPr="007658DC">
        <w:rPr>
          <w:lang w:val="en-GB"/>
        </w:rPr>
        <w:t>NV</w:t>
      </w:r>
      <w:r w:rsidRPr="007658DC">
        <w:t>/</w:t>
      </w:r>
      <w:r w:rsidRPr="007658DC">
        <w:rPr>
          <w:lang w:val="en-GB"/>
        </w:rPr>
        <w:t>SA</w:t>
      </w:r>
      <w:r w:rsidRPr="007658DC">
        <w:t xml:space="preserve"> ανέθεσε σε κοινοπραξία που αποτελείται από την Ελληνικά Καλώδια και τη </w:t>
      </w:r>
      <w:r w:rsidRPr="007658DC">
        <w:rPr>
          <w:lang w:val="en-GB"/>
        </w:rPr>
        <w:t>DEME</w:t>
      </w:r>
      <w:r w:rsidRPr="007658DC">
        <w:t xml:space="preserve"> σύμβαση για τη μελέτη, προμήθεια, κατασκευή και εγκατάσταση (</w:t>
      </w:r>
      <w:r w:rsidRPr="007658DC">
        <w:rPr>
          <w:lang w:val="en-GB"/>
        </w:rPr>
        <w:t>EPCI</w:t>
      </w:r>
      <w:r w:rsidRPr="007658DC">
        <w:t xml:space="preserve">) </w:t>
      </w:r>
      <w:r w:rsidR="007658DC">
        <w:t xml:space="preserve">ενός υποβρύχιου συστήματος τριών </w:t>
      </w:r>
      <w:r w:rsidR="007658DC">
        <w:rPr>
          <w:lang w:val="en-US"/>
        </w:rPr>
        <w:t>export</w:t>
      </w:r>
      <w:r w:rsidR="007658DC" w:rsidRPr="007658DC">
        <w:t xml:space="preserve"> </w:t>
      </w:r>
      <w:r w:rsidRPr="007658DC">
        <w:t>καλωδίων 220</w:t>
      </w:r>
      <w:r w:rsidRPr="007658DC">
        <w:rPr>
          <w:lang w:val="en-GB"/>
        </w:rPr>
        <w:t>kV</w:t>
      </w:r>
      <w:r w:rsidRPr="007658DC">
        <w:t xml:space="preserve"> συνολικού μήκους 165</w:t>
      </w:r>
      <w:r w:rsidR="00773026">
        <w:t> </w:t>
      </w:r>
      <w:r w:rsidRPr="007658DC">
        <w:t>χ</w:t>
      </w:r>
      <w:r w:rsidR="00773026">
        <w:t>λμ.</w:t>
      </w:r>
      <w:r w:rsidRPr="007658DC">
        <w:t xml:space="preserve"> για τη σύνδεση της περιοχής του αιολικού πάρκου </w:t>
      </w:r>
      <w:r w:rsidRPr="007658DC">
        <w:rPr>
          <w:lang w:val="en-GB"/>
        </w:rPr>
        <w:t>Princess</w:t>
      </w:r>
      <w:r w:rsidRPr="007658DC">
        <w:t xml:space="preserve"> </w:t>
      </w:r>
      <w:r w:rsidRPr="007658DC">
        <w:rPr>
          <w:lang w:val="en-GB"/>
        </w:rPr>
        <w:t>Elisabeth</w:t>
      </w:r>
      <w:r w:rsidRPr="007658DC">
        <w:t xml:space="preserve"> με την ακτή.</w:t>
      </w:r>
    </w:p>
    <w:p w14:paraId="02BCCA38" w14:textId="2675543D" w:rsidR="00F60A44" w:rsidRDefault="00F60A44" w:rsidP="005D378E">
      <w:pPr>
        <w:spacing w:after="120" w:line="240" w:lineRule="auto"/>
        <w:jc w:val="both"/>
      </w:pPr>
      <w:r w:rsidRPr="00F60A44">
        <w:t xml:space="preserve">Συνολικά, η </w:t>
      </w:r>
      <w:r w:rsidR="00A14FD2">
        <w:rPr>
          <w:lang w:val="en-US"/>
        </w:rPr>
        <w:t>Hellenic</w:t>
      </w:r>
      <w:r w:rsidR="00A14FD2" w:rsidRPr="00A14FD2">
        <w:t xml:space="preserve"> </w:t>
      </w:r>
      <w:r w:rsidR="00A14FD2">
        <w:rPr>
          <w:lang w:val="en-US"/>
        </w:rPr>
        <w:t>Cables</w:t>
      </w:r>
      <w:r w:rsidRPr="00F60A44">
        <w:t xml:space="preserve"> εξασφάλισε νέες παραγγελίες ύψους άνω των 600</w:t>
      </w:r>
      <w:r w:rsidR="00773026">
        <w:t> </w:t>
      </w:r>
      <w:r w:rsidRPr="00F60A44">
        <w:t>εκατ.</w:t>
      </w:r>
      <w:r w:rsidR="00773026">
        <w:t> </w:t>
      </w:r>
      <w:r w:rsidRPr="00F60A44">
        <w:t xml:space="preserve">ευρώ, τόσο για έργα όσο και για </w:t>
      </w:r>
      <w:r w:rsidRPr="004F233B">
        <w:t>συμβάσεις-πλαίσιο</w:t>
      </w:r>
      <w:r w:rsidR="00A14FD2">
        <w:t xml:space="preserve"> με</w:t>
      </w:r>
      <w:r w:rsidRPr="00F60A44">
        <w:t xml:space="preserve"> αποτέλεσμα </w:t>
      </w:r>
      <w:r w:rsidRPr="001A0CBE">
        <w:rPr>
          <w:b/>
          <w:bCs/>
        </w:rPr>
        <w:t>το ανεκτέλεστο υπόλοιπο παραγγελιών</w:t>
      </w:r>
      <w:r w:rsidRPr="00F60A44">
        <w:t xml:space="preserve"> </w:t>
      </w:r>
      <w:r w:rsidR="005758B6">
        <w:t xml:space="preserve">να </w:t>
      </w:r>
      <w:r w:rsidRPr="00F60A44">
        <w:t>αν</w:t>
      </w:r>
      <w:r w:rsidR="005758B6">
        <w:t>έ</w:t>
      </w:r>
      <w:r w:rsidRPr="00F60A44">
        <w:t>λθε</w:t>
      </w:r>
      <w:r w:rsidR="005758B6">
        <w:t>ι</w:t>
      </w:r>
      <w:r w:rsidR="00A14FD2" w:rsidRPr="00A14FD2">
        <w:t xml:space="preserve"> </w:t>
      </w:r>
      <w:r w:rsidR="00A14FD2">
        <w:t>σ</w:t>
      </w:r>
      <w:r w:rsidR="00A14FD2" w:rsidRPr="00F60A44">
        <w:t>τις 30 Ιουνίου 2024</w:t>
      </w:r>
      <w:r w:rsidRPr="00F60A44">
        <w:t xml:space="preserve"> σε </w:t>
      </w:r>
      <w:r w:rsidRPr="001A0CBE">
        <w:rPr>
          <w:b/>
          <w:bCs/>
        </w:rPr>
        <w:t>2,82 δισ. ευρώ</w:t>
      </w:r>
      <w:r w:rsidR="00A14FD2">
        <w:t xml:space="preserve"> διαμορφώνοντας</w:t>
      </w:r>
      <w:r w:rsidR="005758B6">
        <w:t xml:space="preserve"> για τον τομέα</w:t>
      </w:r>
      <w:r w:rsidR="00A14FD2">
        <w:t xml:space="preserve"> </w:t>
      </w:r>
      <w:r w:rsidRPr="00F60A44">
        <w:t>το</w:t>
      </w:r>
      <w:r w:rsidR="00A14FD2">
        <w:t xml:space="preserve"> ιστορικά</w:t>
      </w:r>
      <w:r w:rsidRPr="00F60A44">
        <w:t xml:space="preserve"> υψηλότερο επίπεδο</w:t>
      </w:r>
      <w:r w:rsidR="00A14FD2">
        <w:t xml:space="preserve"> </w:t>
      </w:r>
      <w:r w:rsidRPr="00F60A44">
        <w:t>(2,5 δισ. ευρώ στις 31.12.23).</w:t>
      </w:r>
    </w:p>
    <w:p w14:paraId="0E0D996D" w14:textId="70260CE1" w:rsidR="003A7918" w:rsidRPr="00F60A44" w:rsidRDefault="00F60A44" w:rsidP="00773026">
      <w:pPr>
        <w:spacing w:after="120" w:line="240" w:lineRule="auto"/>
        <w:jc w:val="both"/>
      </w:pPr>
      <w:r>
        <w:t xml:space="preserve">Ταυτόχρονα, </w:t>
      </w:r>
      <w:r w:rsidR="00DA5622">
        <w:t>στο</w:t>
      </w:r>
      <w:r>
        <w:t xml:space="preserve"> πρώτο </w:t>
      </w:r>
      <w:r w:rsidR="00DA5622">
        <w:t xml:space="preserve">εξάμηνο </w:t>
      </w:r>
      <w:r w:rsidR="00773026" w:rsidRPr="00DA5622">
        <w:t>εκτελέστηκαν</w:t>
      </w:r>
      <w:r w:rsidR="00773026">
        <w:t xml:space="preserve"> </w:t>
      </w:r>
      <w:r w:rsidR="00DA5622">
        <w:t>π</w:t>
      </w:r>
      <w:r w:rsidR="00DA5622" w:rsidRPr="00DA5622">
        <w:t>ολλά έργα, είτε εξ ολοκλήρου είτε τμηματικά</w:t>
      </w:r>
      <w:r>
        <w:t xml:space="preserve">.  Μεταξύ άλλων, </w:t>
      </w:r>
      <w:r w:rsidR="00DA5622">
        <w:t xml:space="preserve">ολοκληρώθηκε </w:t>
      </w:r>
      <w:r>
        <w:t xml:space="preserve">η εγκατάσταση για τα έργα διασύνδεσης </w:t>
      </w:r>
      <w:r w:rsidR="00773026">
        <w:t>«</w:t>
      </w:r>
      <w:r>
        <w:t>με το κλειδί στο χέρι</w:t>
      </w:r>
      <w:r w:rsidR="00773026">
        <w:t>»</w:t>
      </w:r>
      <w:r>
        <w:t xml:space="preserve"> </w:t>
      </w:r>
      <w:r w:rsidR="00773026">
        <w:t xml:space="preserve">μεταξύ </w:t>
      </w:r>
      <w:r>
        <w:t xml:space="preserve">Λαυρίου - Σερίφου </w:t>
      </w:r>
      <w:r w:rsidR="00773026">
        <w:t xml:space="preserve">και </w:t>
      </w:r>
      <w:r>
        <w:t>Σερίφου - Μήλου (φάση 4 της διασύνδεσης των Κυκλάδων στην Ελλάδα, με συνολικό μήκος καλωδίων 170</w:t>
      </w:r>
      <w:r w:rsidR="00773026">
        <w:t> χλμ.</w:t>
      </w:r>
      <w:r>
        <w:t xml:space="preserve">), ενώ ξεκίνησε η παραγωγή των πρώτων παρτίδων καλωδίων διασύνδεσης 66kV για τη φάση </w:t>
      </w:r>
      <w:r w:rsidR="00EB47E7">
        <w:t>Γ</w:t>
      </w:r>
      <w:r>
        <w:t xml:space="preserve"> του </w:t>
      </w:r>
      <w:r w:rsidR="00332D7B">
        <w:t>υπεράκτιο</w:t>
      </w:r>
      <w:r w:rsidR="00743031">
        <w:t>υ</w:t>
      </w:r>
      <w:r w:rsidR="00332D7B">
        <w:t xml:space="preserve"> αιολικ</w:t>
      </w:r>
      <w:r w:rsidR="00743031">
        <w:t>ού</w:t>
      </w:r>
      <w:r w:rsidR="00332D7B">
        <w:t xml:space="preserve"> πάρκο</w:t>
      </w:r>
      <w:r w:rsidR="00743031">
        <w:t>υ</w:t>
      </w:r>
      <w:r>
        <w:t xml:space="preserve"> Doggerbank στο Ηνωμένο Βασίλειο.  Επιπλέον, η παραγωγή αρκετών άλλων έργων, όπως το OstWind 3 για </w:t>
      </w:r>
      <w:r w:rsidR="00332D7B">
        <w:t xml:space="preserve">την </w:t>
      </w:r>
      <w:r>
        <w:t xml:space="preserve">50 </w:t>
      </w:r>
      <w:proofErr w:type="spellStart"/>
      <w:r>
        <w:t>Hertz</w:t>
      </w:r>
      <w:proofErr w:type="spellEnd"/>
      <w:r>
        <w:t xml:space="preserve">, η διασύνδεση Σουηδίας-Δανίας και το </w:t>
      </w:r>
      <w:r w:rsidR="00332D7B">
        <w:t>υπεράκτιο αιολικό πάρκο</w:t>
      </w:r>
      <w:r>
        <w:t xml:space="preserve"> </w:t>
      </w:r>
      <w:proofErr w:type="spellStart"/>
      <w:r>
        <w:t>Hai</w:t>
      </w:r>
      <w:proofErr w:type="spellEnd"/>
      <w:r>
        <w:t xml:space="preserve"> </w:t>
      </w:r>
      <w:proofErr w:type="spellStart"/>
      <w:r>
        <w:t>Long</w:t>
      </w:r>
      <w:proofErr w:type="spellEnd"/>
      <w:r>
        <w:t xml:space="preserve"> στην </w:t>
      </w:r>
      <w:proofErr w:type="spellStart"/>
      <w:r>
        <w:t>Ταϊβάν</w:t>
      </w:r>
      <w:proofErr w:type="spellEnd"/>
      <w:r>
        <w:t>, προχώρησε σύμφωνα με τον προγραμματισμό</w:t>
      </w:r>
      <w:r w:rsidR="00773026">
        <w:t>, ενώ</w:t>
      </w:r>
      <w:r>
        <w:t xml:space="preserve"> ολοκληρώθηκε </w:t>
      </w:r>
      <w:r w:rsidR="00773026">
        <w:t xml:space="preserve">και </w:t>
      </w:r>
      <w:r>
        <w:t xml:space="preserve">η παραγωγή </w:t>
      </w:r>
      <w:r w:rsidR="00E307F6">
        <w:t xml:space="preserve">καλωδίων </w:t>
      </w:r>
      <w:r>
        <w:t xml:space="preserve">για το </w:t>
      </w:r>
      <w:r w:rsidR="00743031">
        <w:t>υπεράκτιο αιολικό πάρκο</w:t>
      </w:r>
      <w:r>
        <w:t xml:space="preserve"> </w:t>
      </w:r>
      <w:proofErr w:type="spellStart"/>
      <w:r>
        <w:t>Revolution</w:t>
      </w:r>
      <w:proofErr w:type="spellEnd"/>
      <w:r>
        <w:t xml:space="preserve"> στις ΗΠΑ.</w:t>
      </w:r>
    </w:p>
    <w:p w14:paraId="460C6143" w14:textId="3B1B4E56" w:rsidR="00F60A44" w:rsidRDefault="00F60A44" w:rsidP="00773026">
      <w:pPr>
        <w:spacing w:after="120" w:line="240" w:lineRule="auto"/>
        <w:jc w:val="both"/>
      </w:pPr>
      <w:r w:rsidRPr="00F60A44">
        <w:t>Το καθαρό χρηματοοικονομικό κόστος αυξήθηκε ελαφρώς (4,2% σε ετήσια βάση) σ</w:t>
      </w:r>
      <w:r w:rsidR="001A0CBE">
        <w:t>τα</w:t>
      </w:r>
      <w:r w:rsidRPr="00F60A44">
        <w:t xml:space="preserve"> 22,5 εκατ. ευρώ λόγω των αυξημένων αναγκών χρηματοδότησης των εν εξελίξει επενδυτικών προγραμμάτων σε διάφορες μονάδες</w:t>
      </w:r>
      <w:r w:rsidR="002A2386">
        <w:t xml:space="preserve"> παραγωγής</w:t>
      </w:r>
      <w:r w:rsidRPr="00F60A44">
        <w:t xml:space="preserve">. Τα κέρδη προ φόρων υπερδιπλασιάστηκαν, σε 47,1 εκατ. ευρώ έναντι 21,3 εκατ. ευρώ </w:t>
      </w:r>
      <w:r w:rsidR="00EB47E7">
        <w:t>σ</w:t>
      </w:r>
      <w:r w:rsidRPr="00F60A44">
        <w:t>το πρώτο εξάμηνο του 2023. Τα καθαρά κέρδη μετά από φόρους ακολούθησαν την ίδια τάση και ανήλθαν σε 35,3 εκατ. ευρώ (16,6 εκατ. ευρώ το α΄ εξάμηνο 2023).</w:t>
      </w:r>
    </w:p>
    <w:p w14:paraId="3914DB49" w14:textId="3BAF5ADB" w:rsidR="00F60A44" w:rsidRDefault="00F60A44" w:rsidP="00773026">
      <w:pPr>
        <w:spacing w:after="120" w:line="240" w:lineRule="auto"/>
        <w:jc w:val="both"/>
      </w:pPr>
      <w:r w:rsidRPr="00F60A44">
        <w:t xml:space="preserve">Ο καθαρός δανεισμός </w:t>
      </w:r>
      <w:r w:rsidR="00EB47E7">
        <w:t>του τομέα</w:t>
      </w:r>
      <w:r w:rsidRPr="00F60A44">
        <w:t xml:space="preserve"> </w:t>
      </w:r>
      <w:r w:rsidR="002C3624">
        <w:t xml:space="preserve">καλωδίων </w:t>
      </w:r>
      <w:r w:rsidRPr="00F60A44">
        <w:t>αυξήθηκε κατά 81,5 εκατ. ευρώ</w:t>
      </w:r>
      <w:r w:rsidR="00EB47E7">
        <w:t xml:space="preserve"> και ανήλθε σε</w:t>
      </w:r>
      <w:r w:rsidRPr="00F60A44">
        <w:t xml:space="preserve"> 386 εκατ. ευρώ στις 30 Ιουνίου 2024, κυρίως λόγω των συνεχιζόμενων επενδυτικών προγραμμάτων, </w:t>
      </w:r>
      <w:r w:rsidR="002C3624">
        <w:t xml:space="preserve">καθώς </w:t>
      </w:r>
      <w:r w:rsidR="002A2386">
        <w:t xml:space="preserve">το </w:t>
      </w:r>
      <w:r w:rsidR="00EB47E7">
        <w:t>κ</w:t>
      </w:r>
      <w:r w:rsidR="002A2386">
        <w:t xml:space="preserve">εφάλαιο </w:t>
      </w:r>
      <w:r w:rsidR="00EB47E7">
        <w:t>κ</w:t>
      </w:r>
      <w:r w:rsidR="002A2386">
        <w:t xml:space="preserve">ίνησης </w:t>
      </w:r>
      <w:r w:rsidRPr="00F60A44">
        <w:t xml:space="preserve">αυξήθηκε </w:t>
      </w:r>
      <w:r w:rsidR="00773026">
        <w:t xml:space="preserve">μόνο </w:t>
      </w:r>
      <w:r w:rsidRPr="00F60A44">
        <w:t>ελαφρώς.</w:t>
      </w:r>
    </w:p>
    <w:p w14:paraId="4A9AEF9D" w14:textId="4B05E764" w:rsidR="004304E5" w:rsidRPr="00DC6011" w:rsidRDefault="00F60A44" w:rsidP="00773026">
      <w:pPr>
        <w:spacing w:after="120" w:line="240" w:lineRule="auto"/>
      </w:pPr>
      <w:r>
        <w:t>Οι</w:t>
      </w:r>
      <w:r w:rsidRPr="00DC6011">
        <w:t xml:space="preserve"> </w:t>
      </w:r>
      <w:r w:rsidR="00EB47E7">
        <w:t>κ</w:t>
      </w:r>
      <w:r>
        <w:t>εφαλαιουχικές</w:t>
      </w:r>
      <w:r w:rsidRPr="00DC6011">
        <w:t xml:space="preserve"> </w:t>
      </w:r>
      <w:r>
        <w:t>δαπάνες</w:t>
      </w:r>
      <w:r w:rsidRPr="00DC6011">
        <w:t xml:space="preserve"> </w:t>
      </w:r>
      <w:r>
        <w:t>για</w:t>
      </w:r>
      <w:r w:rsidRPr="00DC6011">
        <w:t xml:space="preserve"> </w:t>
      </w:r>
      <w:r>
        <w:t>τον</w:t>
      </w:r>
      <w:r w:rsidRPr="00DC6011">
        <w:t xml:space="preserve"> </w:t>
      </w:r>
      <w:r>
        <w:t>τομέα</w:t>
      </w:r>
      <w:r w:rsidRPr="00DC6011">
        <w:t xml:space="preserve"> </w:t>
      </w:r>
      <w:r>
        <w:t>ανήλθαν</w:t>
      </w:r>
      <w:r w:rsidRPr="00DC6011">
        <w:t xml:space="preserve"> </w:t>
      </w:r>
      <w:r>
        <w:t>σε</w:t>
      </w:r>
      <w:r w:rsidRPr="00DC6011">
        <w:t xml:space="preserve"> 105,1 </w:t>
      </w:r>
      <w:r>
        <w:t>εκατ</w:t>
      </w:r>
      <w:r w:rsidRPr="00DC6011">
        <w:t xml:space="preserve">. </w:t>
      </w:r>
      <w:r w:rsidR="00EB47E7">
        <w:t>ε</w:t>
      </w:r>
      <w:r>
        <w:t>υρώ</w:t>
      </w:r>
      <w:r w:rsidRPr="00DC6011">
        <w:t xml:space="preserve"> </w:t>
      </w:r>
      <w:r>
        <w:t>το</w:t>
      </w:r>
      <w:r w:rsidRPr="00DC6011">
        <w:t xml:space="preserve"> </w:t>
      </w:r>
      <w:r>
        <w:t>α΄</w:t>
      </w:r>
      <w:r w:rsidR="00EB47E7">
        <w:t xml:space="preserve"> </w:t>
      </w:r>
      <w:r>
        <w:t>εξάμηνο</w:t>
      </w:r>
      <w:r w:rsidRPr="00DC6011">
        <w:t xml:space="preserve"> </w:t>
      </w:r>
      <w:r>
        <w:t>του</w:t>
      </w:r>
      <w:r w:rsidRPr="00DC6011">
        <w:t xml:space="preserve"> 2024 </w:t>
      </w:r>
      <w:r>
        <w:t>και</w:t>
      </w:r>
      <w:r w:rsidRPr="00DC6011">
        <w:t xml:space="preserve"> </w:t>
      </w:r>
      <w:r>
        <w:t>αφορούν</w:t>
      </w:r>
      <w:r w:rsidRPr="00DC6011">
        <w:t>:</w:t>
      </w:r>
    </w:p>
    <w:p w14:paraId="1C1545A6" w14:textId="766253E1" w:rsidR="007658DC" w:rsidRPr="00DC6011" w:rsidRDefault="007658DC" w:rsidP="00773026">
      <w:pPr>
        <w:numPr>
          <w:ilvl w:val="0"/>
          <w:numId w:val="1"/>
        </w:numPr>
        <w:spacing w:after="120" w:line="240" w:lineRule="auto"/>
        <w:ind w:left="567" w:hanging="425"/>
        <w:contextualSpacing/>
        <w:jc w:val="both"/>
        <w:rPr>
          <w:rFonts w:cs="Calibri"/>
          <w:szCs w:val="20"/>
        </w:rPr>
      </w:pPr>
      <w:r w:rsidRPr="007658DC">
        <w:rPr>
          <w:rFonts w:cs="Calibri"/>
          <w:szCs w:val="20"/>
        </w:rPr>
        <w:t>49,0 εκατ. ευρώ, για την υλοποίηση της προγραμματισμένης επέκτασης της δυναμικότητας του εργοστασίου υπ</w:t>
      </w:r>
      <w:r w:rsidR="00EB47E7">
        <w:rPr>
          <w:rFonts w:cs="Calibri"/>
          <w:szCs w:val="20"/>
        </w:rPr>
        <w:t>οβρύχιων</w:t>
      </w:r>
      <w:r w:rsidRPr="007658DC">
        <w:rPr>
          <w:rFonts w:cs="Calibri"/>
          <w:szCs w:val="20"/>
        </w:rPr>
        <w:t xml:space="preserve"> καλωδίων στην Κόρινθο,</w:t>
      </w:r>
    </w:p>
    <w:p w14:paraId="437CD764" w14:textId="29BEDB67" w:rsidR="007658DC" w:rsidRPr="00976937" w:rsidRDefault="007658DC" w:rsidP="00773026">
      <w:pPr>
        <w:numPr>
          <w:ilvl w:val="0"/>
          <w:numId w:val="1"/>
        </w:numPr>
        <w:spacing w:after="120" w:line="240" w:lineRule="auto"/>
        <w:ind w:left="567" w:hanging="425"/>
        <w:contextualSpacing/>
        <w:jc w:val="both"/>
        <w:rPr>
          <w:rFonts w:cs="Calibri"/>
          <w:szCs w:val="20"/>
        </w:rPr>
      </w:pPr>
      <w:r w:rsidRPr="007658DC">
        <w:rPr>
          <w:rFonts w:cs="Calibri"/>
          <w:szCs w:val="20"/>
        </w:rPr>
        <w:t xml:space="preserve">23,2 εκατ. ευρώ για τις εγκαταστάσεις των χερσαίων καλωδίων στην Ελλάδα. Συγκεκριμένα, </w:t>
      </w:r>
      <w:r w:rsidR="00976937">
        <w:rPr>
          <w:rFonts w:cs="Calibri"/>
          <w:szCs w:val="20"/>
        </w:rPr>
        <w:t xml:space="preserve">στο εργοστάσιο της Θήβας εγκαθίστανται </w:t>
      </w:r>
      <w:r w:rsidR="00976937" w:rsidRPr="007658DC">
        <w:rPr>
          <w:rFonts w:cs="Calibri"/>
          <w:szCs w:val="20"/>
        </w:rPr>
        <w:t>νέες γραμμές παραγωγής και νέος εξοπλισμός</w:t>
      </w:r>
      <w:r w:rsidRPr="00976937">
        <w:rPr>
          <w:rFonts w:cs="Calibri"/>
          <w:szCs w:val="20"/>
        </w:rPr>
        <w:t>, ώστε να</w:t>
      </w:r>
      <w:r w:rsidR="00976937">
        <w:rPr>
          <w:rFonts w:cs="Calibri"/>
          <w:szCs w:val="20"/>
        </w:rPr>
        <w:t xml:space="preserve"> δημιουργηθεί μια </w:t>
      </w:r>
      <w:r w:rsidR="00976937" w:rsidRPr="00976937">
        <w:rPr>
          <w:rFonts w:cs="Calibri"/>
          <w:szCs w:val="20"/>
        </w:rPr>
        <w:t>υπερσύγχρονη μονάδα παραγωγής επίγειων και υπόγειων καλωδίων μέσης, υψηλής και υπερυψηλής τάσης</w:t>
      </w:r>
      <w:r w:rsidR="00976937">
        <w:rPr>
          <w:rFonts w:cs="Calibri"/>
          <w:szCs w:val="20"/>
        </w:rPr>
        <w:t xml:space="preserve">. </w:t>
      </w:r>
      <w:r w:rsidRPr="00976937">
        <w:rPr>
          <w:rFonts w:cs="Calibri"/>
          <w:szCs w:val="20"/>
        </w:rPr>
        <w:t>Η ολοκλήρωση αναμένεται μέχρι το τέλος του 2025. Παράλληλα, προχωρούν οι επενδύσεις στο εργοστάσιο του Ελ</w:t>
      </w:r>
      <w:r w:rsidR="00F95E03" w:rsidRPr="00976937">
        <w:rPr>
          <w:rFonts w:cs="Calibri"/>
          <w:szCs w:val="20"/>
        </w:rPr>
        <w:t>ε</w:t>
      </w:r>
      <w:r w:rsidRPr="00976937">
        <w:rPr>
          <w:rFonts w:cs="Calibri"/>
          <w:szCs w:val="20"/>
        </w:rPr>
        <w:t xml:space="preserve">ώνα, ώστε </w:t>
      </w:r>
      <w:r w:rsidR="00976937" w:rsidRPr="00976937">
        <w:rPr>
          <w:rFonts w:cs="Calibri"/>
          <w:szCs w:val="20"/>
        </w:rPr>
        <w:t>ν</w:t>
      </w:r>
      <w:r w:rsidRPr="00976937">
        <w:rPr>
          <w:rFonts w:cs="Calibri"/>
          <w:szCs w:val="20"/>
        </w:rPr>
        <w:t xml:space="preserve">α μετατραπεί </w:t>
      </w:r>
      <w:r w:rsidR="00976937" w:rsidRPr="00976937">
        <w:rPr>
          <w:rFonts w:cs="Calibri"/>
          <w:szCs w:val="20"/>
        </w:rPr>
        <w:t xml:space="preserve">σε κέντρο αριστείας παραγωγής καλωδίων χαμηλής τάσης </w:t>
      </w:r>
      <w:r w:rsidRPr="00976937">
        <w:rPr>
          <w:rFonts w:cs="Calibri"/>
          <w:szCs w:val="20"/>
        </w:rPr>
        <w:t>μέχρι το τέλος του 2024,</w:t>
      </w:r>
    </w:p>
    <w:p w14:paraId="0B4B9381" w14:textId="6BF6FC43" w:rsidR="007658DC" w:rsidRPr="00DC6011" w:rsidRDefault="007658DC" w:rsidP="00773026">
      <w:pPr>
        <w:numPr>
          <w:ilvl w:val="0"/>
          <w:numId w:val="1"/>
        </w:numPr>
        <w:spacing w:after="120" w:line="240" w:lineRule="auto"/>
        <w:ind w:left="567" w:hanging="425"/>
        <w:contextualSpacing/>
        <w:jc w:val="both"/>
        <w:rPr>
          <w:rFonts w:cs="Calibri"/>
          <w:szCs w:val="20"/>
        </w:rPr>
      </w:pPr>
      <w:r w:rsidRPr="00DC6011">
        <w:rPr>
          <w:rFonts w:cs="Calibri"/>
          <w:szCs w:val="20"/>
        </w:rPr>
        <w:t>3,5 εκατ. ευρώ για το εργοστάσιο στο Βουκουρέστι και</w:t>
      </w:r>
    </w:p>
    <w:p w14:paraId="5DA11D4E" w14:textId="2CB2AE1B" w:rsidR="00F11D4C" w:rsidRDefault="007658DC" w:rsidP="00773026">
      <w:pPr>
        <w:numPr>
          <w:ilvl w:val="0"/>
          <w:numId w:val="1"/>
        </w:numPr>
        <w:spacing w:after="120" w:line="240" w:lineRule="auto"/>
        <w:ind w:left="567" w:hanging="425"/>
        <w:contextualSpacing/>
        <w:jc w:val="both"/>
        <w:rPr>
          <w:rFonts w:cs="Calibri"/>
          <w:szCs w:val="20"/>
        </w:rPr>
      </w:pPr>
      <w:r w:rsidRPr="001B63F6">
        <w:rPr>
          <w:rFonts w:cs="Calibri"/>
          <w:szCs w:val="20"/>
        </w:rPr>
        <w:t>29,4 εκατ. ευρώ για τ</w:t>
      </w:r>
      <w:r w:rsidR="00773026">
        <w:rPr>
          <w:rFonts w:cs="Calibri"/>
          <w:szCs w:val="20"/>
        </w:rPr>
        <w:t xml:space="preserve">ην αγορά του </w:t>
      </w:r>
      <w:r w:rsidRPr="001B63F6">
        <w:rPr>
          <w:rFonts w:cs="Calibri"/>
          <w:szCs w:val="20"/>
        </w:rPr>
        <w:t>οικ</w:t>
      </w:r>
      <w:r w:rsidR="00773026">
        <w:rPr>
          <w:rFonts w:cs="Calibri"/>
          <w:szCs w:val="20"/>
        </w:rPr>
        <w:t xml:space="preserve">οπέδου </w:t>
      </w:r>
      <w:r w:rsidRPr="001B63F6">
        <w:rPr>
          <w:rFonts w:cs="Calibri"/>
          <w:szCs w:val="20"/>
        </w:rPr>
        <w:t xml:space="preserve">που προορίζεται για τη νέα </w:t>
      </w:r>
      <w:r w:rsidR="00E307F6" w:rsidRPr="001B63F6">
        <w:rPr>
          <w:rFonts w:cs="Calibri"/>
          <w:szCs w:val="20"/>
        </w:rPr>
        <w:t>παραγωγική μονάδα</w:t>
      </w:r>
      <w:r w:rsidRPr="001B63F6">
        <w:rPr>
          <w:rFonts w:cs="Calibri"/>
          <w:szCs w:val="20"/>
        </w:rPr>
        <w:t xml:space="preserve"> καλωδίων στις ΗΠΑ και τις σχετικές δαπάνες που απαιτούνται για την ανάπτυξ</w:t>
      </w:r>
      <w:r w:rsidR="00773026">
        <w:rPr>
          <w:rFonts w:cs="Calibri"/>
          <w:szCs w:val="20"/>
        </w:rPr>
        <w:t>ή της</w:t>
      </w:r>
      <w:r w:rsidRPr="001B63F6">
        <w:rPr>
          <w:rFonts w:cs="Calibri"/>
          <w:szCs w:val="20"/>
        </w:rPr>
        <w:t>.</w:t>
      </w:r>
      <w:bookmarkEnd w:id="13"/>
      <w:bookmarkEnd w:id="14"/>
    </w:p>
    <w:p w14:paraId="5E4178AB" w14:textId="4A099C3C" w:rsidR="00C6458F" w:rsidRPr="00F11D4C" w:rsidRDefault="00F11D4C" w:rsidP="00F11D4C">
      <w:pPr>
        <w:spacing w:after="0" w:line="240" w:lineRule="auto"/>
        <w:rPr>
          <w:rFonts w:cs="Calibri"/>
          <w:szCs w:val="20"/>
        </w:rPr>
      </w:pPr>
      <w:r>
        <w:rPr>
          <w:rFonts w:cs="Calibri"/>
          <w:szCs w:val="20"/>
        </w:rPr>
        <w:br w:type="page"/>
      </w:r>
    </w:p>
    <w:p w14:paraId="0271CF74" w14:textId="77777777" w:rsidR="00937FBD" w:rsidRPr="00DC6011" w:rsidRDefault="00937FBD" w:rsidP="00937FBD">
      <w:pPr>
        <w:keepNext/>
        <w:keepLines/>
        <w:spacing w:after="120" w:line="240" w:lineRule="auto"/>
        <w:jc w:val="both"/>
        <w:outlineLvl w:val="1"/>
        <w:rPr>
          <w:rFonts w:eastAsia="SimSun" w:cs="Calibri"/>
          <w:b/>
          <w:bCs/>
          <w:color w:val="4F6228"/>
          <w:sz w:val="24"/>
          <w:szCs w:val="24"/>
        </w:rPr>
      </w:pPr>
      <w:r w:rsidRPr="009152DC">
        <w:rPr>
          <w:rFonts w:eastAsia="SimSun" w:cs="Calibri"/>
          <w:b/>
          <w:bCs/>
          <w:color w:val="4F6228"/>
          <w:sz w:val="24"/>
          <w:szCs w:val="24"/>
        </w:rPr>
        <w:t>Σωλήνες</w:t>
      </w:r>
      <w:r w:rsidRPr="00DC6011">
        <w:rPr>
          <w:rFonts w:eastAsia="SimSun" w:cs="Calibri"/>
          <w:b/>
          <w:bCs/>
          <w:color w:val="4F6228"/>
          <w:sz w:val="24"/>
          <w:szCs w:val="24"/>
        </w:rPr>
        <w:t xml:space="preserve"> </w:t>
      </w:r>
      <w:r w:rsidRPr="009152DC">
        <w:rPr>
          <w:rFonts w:eastAsia="SimSun" w:cs="Calibri"/>
          <w:b/>
          <w:bCs/>
          <w:color w:val="4F6228"/>
          <w:sz w:val="24"/>
          <w:szCs w:val="24"/>
        </w:rPr>
        <w:t>Χάλυβα</w:t>
      </w:r>
    </w:p>
    <w:p w14:paraId="151495F4" w14:textId="725BD2FE" w:rsidR="00937FBD" w:rsidRPr="00937FBD" w:rsidRDefault="000C24C2" w:rsidP="00AC01AB">
      <w:pPr>
        <w:autoSpaceDE w:val="0"/>
        <w:autoSpaceDN w:val="0"/>
        <w:adjustRightInd w:val="0"/>
        <w:spacing w:after="120" w:line="240" w:lineRule="auto"/>
        <w:jc w:val="both"/>
        <w:rPr>
          <w:rFonts w:asciiTheme="minorHAnsi" w:hAnsiTheme="minorHAnsi" w:cstheme="minorHAnsi"/>
          <w:szCs w:val="20"/>
        </w:rPr>
      </w:pPr>
      <w:bookmarkStart w:id="15" w:name="_Hlk174363582"/>
      <w:r>
        <w:rPr>
          <w:rFonts w:asciiTheme="minorHAnsi" w:hAnsiTheme="minorHAnsi" w:cstheme="minorHAnsi"/>
          <w:szCs w:val="20"/>
        </w:rPr>
        <w:t>Σ</w:t>
      </w:r>
      <w:r w:rsidR="00034F4A">
        <w:rPr>
          <w:rFonts w:asciiTheme="minorHAnsi" w:hAnsiTheme="minorHAnsi" w:cstheme="minorHAnsi"/>
          <w:szCs w:val="20"/>
        </w:rPr>
        <w:t>ε συνέχεια των δυνατών επιδόσεων του 2023,</w:t>
      </w:r>
      <w:r w:rsidR="00937FBD" w:rsidRPr="00937FBD">
        <w:rPr>
          <w:rFonts w:asciiTheme="minorHAnsi" w:hAnsiTheme="minorHAnsi" w:cstheme="minorHAnsi"/>
          <w:szCs w:val="20"/>
        </w:rPr>
        <w:t xml:space="preserve"> </w:t>
      </w:r>
      <w:r w:rsidR="000D69CB">
        <w:rPr>
          <w:rFonts w:asciiTheme="minorHAnsi" w:hAnsiTheme="minorHAnsi" w:cstheme="minorHAnsi"/>
          <w:szCs w:val="20"/>
        </w:rPr>
        <w:t>το</w:t>
      </w:r>
      <w:r>
        <w:rPr>
          <w:rFonts w:asciiTheme="minorHAnsi" w:hAnsiTheme="minorHAnsi" w:cstheme="minorHAnsi"/>
          <w:szCs w:val="20"/>
        </w:rPr>
        <w:t xml:space="preserve"> 2024 </w:t>
      </w:r>
      <w:r w:rsidR="00937FBD" w:rsidRPr="00937FBD">
        <w:rPr>
          <w:rFonts w:asciiTheme="minorHAnsi" w:hAnsiTheme="minorHAnsi" w:cstheme="minorHAnsi"/>
          <w:szCs w:val="20"/>
        </w:rPr>
        <w:t>ξεκίνησε με ένα ισχυρό ανεκτέλεστο υπόλοιπο</w:t>
      </w:r>
      <w:r w:rsidR="00034F4A">
        <w:rPr>
          <w:rFonts w:asciiTheme="minorHAnsi" w:hAnsiTheme="minorHAnsi" w:cstheme="minorHAnsi"/>
          <w:szCs w:val="20"/>
        </w:rPr>
        <w:t xml:space="preserve"> παραγγελιών</w:t>
      </w:r>
      <w:r w:rsidR="00937FBD" w:rsidRPr="00937FBD">
        <w:rPr>
          <w:rFonts w:asciiTheme="minorHAnsi" w:hAnsiTheme="minorHAnsi" w:cstheme="minorHAnsi"/>
          <w:szCs w:val="20"/>
        </w:rPr>
        <w:t xml:space="preserve"> περίπου</w:t>
      </w:r>
      <w:r w:rsidR="00773026">
        <w:rPr>
          <w:rFonts w:asciiTheme="minorHAnsi" w:hAnsiTheme="minorHAnsi" w:cstheme="minorHAnsi"/>
          <w:szCs w:val="20"/>
        </w:rPr>
        <w:t xml:space="preserve"> στα</w:t>
      </w:r>
      <w:r w:rsidR="00937FBD" w:rsidRPr="00937FBD">
        <w:rPr>
          <w:rFonts w:asciiTheme="minorHAnsi" w:hAnsiTheme="minorHAnsi" w:cstheme="minorHAnsi"/>
          <w:szCs w:val="20"/>
        </w:rPr>
        <w:t xml:space="preserve"> 650</w:t>
      </w:r>
      <w:r w:rsidR="00773026">
        <w:rPr>
          <w:rFonts w:asciiTheme="minorHAnsi" w:hAnsiTheme="minorHAnsi" w:cstheme="minorHAnsi"/>
          <w:szCs w:val="20"/>
        </w:rPr>
        <w:t> </w:t>
      </w:r>
      <w:r w:rsidR="00937FBD" w:rsidRPr="00937FBD">
        <w:rPr>
          <w:rFonts w:asciiTheme="minorHAnsi" w:hAnsiTheme="minorHAnsi" w:cstheme="minorHAnsi"/>
          <w:szCs w:val="20"/>
        </w:rPr>
        <w:t>εκατ.</w:t>
      </w:r>
      <w:r w:rsidR="00773026">
        <w:rPr>
          <w:rFonts w:asciiTheme="minorHAnsi" w:hAnsiTheme="minorHAnsi" w:cstheme="minorHAnsi"/>
          <w:szCs w:val="20"/>
        </w:rPr>
        <w:t> </w:t>
      </w:r>
      <w:r w:rsidR="00937FBD" w:rsidRPr="00937FBD">
        <w:rPr>
          <w:rFonts w:asciiTheme="minorHAnsi" w:hAnsiTheme="minorHAnsi" w:cstheme="minorHAnsi"/>
          <w:szCs w:val="20"/>
        </w:rPr>
        <w:t>ευρώ</w:t>
      </w:r>
      <w:r w:rsidR="00773026">
        <w:rPr>
          <w:rFonts w:asciiTheme="minorHAnsi" w:hAnsiTheme="minorHAnsi" w:cstheme="minorHAnsi"/>
          <w:szCs w:val="20"/>
        </w:rPr>
        <w:t xml:space="preserve"> και </w:t>
      </w:r>
      <w:r w:rsidR="00937FBD" w:rsidRPr="00937FBD">
        <w:rPr>
          <w:rFonts w:asciiTheme="minorHAnsi" w:hAnsiTheme="minorHAnsi" w:cstheme="minorHAnsi"/>
          <w:szCs w:val="20"/>
        </w:rPr>
        <w:t xml:space="preserve">τελικά οδήγησε σε ένα κερδοφόρο πρώτο εξάμηνο. </w:t>
      </w:r>
      <w:r w:rsidR="00FD7E5E">
        <w:rPr>
          <w:rFonts w:asciiTheme="minorHAnsi" w:hAnsiTheme="minorHAnsi" w:cstheme="minorHAnsi"/>
          <w:szCs w:val="20"/>
        </w:rPr>
        <w:t>Οι πωλήσεις</w:t>
      </w:r>
      <w:r w:rsidR="00937FBD" w:rsidRPr="00937FBD">
        <w:rPr>
          <w:rFonts w:asciiTheme="minorHAnsi" w:hAnsiTheme="minorHAnsi" w:cstheme="minorHAnsi"/>
          <w:szCs w:val="20"/>
        </w:rPr>
        <w:t xml:space="preserve"> </w:t>
      </w:r>
      <w:r w:rsidR="00034F4A">
        <w:rPr>
          <w:rFonts w:asciiTheme="minorHAnsi" w:hAnsiTheme="minorHAnsi" w:cstheme="minorHAnsi"/>
          <w:szCs w:val="20"/>
        </w:rPr>
        <w:t>ανήλθαν σε</w:t>
      </w:r>
      <w:r w:rsidR="00937FBD" w:rsidRPr="00937FBD">
        <w:rPr>
          <w:rFonts w:asciiTheme="minorHAnsi" w:hAnsiTheme="minorHAnsi" w:cstheme="minorHAnsi"/>
          <w:szCs w:val="20"/>
        </w:rPr>
        <w:t xml:space="preserve"> 252 εκατ. ευρώ, χαμηλότερ</w:t>
      </w:r>
      <w:r w:rsidR="00034F4A">
        <w:rPr>
          <w:rFonts w:asciiTheme="minorHAnsi" w:hAnsiTheme="minorHAnsi" w:cstheme="minorHAnsi"/>
          <w:szCs w:val="20"/>
        </w:rPr>
        <w:t>ες</w:t>
      </w:r>
      <w:r w:rsidR="00937FBD" w:rsidRPr="00937FBD">
        <w:rPr>
          <w:rFonts w:asciiTheme="minorHAnsi" w:hAnsiTheme="minorHAnsi" w:cstheme="minorHAnsi"/>
          <w:szCs w:val="20"/>
        </w:rPr>
        <w:t xml:space="preserve"> </w:t>
      </w:r>
      <w:r w:rsidR="00773026">
        <w:rPr>
          <w:rFonts w:asciiTheme="minorHAnsi" w:hAnsiTheme="minorHAnsi" w:cstheme="minorHAnsi"/>
          <w:szCs w:val="20"/>
        </w:rPr>
        <w:t xml:space="preserve">μεν </w:t>
      </w:r>
      <w:r w:rsidR="00034F4A">
        <w:rPr>
          <w:rFonts w:asciiTheme="minorHAnsi" w:hAnsiTheme="minorHAnsi" w:cstheme="minorHAnsi"/>
          <w:szCs w:val="20"/>
        </w:rPr>
        <w:t>σε σχέση με</w:t>
      </w:r>
      <w:r w:rsidR="00937FBD" w:rsidRPr="00937FBD">
        <w:rPr>
          <w:rFonts w:asciiTheme="minorHAnsi" w:hAnsiTheme="minorHAnsi" w:cstheme="minorHAnsi"/>
          <w:szCs w:val="20"/>
        </w:rPr>
        <w:t xml:space="preserve"> την </w:t>
      </w:r>
      <w:r w:rsidR="00034F4A">
        <w:rPr>
          <w:rFonts w:asciiTheme="minorHAnsi" w:hAnsiTheme="minorHAnsi" w:cstheme="minorHAnsi"/>
          <w:szCs w:val="20"/>
        </w:rPr>
        <w:t>αντίστοιχη περσινή περίοδο</w:t>
      </w:r>
      <w:r w:rsidR="00937FBD" w:rsidRPr="00937FBD">
        <w:rPr>
          <w:rFonts w:asciiTheme="minorHAnsi" w:hAnsiTheme="minorHAnsi" w:cstheme="minorHAnsi"/>
          <w:szCs w:val="20"/>
        </w:rPr>
        <w:t xml:space="preserve">, αλλά με πολύ </w:t>
      </w:r>
      <w:r w:rsidR="00773026">
        <w:rPr>
          <w:rFonts w:asciiTheme="minorHAnsi" w:hAnsiTheme="minorHAnsi" w:cstheme="minorHAnsi"/>
          <w:szCs w:val="20"/>
        </w:rPr>
        <w:t xml:space="preserve">ισχυρότερη </w:t>
      </w:r>
      <w:r w:rsidR="00937FBD" w:rsidRPr="00937FBD">
        <w:rPr>
          <w:rFonts w:asciiTheme="minorHAnsi" w:hAnsiTheme="minorHAnsi" w:cstheme="minorHAnsi"/>
          <w:szCs w:val="20"/>
        </w:rPr>
        <w:t xml:space="preserve">κερδοφορία (σε όρους </w:t>
      </w:r>
      <w:r w:rsidR="00FD7E5E">
        <w:rPr>
          <w:rFonts w:asciiTheme="minorHAnsi" w:hAnsiTheme="minorHAnsi" w:cstheme="minorHAnsi"/>
          <w:szCs w:val="20"/>
        </w:rPr>
        <w:t>αναπροσαρμοσμένου</w:t>
      </w:r>
      <w:r w:rsidR="00034F4A">
        <w:rPr>
          <w:rFonts w:asciiTheme="minorHAnsi" w:hAnsiTheme="minorHAnsi" w:cstheme="minorHAnsi"/>
          <w:szCs w:val="20"/>
        </w:rPr>
        <w:t xml:space="preserve"> </w:t>
      </w:r>
      <w:r w:rsidR="00937FBD" w:rsidRPr="00937FBD">
        <w:rPr>
          <w:rFonts w:asciiTheme="minorHAnsi" w:hAnsiTheme="minorHAnsi" w:cstheme="minorHAnsi"/>
          <w:szCs w:val="20"/>
          <w:lang w:val="en-GB"/>
        </w:rPr>
        <w:t>EBITDA</w:t>
      </w:r>
      <w:r w:rsidR="00937FBD" w:rsidRPr="00937FBD">
        <w:rPr>
          <w:rFonts w:asciiTheme="minorHAnsi" w:hAnsiTheme="minorHAnsi" w:cstheme="minorHAnsi"/>
          <w:szCs w:val="20"/>
        </w:rPr>
        <w:t xml:space="preserve">) </w:t>
      </w:r>
      <w:r w:rsidR="00773026">
        <w:rPr>
          <w:rFonts w:asciiTheme="minorHAnsi" w:hAnsiTheme="minorHAnsi" w:cstheme="minorHAnsi"/>
          <w:szCs w:val="20"/>
        </w:rPr>
        <w:t>στα</w:t>
      </w:r>
      <w:r w:rsidR="004004B6">
        <w:rPr>
          <w:rFonts w:asciiTheme="minorHAnsi" w:hAnsiTheme="minorHAnsi" w:cstheme="minorHAnsi"/>
          <w:szCs w:val="20"/>
        </w:rPr>
        <w:t xml:space="preserve"> </w:t>
      </w:r>
      <w:r w:rsidR="00937FBD" w:rsidRPr="00937FBD">
        <w:rPr>
          <w:rFonts w:asciiTheme="minorHAnsi" w:hAnsiTheme="minorHAnsi" w:cstheme="minorHAnsi"/>
          <w:szCs w:val="20"/>
        </w:rPr>
        <w:t>4</w:t>
      </w:r>
      <w:r w:rsidR="00DF6E79">
        <w:rPr>
          <w:rFonts w:asciiTheme="minorHAnsi" w:hAnsiTheme="minorHAnsi" w:cstheme="minorHAnsi"/>
          <w:szCs w:val="20"/>
        </w:rPr>
        <w:t>0</w:t>
      </w:r>
      <w:r w:rsidR="00937FBD" w:rsidRPr="00937FBD">
        <w:rPr>
          <w:rFonts w:asciiTheme="minorHAnsi" w:hAnsiTheme="minorHAnsi" w:cstheme="minorHAnsi"/>
          <w:szCs w:val="20"/>
        </w:rPr>
        <w:t>,</w:t>
      </w:r>
      <w:r w:rsidR="00DF6E79">
        <w:rPr>
          <w:rFonts w:asciiTheme="minorHAnsi" w:hAnsiTheme="minorHAnsi" w:cstheme="minorHAnsi"/>
          <w:szCs w:val="20"/>
        </w:rPr>
        <w:t>6</w:t>
      </w:r>
      <w:r w:rsidR="00937FBD" w:rsidRPr="00937FBD">
        <w:rPr>
          <w:rFonts w:asciiTheme="minorHAnsi" w:hAnsiTheme="minorHAnsi" w:cstheme="minorHAnsi"/>
          <w:szCs w:val="20"/>
        </w:rPr>
        <w:t xml:space="preserve"> εκατ. ευρώ</w:t>
      </w:r>
      <w:r w:rsidR="00773026">
        <w:rPr>
          <w:rFonts w:asciiTheme="minorHAnsi" w:hAnsiTheme="minorHAnsi" w:cstheme="minorHAnsi"/>
          <w:szCs w:val="20"/>
        </w:rPr>
        <w:t xml:space="preserve"> (+</w:t>
      </w:r>
      <w:r w:rsidR="00937FBD" w:rsidRPr="00937FBD">
        <w:rPr>
          <w:rFonts w:asciiTheme="minorHAnsi" w:hAnsiTheme="minorHAnsi" w:cstheme="minorHAnsi"/>
          <w:szCs w:val="20"/>
        </w:rPr>
        <w:t>5</w:t>
      </w:r>
      <w:r w:rsidR="00DF6E79">
        <w:rPr>
          <w:rFonts w:asciiTheme="minorHAnsi" w:hAnsiTheme="minorHAnsi" w:cstheme="minorHAnsi"/>
          <w:szCs w:val="20"/>
        </w:rPr>
        <w:t>0</w:t>
      </w:r>
      <w:r w:rsidR="00937FBD" w:rsidRPr="00937FBD">
        <w:rPr>
          <w:rFonts w:asciiTheme="minorHAnsi" w:hAnsiTheme="minorHAnsi" w:cstheme="minorHAnsi"/>
          <w:szCs w:val="20"/>
        </w:rPr>
        <w:t>,</w:t>
      </w:r>
      <w:r w:rsidR="00DF6E79">
        <w:rPr>
          <w:rFonts w:asciiTheme="minorHAnsi" w:hAnsiTheme="minorHAnsi" w:cstheme="minorHAnsi"/>
          <w:szCs w:val="20"/>
        </w:rPr>
        <w:t>1</w:t>
      </w:r>
      <w:r w:rsidR="00937FBD" w:rsidRPr="00937FBD">
        <w:rPr>
          <w:rFonts w:asciiTheme="minorHAnsi" w:hAnsiTheme="minorHAnsi" w:cstheme="minorHAnsi"/>
          <w:szCs w:val="20"/>
        </w:rPr>
        <w:t xml:space="preserve">% </w:t>
      </w:r>
      <w:r w:rsidR="00034F4A">
        <w:rPr>
          <w:rFonts w:asciiTheme="minorHAnsi" w:hAnsiTheme="minorHAnsi" w:cstheme="minorHAnsi"/>
          <w:szCs w:val="20"/>
        </w:rPr>
        <w:t>σε σχέση με πέρυσι</w:t>
      </w:r>
      <w:r w:rsidR="00773026">
        <w:rPr>
          <w:rFonts w:asciiTheme="minorHAnsi" w:hAnsiTheme="minorHAnsi" w:cstheme="minorHAnsi"/>
          <w:szCs w:val="20"/>
        </w:rPr>
        <w:t>)</w:t>
      </w:r>
      <w:r w:rsidR="00937FBD" w:rsidRPr="00937FBD">
        <w:rPr>
          <w:rFonts w:asciiTheme="minorHAnsi" w:hAnsiTheme="minorHAnsi" w:cstheme="minorHAnsi"/>
          <w:szCs w:val="20"/>
        </w:rPr>
        <w:t xml:space="preserve">. </w:t>
      </w:r>
      <w:r w:rsidR="001A0CBE">
        <w:rPr>
          <w:rFonts w:asciiTheme="minorHAnsi" w:hAnsiTheme="minorHAnsi" w:cstheme="minorHAnsi"/>
          <w:szCs w:val="20"/>
        </w:rPr>
        <w:t>Το άλμα αυτό</w:t>
      </w:r>
      <w:r w:rsidR="00937FBD" w:rsidRPr="00937FBD">
        <w:rPr>
          <w:rFonts w:asciiTheme="minorHAnsi" w:hAnsiTheme="minorHAnsi" w:cstheme="minorHAnsi"/>
          <w:szCs w:val="20"/>
        </w:rPr>
        <w:t xml:space="preserve"> στην κερδοφορία αποδίδεται σ</w:t>
      </w:r>
      <w:r w:rsidR="00771225">
        <w:rPr>
          <w:rFonts w:asciiTheme="minorHAnsi" w:hAnsiTheme="minorHAnsi" w:cstheme="minorHAnsi"/>
          <w:szCs w:val="20"/>
        </w:rPr>
        <w:t xml:space="preserve">ε έργα </w:t>
      </w:r>
      <w:r w:rsidR="00937FBD" w:rsidRPr="00937FBD">
        <w:rPr>
          <w:rFonts w:asciiTheme="minorHAnsi" w:hAnsiTheme="minorHAnsi" w:cstheme="minorHAnsi"/>
          <w:szCs w:val="20"/>
        </w:rPr>
        <w:t xml:space="preserve">με σημαντικά υψηλότερο περιθώριο κέρδους σε σύγκριση με το μείγμα </w:t>
      </w:r>
      <w:r w:rsidR="00771225">
        <w:rPr>
          <w:rFonts w:asciiTheme="minorHAnsi" w:hAnsiTheme="minorHAnsi" w:cstheme="minorHAnsi"/>
          <w:szCs w:val="20"/>
        </w:rPr>
        <w:t xml:space="preserve">όσων </w:t>
      </w:r>
      <w:r w:rsidR="00937FBD" w:rsidRPr="00937FBD">
        <w:rPr>
          <w:rFonts w:asciiTheme="minorHAnsi" w:hAnsiTheme="minorHAnsi" w:cstheme="minorHAnsi"/>
          <w:szCs w:val="20"/>
        </w:rPr>
        <w:t xml:space="preserve">εκτελέστηκαν το </w:t>
      </w:r>
      <w:r w:rsidR="00034F4A">
        <w:rPr>
          <w:rFonts w:asciiTheme="minorHAnsi" w:hAnsiTheme="minorHAnsi" w:cstheme="minorHAnsi"/>
          <w:szCs w:val="20"/>
        </w:rPr>
        <w:t>πρώτο</w:t>
      </w:r>
      <w:r w:rsidR="00937FBD" w:rsidRPr="00937FBD">
        <w:rPr>
          <w:rFonts w:asciiTheme="minorHAnsi" w:hAnsiTheme="minorHAnsi" w:cstheme="minorHAnsi"/>
          <w:szCs w:val="20"/>
        </w:rPr>
        <w:t xml:space="preserve"> εξάμηνο του 2023, </w:t>
      </w:r>
      <w:r w:rsidR="00771225">
        <w:rPr>
          <w:rFonts w:asciiTheme="minorHAnsi" w:hAnsiTheme="minorHAnsi" w:cstheme="minorHAnsi"/>
          <w:szCs w:val="20"/>
        </w:rPr>
        <w:t xml:space="preserve">οδηγώντας </w:t>
      </w:r>
      <w:r w:rsidR="00937FBD" w:rsidRPr="00937FBD">
        <w:rPr>
          <w:rFonts w:asciiTheme="minorHAnsi" w:hAnsiTheme="minorHAnsi" w:cstheme="minorHAnsi"/>
          <w:szCs w:val="20"/>
        </w:rPr>
        <w:t>το μέσο περιθώριο για το εξάμηνο σ</w:t>
      </w:r>
      <w:r w:rsidR="00034F4A">
        <w:rPr>
          <w:rFonts w:asciiTheme="minorHAnsi" w:hAnsiTheme="minorHAnsi" w:cstheme="minorHAnsi"/>
          <w:szCs w:val="20"/>
        </w:rPr>
        <w:t>τα</w:t>
      </w:r>
      <w:r w:rsidR="00A83FF4" w:rsidRPr="00A83FF4">
        <w:rPr>
          <w:rFonts w:asciiTheme="minorHAnsi" w:hAnsiTheme="minorHAnsi" w:cstheme="minorHAnsi"/>
          <w:szCs w:val="20"/>
        </w:rPr>
        <w:t xml:space="preserve"> </w:t>
      </w:r>
      <w:r w:rsidR="00A83FF4">
        <w:rPr>
          <w:rFonts w:asciiTheme="minorHAnsi" w:hAnsiTheme="minorHAnsi" w:cstheme="minorHAnsi"/>
          <w:szCs w:val="20"/>
        </w:rPr>
        <w:t>ιστορικά</w:t>
      </w:r>
      <w:r w:rsidR="00937FBD" w:rsidRPr="00937FBD">
        <w:rPr>
          <w:rFonts w:asciiTheme="minorHAnsi" w:hAnsiTheme="minorHAnsi" w:cstheme="minorHAnsi"/>
          <w:szCs w:val="20"/>
        </w:rPr>
        <w:t xml:space="preserve"> υψηλ</w:t>
      </w:r>
      <w:r w:rsidR="00034F4A">
        <w:rPr>
          <w:rFonts w:asciiTheme="minorHAnsi" w:hAnsiTheme="minorHAnsi" w:cstheme="minorHAnsi"/>
          <w:szCs w:val="20"/>
        </w:rPr>
        <w:t>ά</w:t>
      </w:r>
      <w:r w:rsidR="00937FBD" w:rsidRPr="00937FBD">
        <w:rPr>
          <w:rFonts w:asciiTheme="minorHAnsi" w:hAnsiTheme="minorHAnsi" w:cstheme="minorHAnsi"/>
          <w:szCs w:val="20"/>
        </w:rPr>
        <w:t xml:space="preserve"> </w:t>
      </w:r>
      <w:r w:rsidR="00034F4A">
        <w:rPr>
          <w:rFonts w:asciiTheme="minorHAnsi" w:hAnsiTheme="minorHAnsi" w:cstheme="minorHAnsi"/>
          <w:szCs w:val="20"/>
        </w:rPr>
        <w:t>επίπεδα</w:t>
      </w:r>
      <w:r w:rsidR="00937FBD" w:rsidRPr="00937FBD">
        <w:rPr>
          <w:rFonts w:asciiTheme="minorHAnsi" w:hAnsiTheme="minorHAnsi" w:cstheme="minorHAnsi"/>
          <w:szCs w:val="20"/>
        </w:rPr>
        <w:t xml:space="preserve"> του 16,</w:t>
      </w:r>
      <w:r w:rsidR="00492C58" w:rsidRPr="00492C58">
        <w:rPr>
          <w:rFonts w:asciiTheme="minorHAnsi" w:hAnsiTheme="minorHAnsi" w:cstheme="minorHAnsi"/>
          <w:szCs w:val="20"/>
        </w:rPr>
        <w:t>1</w:t>
      </w:r>
      <w:r w:rsidR="00937FBD" w:rsidRPr="00937FBD">
        <w:rPr>
          <w:rFonts w:asciiTheme="minorHAnsi" w:hAnsiTheme="minorHAnsi" w:cstheme="minorHAnsi"/>
          <w:szCs w:val="20"/>
        </w:rPr>
        <w:t xml:space="preserve">%. </w:t>
      </w:r>
      <w:r w:rsidR="004004B6">
        <w:rPr>
          <w:rFonts w:asciiTheme="minorHAnsi" w:hAnsiTheme="minorHAnsi" w:cstheme="minorHAnsi"/>
          <w:szCs w:val="20"/>
          <w:lang w:val="en-US"/>
        </w:rPr>
        <w:t>H</w:t>
      </w:r>
      <w:r w:rsidR="00937FBD" w:rsidRPr="00937FBD">
        <w:rPr>
          <w:rFonts w:asciiTheme="minorHAnsi" w:hAnsiTheme="minorHAnsi" w:cstheme="minorHAnsi"/>
          <w:szCs w:val="20"/>
        </w:rPr>
        <w:t xml:space="preserve"> ικανότητα εξασφάλισης ενεργειακών έργων υψηλ</w:t>
      </w:r>
      <w:r w:rsidR="004004B6">
        <w:rPr>
          <w:rFonts w:asciiTheme="minorHAnsi" w:hAnsiTheme="minorHAnsi" w:cstheme="minorHAnsi"/>
          <w:szCs w:val="20"/>
        </w:rPr>
        <w:t>ών προδιαγραφών με</w:t>
      </w:r>
      <w:r w:rsidR="00937FBD" w:rsidRPr="00937FBD">
        <w:rPr>
          <w:rFonts w:asciiTheme="minorHAnsi" w:hAnsiTheme="minorHAnsi" w:cstheme="minorHAnsi"/>
          <w:szCs w:val="20"/>
        </w:rPr>
        <w:t xml:space="preserve"> </w:t>
      </w:r>
      <w:r w:rsidR="00373D84">
        <w:rPr>
          <w:rFonts w:asciiTheme="minorHAnsi" w:hAnsiTheme="minorHAnsi" w:cstheme="minorHAnsi"/>
          <w:szCs w:val="20"/>
        </w:rPr>
        <w:t>ικανοποιητικά</w:t>
      </w:r>
      <w:r w:rsidR="00937FBD" w:rsidRPr="00937FBD">
        <w:rPr>
          <w:rFonts w:asciiTheme="minorHAnsi" w:hAnsiTheme="minorHAnsi" w:cstheme="minorHAnsi"/>
          <w:szCs w:val="20"/>
        </w:rPr>
        <w:t xml:space="preserve"> περιθώρια κέρδους αποτελεί απτή απόδειξη ότι η Σωληνουργεία</w:t>
      </w:r>
      <w:r w:rsidR="004004B6">
        <w:rPr>
          <w:rFonts w:asciiTheme="minorHAnsi" w:hAnsiTheme="minorHAnsi" w:cstheme="minorHAnsi"/>
          <w:szCs w:val="20"/>
        </w:rPr>
        <w:t xml:space="preserve"> Κορίνθου</w:t>
      </w:r>
      <w:r w:rsidR="00937FBD" w:rsidRPr="00937FBD">
        <w:rPr>
          <w:rFonts w:asciiTheme="minorHAnsi" w:hAnsiTheme="minorHAnsi" w:cstheme="minorHAnsi"/>
          <w:szCs w:val="20"/>
        </w:rPr>
        <w:t xml:space="preserve"> </w:t>
      </w:r>
      <w:r w:rsidR="004004B6" w:rsidRPr="004004B6">
        <w:rPr>
          <w:rFonts w:asciiTheme="minorHAnsi" w:hAnsiTheme="minorHAnsi" w:cstheme="minorHAnsi"/>
          <w:szCs w:val="20"/>
        </w:rPr>
        <w:t xml:space="preserve">έχει καταφέρει να καθιερωθεί </w:t>
      </w:r>
      <w:r w:rsidR="00771225">
        <w:rPr>
          <w:rFonts w:asciiTheme="minorHAnsi" w:hAnsiTheme="minorHAnsi" w:cstheme="minorHAnsi"/>
          <w:szCs w:val="20"/>
        </w:rPr>
        <w:t xml:space="preserve">πλέον </w:t>
      </w:r>
      <w:r w:rsidR="004004B6" w:rsidRPr="004004B6">
        <w:rPr>
          <w:rFonts w:asciiTheme="minorHAnsi" w:hAnsiTheme="minorHAnsi" w:cstheme="minorHAnsi"/>
          <w:szCs w:val="20"/>
        </w:rPr>
        <w:t xml:space="preserve">ως κατασκευαστής σωλήνων </w:t>
      </w:r>
      <w:r w:rsidR="00771225">
        <w:rPr>
          <w:rFonts w:asciiTheme="minorHAnsi" w:hAnsiTheme="minorHAnsi" w:cstheme="minorHAnsi"/>
          <w:szCs w:val="20"/>
        </w:rPr>
        <w:t>«</w:t>
      </w:r>
      <w:r w:rsidR="000B5CC4">
        <w:rPr>
          <w:rFonts w:asciiTheme="minorHAnsi" w:hAnsiTheme="minorHAnsi" w:cstheme="minorHAnsi"/>
          <w:szCs w:val="20"/>
        </w:rPr>
        <w:t xml:space="preserve">πρώτου </w:t>
      </w:r>
      <w:r w:rsidR="004004B6" w:rsidRPr="004004B6">
        <w:rPr>
          <w:rFonts w:asciiTheme="minorHAnsi" w:hAnsiTheme="minorHAnsi" w:cstheme="minorHAnsi"/>
          <w:szCs w:val="20"/>
        </w:rPr>
        <w:t>επιπέδου</w:t>
      </w:r>
      <w:r w:rsidR="00771225">
        <w:rPr>
          <w:rFonts w:asciiTheme="minorHAnsi" w:hAnsiTheme="minorHAnsi" w:cstheme="minorHAnsi"/>
          <w:szCs w:val="20"/>
        </w:rPr>
        <w:t>»</w:t>
      </w:r>
      <w:r w:rsidR="004004B6" w:rsidRPr="004004B6">
        <w:rPr>
          <w:rFonts w:asciiTheme="minorHAnsi" w:hAnsiTheme="minorHAnsi" w:cstheme="minorHAnsi"/>
          <w:szCs w:val="20"/>
        </w:rPr>
        <w:t xml:space="preserve"> </w:t>
      </w:r>
      <w:r w:rsidR="000B5CC4">
        <w:rPr>
          <w:rFonts w:asciiTheme="minorHAnsi" w:hAnsiTheme="minorHAnsi" w:cstheme="minorHAnsi"/>
          <w:szCs w:val="20"/>
        </w:rPr>
        <w:t>(</w:t>
      </w:r>
      <w:r w:rsidR="004004B6" w:rsidRPr="000B5CC4">
        <w:rPr>
          <w:rFonts w:asciiTheme="minorHAnsi" w:hAnsiTheme="minorHAnsi" w:cstheme="minorHAnsi"/>
          <w:szCs w:val="20"/>
          <w:lang w:val="en-GB"/>
        </w:rPr>
        <w:t>Tier</w:t>
      </w:r>
      <w:r w:rsidR="004004B6" w:rsidRPr="004004B6">
        <w:rPr>
          <w:rFonts w:asciiTheme="minorHAnsi" w:hAnsiTheme="minorHAnsi" w:cstheme="minorHAnsi"/>
          <w:szCs w:val="20"/>
        </w:rPr>
        <w:t xml:space="preserve"> 1</w:t>
      </w:r>
      <w:r w:rsidR="000B5CC4">
        <w:rPr>
          <w:rFonts w:asciiTheme="minorHAnsi" w:hAnsiTheme="minorHAnsi" w:cstheme="minorHAnsi"/>
          <w:szCs w:val="20"/>
        </w:rPr>
        <w:t>)</w:t>
      </w:r>
      <w:r w:rsidR="00937FBD" w:rsidRPr="00937FBD">
        <w:rPr>
          <w:rFonts w:asciiTheme="minorHAnsi" w:hAnsiTheme="minorHAnsi" w:cstheme="minorHAnsi"/>
          <w:szCs w:val="20"/>
        </w:rPr>
        <w:t>.</w:t>
      </w:r>
    </w:p>
    <w:p w14:paraId="73122AF0" w14:textId="092AF434" w:rsidR="00937FBD" w:rsidRPr="00FD7E5E" w:rsidRDefault="00937FBD" w:rsidP="00AC01AB">
      <w:pPr>
        <w:autoSpaceDE w:val="0"/>
        <w:autoSpaceDN w:val="0"/>
        <w:adjustRightInd w:val="0"/>
        <w:spacing w:after="120" w:line="240" w:lineRule="auto"/>
        <w:jc w:val="both"/>
        <w:rPr>
          <w:rFonts w:asciiTheme="minorHAnsi" w:hAnsiTheme="minorHAnsi" w:cstheme="minorHAnsi"/>
          <w:szCs w:val="20"/>
        </w:rPr>
      </w:pPr>
      <w:r w:rsidRPr="00937FBD">
        <w:rPr>
          <w:rFonts w:asciiTheme="minorHAnsi" w:hAnsiTheme="minorHAnsi" w:cstheme="minorHAnsi"/>
          <w:szCs w:val="20"/>
        </w:rPr>
        <w:t xml:space="preserve">Η </w:t>
      </w:r>
      <w:r w:rsidR="00D93CD4" w:rsidRPr="00D93CD4">
        <w:rPr>
          <w:rFonts w:asciiTheme="minorHAnsi" w:hAnsiTheme="minorHAnsi" w:cstheme="minorHAnsi"/>
          <w:szCs w:val="20"/>
        </w:rPr>
        <w:t>αγορά μεταφοράς αερίων καυσίμων</w:t>
      </w:r>
      <w:r w:rsidR="00D93CD4">
        <w:rPr>
          <w:rFonts w:asciiTheme="minorHAnsi" w:hAnsiTheme="minorHAnsi" w:cstheme="minorHAnsi"/>
          <w:szCs w:val="20"/>
        </w:rPr>
        <w:t xml:space="preserve"> </w:t>
      </w:r>
      <w:r w:rsidRPr="00937FBD">
        <w:rPr>
          <w:rFonts w:asciiTheme="minorHAnsi" w:hAnsiTheme="minorHAnsi" w:cstheme="minorHAnsi"/>
          <w:szCs w:val="20"/>
        </w:rPr>
        <w:t xml:space="preserve">διατηρεί </w:t>
      </w:r>
      <w:r w:rsidR="00D93CD4">
        <w:rPr>
          <w:rFonts w:asciiTheme="minorHAnsi" w:hAnsiTheme="minorHAnsi" w:cstheme="minorHAnsi"/>
          <w:szCs w:val="20"/>
        </w:rPr>
        <w:t xml:space="preserve">το 2024 </w:t>
      </w:r>
      <w:r w:rsidRPr="00937FBD">
        <w:rPr>
          <w:rFonts w:asciiTheme="minorHAnsi" w:hAnsiTheme="minorHAnsi" w:cstheme="minorHAnsi"/>
          <w:szCs w:val="20"/>
        </w:rPr>
        <w:t xml:space="preserve">τη θετική </w:t>
      </w:r>
      <w:r w:rsidR="00771225">
        <w:rPr>
          <w:rFonts w:asciiTheme="minorHAnsi" w:hAnsiTheme="minorHAnsi" w:cstheme="minorHAnsi"/>
          <w:szCs w:val="20"/>
        </w:rPr>
        <w:t xml:space="preserve">της </w:t>
      </w:r>
      <w:r w:rsidRPr="00937FBD">
        <w:rPr>
          <w:rFonts w:asciiTheme="minorHAnsi" w:hAnsiTheme="minorHAnsi" w:cstheme="minorHAnsi"/>
          <w:szCs w:val="20"/>
        </w:rPr>
        <w:t xml:space="preserve">δυναμική, </w:t>
      </w:r>
      <w:r w:rsidR="000D69CB">
        <w:rPr>
          <w:rFonts w:asciiTheme="minorHAnsi" w:hAnsiTheme="minorHAnsi" w:cstheme="minorHAnsi"/>
          <w:szCs w:val="20"/>
        </w:rPr>
        <w:t xml:space="preserve">λόγω </w:t>
      </w:r>
      <w:r w:rsidR="000D69CB" w:rsidRPr="000D69CB">
        <w:rPr>
          <w:rFonts w:asciiTheme="minorHAnsi" w:hAnsiTheme="minorHAnsi" w:cstheme="minorHAnsi"/>
          <w:szCs w:val="20"/>
        </w:rPr>
        <w:t>των σταθερά υψηλών τιμών ενέργειας</w:t>
      </w:r>
      <w:r w:rsidR="000D69CB">
        <w:rPr>
          <w:rFonts w:asciiTheme="minorHAnsi" w:hAnsiTheme="minorHAnsi" w:cstheme="minorHAnsi"/>
          <w:szCs w:val="20"/>
        </w:rPr>
        <w:t xml:space="preserve"> και</w:t>
      </w:r>
      <w:r w:rsidR="000D69CB" w:rsidRPr="000D69CB">
        <w:t xml:space="preserve"> </w:t>
      </w:r>
      <w:r w:rsidR="000D69CB" w:rsidRPr="000D69CB">
        <w:rPr>
          <w:rFonts w:asciiTheme="minorHAnsi" w:hAnsiTheme="minorHAnsi" w:cstheme="minorHAnsi"/>
          <w:szCs w:val="20"/>
        </w:rPr>
        <w:t xml:space="preserve">του επιτακτικού ζητήματος </w:t>
      </w:r>
      <w:r w:rsidR="00771225">
        <w:rPr>
          <w:rFonts w:asciiTheme="minorHAnsi" w:hAnsiTheme="minorHAnsi" w:cstheme="minorHAnsi"/>
          <w:szCs w:val="20"/>
        </w:rPr>
        <w:t xml:space="preserve">της </w:t>
      </w:r>
      <w:r w:rsidR="000D69CB" w:rsidRPr="000D69CB">
        <w:rPr>
          <w:rFonts w:asciiTheme="minorHAnsi" w:hAnsiTheme="minorHAnsi" w:cstheme="minorHAnsi"/>
          <w:szCs w:val="20"/>
        </w:rPr>
        <w:t>ενεργειακής ασφάλειας</w:t>
      </w:r>
      <w:r w:rsidRPr="00937FBD">
        <w:rPr>
          <w:rFonts w:asciiTheme="minorHAnsi" w:hAnsiTheme="minorHAnsi" w:cstheme="minorHAnsi"/>
          <w:szCs w:val="20"/>
        </w:rPr>
        <w:t xml:space="preserve">. Η αύξηση της ζήτησης είχε ως αποτέλεσμα την </w:t>
      </w:r>
      <w:r w:rsidR="000D69CB">
        <w:rPr>
          <w:rFonts w:asciiTheme="minorHAnsi" w:hAnsiTheme="minorHAnsi" w:cstheme="minorHAnsi"/>
          <w:szCs w:val="20"/>
        </w:rPr>
        <w:t xml:space="preserve">επανεκκίνηση </w:t>
      </w:r>
      <w:r w:rsidRPr="00937FBD">
        <w:rPr>
          <w:rFonts w:asciiTheme="minorHAnsi" w:hAnsiTheme="minorHAnsi" w:cstheme="minorHAnsi"/>
          <w:szCs w:val="20"/>
        </w:rPr>
        <w:t>πολλών έργων αγωγών και την εσπευσμένη προώθησή τους σ</w:t>
      </w:r>
      <w:r w:rsidR="00771225">
        <w:rPr>
          <w:rFonts w:asciiTheme="minorHAnsi" w:hAnsiTheme="minorHAnsi" w:cstheme="minorHAnsi"/>
          <w:szCs w:val="20"/>
        </w:rPr>
        <w:t xml:space="preserve">ε </w:t>
      </w:r>
      <w:r w:rsidRPr="00937FBD">
        <w:rPr>
          <w:rFonts w:asciiTheme="minorHAnsi" w:hAnsiTheme="minorHAnsi" w:cstheme="minorHAnsi"/>
          <w:szCs w:val="20"/>
        </w:rPr>
        <w:t xml:space="preserve">φάση </w:t>
      </w:r>
      <w:r w:rsidR="000D69CB">
        <w:rPr>
          <w:rFonts w:asciiTheme="minorHAnsi" w:hAnsiTheme="minorHAnsi" w:cstheme="minorHAnsi"/>
          <w:szCs w:val="20"/>
        </w:rPr>
        <w:t>υλοποίησης</w:t>
      </w:r>
      <w:r w:rsidRPr="00937FBD">
        <w:rPr>
          <w:rFonts w:asciiTheme="minorHAnsi" w:hAnsiTheme="minorHAnsi" w:cstheme="minorHAnsi"/>
          <w:szCs w:val="20"/>
        </w:rPr>
        <w:t xml:space="preserve">.  Σε αυτό το θετικό περιβάλλον, ο τομέας των </w:t>
      </w:r>
      <w:r w:rsidR="00FD7E5E">
        <w:rPr>
          <w:rFonts w:asciiTheme="minorHAnsi" w:hAnsiTheme="minorHAnsi" w:cstheme="minorHAnsi"/>
          <w:szCs w:val="20"/>
        </w:rPr>
        <w:t xml:space="preserve">σωλήνων χάλυβα </w:t>
      </w:r>
      <w:r w:rsidRPr="00937FBD">
        <w:rPr>
          <w:rFonts w:asciiTheme="minorHAnsi" w:hAnsiTheme="minorHAnsi" w:cstheme="minorHAnsi"/>
          <w:szCs w:val="20"/>
        </w:rPr>
        <w:t xml:space="preserve">εδραίωσε τη θέση του στις νέες τεχνολογίες μεταφοράς </w:t>
      </w:r>
      <w:r w:rsidR="00D93CD4" w:rsidRPr="00D93CD4">
        <w:rPr>
          <w:rFonts w:asciiTheme="minorHAnsi" w:hAnsiTheme="minorHAnsi" w:cstheme="minorHAnsi"/>
          <w:szCs w:val="20"/>
        </w:rPr>
        <w:t>αερίων καυσίμων</w:t>
      </w:r>
      <w:r w:rsidRPr="00937FBD">
        <w:rPr>
          <w:rFonts w:asciiTheme="minorHAnsi" w:hAnsiTheme="minorHAnsi" w:cstheme="minorHAnsi"/>
          <w:szCs w:val="20"/>
        </w:rPr>
        <w:t>, όπως οι αγωγοί υψηλής πίεσης για υδρογόνο και οι αγωγοί</w:t>
      </w:r>
      <w:r w:rsidR="00FD7E5E" w:rsidRPr="00FD7E5E">
        <w:rPr>
          <w:rFonts w:asciiTheme="minorHAnsi" w:hAnsiTheme="minorHAnsi" w:cstheme="minorHAnsi"/>
          <w:szCs w:val="20"/>
        </w:rPr>
        <w:t xml:space="preserve"> </w:t>
      </w:r>
      <w:r w:rsidR="00FD7E5E" w:rsidRPr="00E540C6">
        <w:t>δέσμευση</w:t>
      </w:r>
      <w:r w:rsidR="00FD7E5E">
        <w:t>ς</w:t>
      </w:r>
      <w:r w:rsidR="00FD7E5E" w:rsidRPr="00E540C6">
        <w:t xml:space="preserve"> και αποθήκευση</w:t>
      </w:r>
      <w:r w:rsidR="00FD7E5E">
        <w:t>ς</w:t>
      </w:r>
      <w:r w:rsidR="00FD7E5E" w:rsidRPr="00E540C6">
        <w:t xml:space="preserve"> </w:t>
      </w:r>
      <w:r w:rsidR="00FD7E5E">
        <w:t xml:space="preserve">διοξειδίου του </w:t>
      </w:r>
      <w:r w:rsidR="00FD7E5E" w:rsidRPr="00E540C6">
        <w:t>άνθρακα</w:t>
      </w:r>
      <w:r w:rsidRPr="00937FBD">
        <w:rPr>
          <w:rFonts w:asciiTheme="minorHAnsi" w:hAnsiTheme="minorHAnsi" w:cstheme="minorHAnsi"/>
          <w:szCs w:val="20"/>
        </w:rPr>
        <w:t xml:space="preserve"> </w:t>
      </w:r>
      <w:r w:rsidR="00FD7E5E" w:rsidRPr="00FD7E5E">
        <w:rPr>
          <w:rFonts w:asciiTheme="minorHAnsi" w:hAnsiTheme="minorHAnsi" w:cstheme="minorHAnsi"/>
          <w:szCs w:val="20"/>
        </w:rPr>
        <w:t>(</w:t>
      </w:r>
      <w:r w:rsidRPr="00937FBD">
        <w:rPr>
          <w:rFonts w:asciiTheme="minorHAnsi" w:hAnsiTheme="minorHAnsi" w:cstheme="minorHAnsi"/>
          <w:szCs w:val="20"/>
          <w:lang w:val="en-GB"/>
        </w:rPr>
        <w:t>CCS</w:t>
      </w:r>
      <w:r w:rsidR="00FD7E5E" w:rsidRPr="00FD7E5E">
        <w:rPr>
          <w:rFonts w:asciiTheme="minorHAnsi" w:hAnsiTheme="minorHAnsi" w:cstheme="minorHAnsi"/>
          <w:szCs w:val="20"/>
        </w:rPr>
        <w:t>)</w:t>
      </w:r>
      <w:r w:rsidRPr="00937FBD">
        <w:rPr>
          <w:rFonts w:asciiTheme="minorHAnsi" w:hAnsiTheme="minorHAnsi" w:cstheme="minorHAnsi"/>
          <w:szCs w:val="20"/>
        </w:rPr>
        <w:t>.</w:t>
      </w:r>
    </w:p>
    <w:p w14:paraId="6A525B47" w14:textId="2253DFBC" w:rsidR="00937FBD" w:rsidRPr="00937FBD" w:rsidRDefault="00937FBD" w:rsidP="00937FBD">
      <w:pPr>
        <w:autoSpaceDE w:val="0"/>
        <w:autoSpaceDN w:val="0"/>
        <w:adjustRightInd w:val="0"/>
        <w:spacing w:after="120" w:line="240" w:lineRule="auto"/>
        <w:jc w:val="both"/>
        <w:rPr>
          <w:rFonts w:asciiTheme="minorHAnsi" w:hAnsiTheme="minorHAnsi" w:cstheme="minorHAnsi"/>
          <w:szCs w:val="20"/>
        </w:rPr>
      </w:pPr>
      <w:r w:rsidRPr="00937FBD">
        <w:rPr>
          <w:rFonts w:asciiTheme="minorHAnsi" w:hAnsiTheme="minorHAnsi" w:cstheme="minorHAnsi"/>
          <w:szCs w:val="20"/>
        </w:rPr>
        <w:t xml:space="preserve">Κατά το πρώτο εξάμηνο του έτους, ο τομέας εκτέλεσε με επιτυχία </w:t>
      </w:r>
      <w:r w:rsidR="00032688" w:rsidRPr="00032688">
        <w:rPr>
          <w:rFonts w:asciiTheme="minorHAnsi" w:hAnsiTheme="minorHAnsi" w:cstheme="minorHAnsi"/>
          <w:szCs w:val="20"/>
        </w:rPr>
        <w:t>αρκετά σημαντικά έργα</w:t>
      </w:r>
      <w:r w:rsidR="001A0CBE" w:rsidRPr="00937FBD">
        <w:rPr>
          <w:rFonts w:asciiTheme="minorHAnsi" w:hAnsiTheme="minorHAnsi" w:cstheme="minorHAnsi"/>
          <w:szCs w:val="20"/>
        </w:rPr>
        <w:t xml:space="preserve"> </w:t>
      </w:r>
      <w:r w:rsidRPr="00937FBD">
        <w:rPr>
          <w:rFonts w:asciiTheme="minorHAnsi" w:hAnsiTheme="minorHAnsi" w:cstheme="minorHAnsi"/>
          <w:szCs w:val="20"/>
        </w:rPr>
        <w:t xml:space="preserve">, όπως: </w:t>
      </w:r>
    </w:p>
    <w:p w14:paraId="39D000C0" w14:textId="368ABE79" w:rsidR="00937FBD" w:rsidRPr="00937FBD" w:rsidRDefault="00937FBD" w:rsidP="00AC01AB">
      <w:pPr>
        <w:numPr>
          <w:ilvl w:val="0"/>
          <w:numId w:val="1"/>
        </w:numPr>
        <w:spacing w:after="120" w:line="240" w:lineRule="auto"/>
        <w:ind w:left="567" w:hanging="425"/>
        <w:contextualSpacing/>
        <w:jc w:val="both"/>
        <w:rPr>
          <w:rFonts w:asciiTheme="minorHAnsi" w:hAnsiTheme="minorHAnsi" w:cstheme="minorHAnsi"/>
          <w:szCs w:val="20"/>
        </w:rPr>
      </w:pPr>
      <w:r w:rsidRPr="00937FBD">
        <w:rPr>
          <w:rFonts w:asciiTheme="minorHAnsi" w:hAnsiTheme="minorHAnsi" w:cstheme="minorHAnsi"/>
          <w:szCs w:val="20"/>
        </w:rPr>
        <w:t xml:space="preserve">Το έργο </w:t>
      </w:r>
      <w:r w:rsidRPr="00937FBD">
        <w:rPr>
          <w:rFonts w:asciiTheme="minorHAnsi" w:hAnsiTheme="minorHAnsi" w:cstheme="minorHAnsi"/>
          <w:szCs w:val="20"/>
          <w:lang w:val="en-US"/>
        </w:rPr>
        <w:t>Tamar</w:t>
      </w:r>
      <w:r w:rsidRPr="00937FBD">
        <w:rPr>
          <w:rFonts w:asciiTheme="minorHAnsi" w:hAnsiTheme="minorHAnsi" w:cstheme="minorHAnsi"/>
          <w:szCs w:val="20"/>
        </w:rPr>
        <w:t xml:space="preserve"> της </w:t>
      </w:r>
      <w:r w:rsidRPr="00937FBD">
        <w:rPr>
          <w:rFonts w:asciiTheme="minorHAnsi" w:hAnsiTheme="minorHAnsi" w:cstheme="minorHAnsi"/>
          <w:szCs w:val="20"/>
          <w:lang w:val="en-US"/>
        </w:rPr>
        <w:t>Chevron</w:t>
      </w:r>
      <w:r w:rsidRPr="00937FBD">
        <w:rPr>
          <w:rFonts w:asciiTheme="minorHAnsi" w:hAnsiTheme="minorHAnsi" w:cstheme="minorHAnsi"/>
          <w:szCs w:val="20"/>
        </w:rPr>
        <w:t xml:space="preserve"> στο Ισραήλ, ένας </w:t>
      </w:r>
      <w:r w:rsidR="003F7BBE" w:rsidRPr="00937FBD">
        <w:rPr>
          <w:rFonts w:asciiTheme="minorHAnsi" w:hAnsiTheme="minorHAnsi" w:cstheme="minorHAnsi"/>
          <w:szCs w:val="20"/>
        </w:rPr>
        <w:t>υ</w:t>
      </w:r>
      <w:r w:rsidR="003F7BBE">
        <w:rPr>
          <w:rFonts w:asciiTheme="minorHAnsi" w:hAnsiTheme="minorHAnsi" w:cstheme="minorHAnsi"/>
          <w:szCs w:val="20"/>
        </w:rPr>
        <w:t>ποθαλάσσιος</w:t>
      </w:r>
      <w:r w:rsidRPr="00937FBD">
        <w:rPr>
          <w:rFonts w:asciiTheme="minorHAnsi" w:hAnsiTheme="minorHAnsi" w:cstheme="minorHAnsi"/>
          <w:szCs w:val="20"/>
        </w:rPr>
        <w:t xml:space="preserve"> αγωγός φυσικού αερίου βάθους 152 χιλιομέτρων με εξωτερική διάμετρο 20</w:t>
      </w:r>
      <w:r w:rsidR="003F7BBE">
        <w:rPr>
          <w:rFonts w:asciiTheme="minorHAnsi" w:hAnsiTheme="minorHAnsi" w:cstheme="minorHAnsi"/>
          <w:szCs w:val="20"/>
        </w:rPr>
        <w:t xml:space="preserve"> ιντσών</w:t>
      </w:r>
      <w:r w:rsidRPr="00937FBD">
        <w:rPr>
          <w:rFonts w:asciiTheme="minorHAnsi" w:hAnsiTheme="minorHAnsi" w:cstheme="minorHAnsi"/>
          <w:szCs w:val="20"/>
        </w:rPr>
        <w:t xml:space="preserve"> που κατασκευ</w:t>
      </w:r>
      <w:r w:rsidR="00BC276D">
        <w:rPr>
          <w:rFonts w:asciiTheme="minorHAnsi" w:hAnsiTheme="minorHAnsi" w:cstheme="minorHAnsi"/>
          <w:szCs w:val="20"/>
        </w:rPr>
        <w:t>άστηκε</w:t>
      </w:r>
      <w:r w:rsidRPr="00937FBD">
        <w:rPr>
          <w:rFonts w:asciiTheme="minorHAnsi" w:hAnsiTheme="minorHAnsi" w:cstheme="minorHAnsi"/>
          <w:szCs w:val="20"/>
        </w:rPr>
        <w:t xml:space="preserve"> στ</w:t>
      </w:r>
      <w:r w:rsidR="00771225">
        <w:rPr>
          <w:rFonts w:asciiTheme="minorHAnsi" w:hAnsiTheme="minorHAnsi" w:cstheme="minorHAnsi"/>
          <w:szCs w:val="20"/>
        </w:rPr>
        <w:t xml:space="preserve">η γραμμή </w:t>
      </w:r>
      <w:r w:rsidR="00FD7E5E" w:rsidRPr="00FD7E5E">
        <w:rPr>
          <w:rFonts w:asciiTheme="minorHAnsi" w:hAnsiTheme="minorHAnsi" w:cstheme="minorHAnsi"/>
          <w:szCs w:val="20"/>
        </w:rPr>
        <w:t>σωλήνων ευθείας ραφής βυθισμένου τόξου</w:t>
      </w:r>
      <w:r w:rsidRPr="00937FBD">
        <w:rPr>
          <w:rFonts w:asciiTheme="minorHAnsi" w:hAnsiTheme="minorHAnsi" w:cstheme="minorHAnsi"/>
          <w:szCs w:val="20"/>
        </w:rPr>
        <w:t xml:space="preserve"> (</w:t>
      </w:r>
      <w:r w:rsidRPr="00937FBD">
        <w:rPr>
          <w:rFonts w:asciiTheme="minorHAnsi" w:hAnsiTheme="minorHAnsi" w:cstheme="minorHAnsi"/>
          <w:szCs w:val="20"/>
          <w:lang w:val="en-US"/>
        </w:rPr>
        <w:t>LSAW</w:t>
      </w:r>
      <w:r w:rsidRPr="00937FBD">
        <w:rPr>
          <w:rFonts w:asciiTheme="minorHAnsi" w:hAnsiTheme="minorHAnsi" w:cstheme="minorHAnsi"/>
          <w:szCs w:val="20"/>
        </w:rPr>
        <w:t xml:space="preserve">), </w:t>
      </w:r>
    </w:p>
    <w:p w14:paraId="74717B5F" w14:textId="5E6165C0" w:rsidR="00937FBD" w:rsidRPr="00937FBD" w:rsidRDefault="00937FBD" w:rsidP="00AC01AB">
      <w:pPr>
        <w:numPr>
          <w:ilvl w:val="0"/>
          <w:numId w:val="1"/>
        </w:numPr>
        <w:spacing w:after="120" w:line="240" w:lineRule="auto"/>
        <w:ind w:left="567" w:hanging="425"/>
        <w:contextualSpacing/>
        <w:jc w:val="both"/>
        <w:rPr>
          <w:rFonts w:asciiTheme="minorHAnsi" w:hAnsiTheme="minorHAnsi" w:cstheme="minorHAnsi"/>
          <w:szCs w:val="20"/>
        </w:rPr>
      </w:pPr>
      <w:r w:rsidRPr="00937FBD">
        <w:rPr>
          <w:rFonts w:asciiTheme="minorHAnsi" w:hAnsiTheme="minorHAnsi" w:cstheme="minorHAnsi"/>
          <w:szCs w:val="20"/>
        </w:rPr>
        <w:t>Ένα έργο δέσμευσης και αποθήκευσης διοξειδίου του άνθρακα στις ΗΠΑ, μ</w:t>
      </w:r>
      <w:r w:rsidR="003F7BBE">
        <w:rPr>
          <w:rFonts w:asciiTheme="minorHAnsi" w:hAnsiTheme="minorHAnsi" w:cstheme="minorHAnsi"/>
          <w:szCs w:val="20"/>
        </w:rPr>
        <w:t>ήκους</w:t>
      </w:r>
      <w:r w:rsidRPr="00937FBD">
        <w:rPr>
          <w:rFonts w:asciiTheme="minorHAnsi" w:hAnsiTheme="minorHAnsi" w:cstheme="minorHAnsi"/>
          <w:szCs w:val="20"/>
        </w:rPr>
        <w:t xml:space="preserve"> 46 χιλι</w:t>
      </w:r>
      <w:r w:rsidR="003F7BBE">
        <w:rPr>
          <w:rFonts w:asciiTheme="minorHAnsi" w:hAnsiTheme="minorHAnsi" w:cstheme="minorHAnsi"/>
          <w:szCs w:val="20"/>
        </w:rPr>
        <w:t>ο</w:t>
      </w:r>
      <w:r w:rsidRPr="00937FBD">
        <w:rPr>
          <w:rFonts w:asciiTheme="minorHAnsi" w:hAnsiTheme="minorHAnsi" w:cstheme="minorHAnsi"/>
          <w:szCs w:val="20"/>
        </w:rPr>
        <w:t>μ</w:t>
      </w:r>
      <w:r w:rsidR="003F7BBE">
        <w:rPr>
          <w:rFonts w:asciiTheme="minorHAnsi" w:hAnsiTheme="minorHAnsi" w:cstheme="minorHAnsi"/>
          <w:szCs w:val="20"/>
        </w:rPr>
        <w:t>έ</w:t>
      </w:r>
      <w:r w:rsidRPr="00937FBD">
        <w:rPr>
          <w:rFonts w:asciiTheme="minorHAnsi" w:hAnsiTheme="minorHAnsi" w:cstheme="minorHAnsi"/>
          <w:szCs w:val="20"/>
        </w:rPr>
        <w:t>τρ</w:t>
      </w:r>
      <w:r w:rsidR="003F7BBE">
        <w:rPr>
          <w:rFonts w:asciiTheme="minorHAnsi" w:hAnsiTheme="minorHAnsi" w:cstheme="minorHAnsi"/>
          <w:szCs w:val="20"/>
        </w:rPr>
        <w:t>ων</w:t>
      </w:r>
      <w:r w:rsidRPr="00937FBD">
        <w:rPr>
          <w:rFonts w:asciiTheme="minorHAnsi" w:hAnsiTheme="minorHAnsi" w:cstheme="minorHAnsi"/>
          <w:szCs w:val="20"/>
        </w:rPr>
        <w:t xml:space="preserve"> </w:t>
      </w:r>
      <w:r w:rsidR="003F7BBE">
        <w:rPr>
          <w:rFonts w:asciiTheme="minorHAnsi" w:hAnsiTheme="minorHAnsi" w:cstheme="minorHAnsi"/>
        </w:rPr>
        <w:t>και διαμέτρου</w:t>
      </w:r>
      <w:r w:rsidRPr="00937FBD">
        <w:rPr>
          <w:rFonts w:asciiTheme="minorHAnsi" w:hAnsiTheme="minorHAnsi" w:cstheme="minorHAnsi"/>
          <w:szCs w:val="20"/>
        </w:rPr>
        <w:t xml:space="preserve"> 20 ιντσών</w:t>
      </w:r>
      <w:r w:rsidR="003F7BBE">
        <w:rPr>
          <w:rFonts w:asciiTheme="minorHAnsi" w:hAnsiTheme="minorHAnsi" w:cstheme="minorHAnsi"/>
          <w:szCs w:val="20"/>
        </w:rPr>
        <w:t xml:space="preserve"> σωλήνων χάλυβα</w:t>
      </w:r>
      <w:r w:rsidRPr="00937FBD">
        <w:rPr>
          <w:rFonts w:asciiTheme="minorHAnsi" w:hAnsiTheme="minorHAnsi" w:cstheme="minorHAnsi"/>
          <w:szCs w:val="20"/>
        </w:rPr>
        <w:t xml:space="preserve"> </w:t>
      </w:r>
      <w:r w:rsidR="00D04BB1" w:rsidRPr="00550A38">
        <w:rPr>
          <w:rFonts w:cs="Calibri"/>
        </w:rPr>
        <w:t>υψ</w:t>
      </w:r>
      <w:r w:rsidR="00D04BB1">
        <w:rPr>
          <w:rFonts w:cs="Calibri"/>
        </w:rPr>
        <w:t>ίσυχνης</w:t>
      </w:r>
      <w:r w:rsidR="00D04BB1" w:rsidRPr="00550A38">
        <w:rPr>
          <w:rFonts w:cs="Calibri"/>
        </w:rPr>
        <w:t xml:space="preserve"> συγκόλλησης </w:t>
      </w:r>
      <w:r w:rsidRPr="00937FBD">
        <w:rPr>
          <w:rFonts w:asciiTheme="minorHAnsi" w:hAnsiTheme="minorHAnsi" w:cstheme="minorHAnsi"/>
          <w:szCs w:val="20"/>
        </w:rPr>
        <w:t>(</w:t>
      </w:r>
      <w:r w:rsidRPr="00937FBD">
        <w:rPr>
          <w:rFonts w:asciiTheme="minorHAnsi" w:hAnsiTheme="minorHAnsi" w:cstheme="minorHAnsi"/>
          <w:szCs w:val="20"/>
          <w:lang w:val="en-US"/>
        </w:rPr>
        <w:t>HFW</w:t>
      </w:r>
      <w:r w:rsidRPr="00937FBD">
        <w:rPr>
          <w:rFonts w:asciiTheme="minorHAnsi" w:hAnsiTheme="minorHAnsi" w:cstheme="minorHAnsi"/>
          <w:szCs w:val="20"/>
        </w:rPr>
        <w:t>) και</w:t>
      </w:r>
    </w:p>
    <w:p w14:paraId="35910150" w14:textId="2B09E254" w:rsidR="00937FBD" w:rsidRPr="00FD7E5E" w:rsidRDefault="00FD7E5E" w:rsidP="00FD7E5E">
      <w:pPr>
        <w:numPr>
          <w:ilvl w:val="0"/>
          <w:numId w:val="1"/>
        </w:numPr>
        <w:spacing w:after="120" w:line="240" w:lineRule="auto"/>
        <w:ind w:left="567" w:hanging="425"/>
        <w:jc w:val="both"/>
        <w:rPr>
          <w:rFonts w:asciiTheme="minorHAnsi" w:hAnsiTheme="minorHAnsi" w:cstheme="minorHAnsi"/>
          <w:szCs w:val="20"/>
        </w:rPr>
      </w:pPr>
      <w:r>
        <w:rPr>
          <w:rFonts w:asciiTheme="minorHAnsi" w:hAnsiTheme="minorHAnsi" w:cstheme="minorHAnsi"/>
          <w:szCs w:val="20"/>
        </w:rPr>
        <w:t>Την</w:t>
      </w:r>
      <w:r w:rsidR="00937FBD" w:rsidRPr="00FD7E5E">
        <w:rPr>
          <w:rFonts w:asciiTheme="minorHAnsi" w:hAnsiTheme="minorHAnsi" w:cstheme="minorHAnsi"/>
          <w:szCs w:val="20"/>
        </w:rPr>
        <w:t xml:space="preserve"> παραγωγή ενός μεγάλου έργου αγωγού στην Αυστραλία, με εξωτερική διάμετρο 26</w:t>
      </w:r>
      <w:r w:rsidR="003F7BBE">
        <w:rPr>
          <w:rFonts w:asciiTheme="minorHAnsi" w:hAnsiTheme="minorHAnsi" w:cstheme="minorHAnsi"/>
          <w:szCs w:val="20"/>
        </w:rPr>
        <w:t xml:space="preserve"> ιντσών</w:t>
      </w:r>
      <w:r w:rsidR="00937FBD" w:rsidRPr="00FD7E5E">
        <w:rPr>
          <w:rFonts w:asciiTheme="minorHAnsi" w:hAnsiTheme="minorHAnsi" w:cstheme="minorHAnsi"/>
          <w:szCs w:val="20"/>
        </w:rPr>
        <w:t xml:space="preserve"> που κατασκευά</w:t>
      </w:r>
      <w:r w:rsidR="00771225">
        <w:rPr>
          <w:rFonts w:asciiTheme="minorHAnsi" w:hAnsiTheme="minorHAnsi" w:cstheme="minorHAnsi"/>
          <w:szCs w:val="20"/>
        </w:rPr>
        <w:t xml:space="preserve">στηκε </w:t>
      </w:r>
      <w:r w:rsidR="00937FBD" w:rsidRPr="00FD7E5E">
        <w:rPr>
          <w:rFonts w:asciiTheme="minorHAnsi" w:hAnsiTheme="minorHAnsi" w:cstheme="minorHAnsi"/>
          <w:szCs w:val="20"/>
        </w:rPr>
        <w:t>στ</w:t>
      </w:r>
      <w:r w:rsidR="00771225">
        <w:rPr>
          <w:rFonts w:asciiTheme="minorHAnsi" w:hAnsiTheme="minorHAnsi" w:cstheme="minorHAnsi"/>
          <w:szCs w:val="20"/>
        </w:rPr>
        <w:t xml:space="preserve">η γραμμή </w:t>
      </w:r>
      <w:r w:rsidRPr="00FD7E5E">
        <w:rPr>
          <w:rFonts w:asciiTheme="minorHAnsi" w:hAnsiTheme="minorHAnsi" w:cstheme="minorHAnsi"/>
          <w:szCs w:val="20"/>
        </w:rPr>
        <w:t>σωλήνων ευθείας ραφής βυθισμένου τόξου</w:t>
      </w:r>
      <w:r w:rsidRPr="00937FBD">
        <w:rPr>
          <w:rFonts w:asciiTheme="minorHAnsi" w:hAnsiTheme="minorHAnsi" w:cstheme="minorHAnsi"/>
          <w:szCs w:val="20"/>
        </w:rPr>
        <w:t xml:space="preserve"> (</w:t>
      </w:r>
      <w:r w:rsidRPr="00937FBD">
        <w:rPr>
          <w:rFonts w:asciiTheme="minorHAnsi" w:hAnsiTheme="minorHAnsi" w:cstheme="minorHAnsi"/>
          <w:szCs w:val="20"/>
          <w:lang w:val="en-US"/>
        </w:rPr>
        <w:t>LSAW</w:t>
      </w:r>
      <w:r w:rsidRPr="00937FBD">
        <w:rPr>
          <w:rFonts w:asciiTheme="minorHAnsi" w:hAnsiTheme="minorHAnsi" w:cstheme="minorHAnsi"/>
          <w:szCs w:val="20"/>
        </w:rPr>
        <w:t>)</w:t>
      </w:r>
      <w:r>
        <w:rPr>
          <w:rFonts w:asciiTheme="minorHAnsi" w:hAnsiTheme="minorHAnsi" w:cstheme="minorHAnsi"/>
          <w:szCs w:val="20"/>
        </w:rPr>
        <w:t>.</w:t>
      </w:r>
    </w:p>
    <w:p w14:paraId="30603265" w14:textId="026C44F8" w:rsidR="00937FBD" w:rsidRPr="00937FBD" w:rsidRDefault="00937FBD" w:rsidP="00937FBD">
      <w:pPr>
        <w:autoSpaceDE w:val="0"/>
        <w:autoSpaceDN w:val="0"/>
        <w:adjustRightInd w:val="0"/>
        <w:spacing w:after="120" w:line="240" w:lineRule="auto"/>
        <w:jc w:val="both"/>
        <w:rPr>
          <w:rFonts w:asciiTheme="minorHAnsi" w:hAnsiTheme="minorHAnsi" w:cstheme="minorHAnsi"/>
          <w:szCs w:val="20"/>
        </w:rPr>
      </w:pPr>
      <w:r w:rsidRPr="00937FBD">
        <w:rPr>
          <w:rFonts w:asciiTheme="minorHAnsi" w:hAnsiTheme="minorHAnsi" w:cstheme="minorHAnsi"/>
          <w:szCs w:val="20"/>
        </w:rPr>
        <w:t xml:space="preserve">Κατά τη διάρκεια του δεύτερου εξαμήνου του έτους, </w:t>
      </w:r>
      <w:r w:rsidR="00C32DB5">
        <w:rPr>
          <w:rFonts w:asciiTheme="minorHAnsi" w:hAnsiTheme="minorHAnsi" w:cstheme="minorHAnsi"/>
          <w:szCs w:val="20"/>
        </w:rPr>
        <w:t>ο</w:t>
      </w:r>
      <w:r w:rsidRPr="00937FBD">
        <w:rPr>
          <w:rFonts w:asciiTheme="minorHAnsi" w:hAnsiTheme="minorHAnsi" w:cstheme="minorHAnsi"/>
          <w:szCs w:val="20"/>
        </w:rPr>
        <w:t xml:space="preserve"> </w:t>
      </w:r>
      <w:r w:rsidR="00635B81">
        <w:rPr>
          <w:rFonts w:asciiTheme="minorHAnsi" w:hAnsiTheme="minorHAnsi" w:cstheme="minorHAnsi"/>
          <w:szCs w:val="20"/>
        </w:rPr>
        <w:t>τομέα</w:t>
      </w:r>
      <w:r w:rsidR="00C32DB5">
        <w:rPr>
          <w:rFonts w:asciiTheme="minorHAnsi" w:hAnsiTheme="minorHAnsi" w:cstheme="minorHAnsi"/>
          <w:szCs w:val="20"/>
        </w:rPr>
        <w:t>ς</w:t>
      </w:r>
      <w:r w:rsidR="00635B81">
        <w:rPr>
          <w:rFonts w:asciiTheme="minorHAnsi" w:hAnsiTheme="minorHAnsi" w:cstheme="minorHAnsi"/>
          <w:szCs w:val="20"/>
        </w:rPr>
        <w:t xml:space="preserve"> σωλήνων χάλυβα</w:t>
      </w:r>
      <w:r w:rsidRPr="00937FBD">
        <w:rPr>
          <w:rFonts w:asciiTheme="minorHAnsi" w:hAnsiTheme="minorHAnsi" w:cstheme="minorHAnsi"/>
          <w:szCs w:val="20"/>
        </w:rPr>
        <w:t xml:space="preserve"> αναμένεται να </w:t>
      </w:r>
      <w:r w:rsidR="00C32DB5">
        <w:rPr>
          <w:rFonts w:asciiTheme="minorHAnsi" w:hAnsiTheme="minorHAnsi" w:cstheme="minorHAnsi"/>
          <w:szCs w:val="20"/>
        </w:rPr>
        <w:t>διατηρήσει την</w:t>
      </w:r>
      <w:r w:rsidR="006651C2">
        <w:rPr>
          <w:rFonts w:asciiTheme="minorHAnsi" w:hAnsiTheme="minorHAnsi" w:cstheme="minorHAnsi"/>
          <w:szCs w:val="20"/>
        </w:rPr>
        <w:t xml:space="preserve"> αξιοποίηση της παραγωγικής δυναμικότητας του εργοστασίου</w:t>
      </w:r>
      <w:r w:rsidR="00771225" w:rsidRPr="00771225">
        <w:rPr>
          <w:rFonts w:asciiTheme="minorHAnsi" w:hAnsiTheme="minorHAnsi" w:cstheme="minorHAnsi"/>
          <w:szCs w:val="20"/>
        </w:rPr>
        <w:t xml:space="preserve"> </w:t>
      </w:r>
      <w:r w:rsidR="00771225">
        <w:rPr>
          <w:rFonts w:asciiTheme="minorHAnsi" w:hAnsiTheme="minorHAnsi" w:cstheme="minorHAnsi"/>
          <w:szCs w:val="20"/>
        </w:rPr>
        <w:t>σε</w:t>
      </w:r>
      <w:r w:rsidR="00771225" w:rsidRPr="00937FBD">
        <w:rPr>
          <w:rFonts w:asciiTheme="minorHAnsi" w:hAnsiTheme="minorHAnsi" w:cstheme="minorHAnsi"/>
          <w:szCs w:val="20"/>
        </w:rPr>
        <w:t xml:space="preserve"> </w:t>
      </w:r>
      <w:r w:rsidR="00771225">
        <w:rPr>
          <w:rFonts w:asciiTheme="minorHAnsi" w:hAnsiTheme="minorHAnsi" w:cstheme="minorHAnsi"/>
          <w:szCs w:val="20"/>
        </w:rPr>
        <w:t>υψηλά επίπεδα</w:t>
      </w:r>
      <w:r w:rsidR="006651C2">
        <w:rPr>
          <w:rFonts w:asciiTheme="minorHAnsi" w:hAnsiTheme="minorHAnsi" w:cstheme="minorHAnsi"/>
          <w:szCs w:val="20"/>
        </w:rPr>
        <w:t xml:space="preserve"> </w:t>
      </w:r>
      <w:r w:rsidRPr="00937FBD">
        <w:rPr>
          <w:rFonts w:asciiTheme="minorHAnsi" w:hAnsiTheme="minorHAnsi" w:cstheme="minorHAnsi"/>
          <w:szCs w:val="20"/>
        </w:rPr>
        <w:t xml:space="preserve">με την παραγωγή </w:t>
      </w:r>
      <w:r w:rsidR="00C956E4">
        <w:rPr>
          <w:rFonts w:asciiTheme="minorHAnsi" w:hAnsiTheme="minorHAnsi" w:cstheme="minorHAnsi"/>
        </w:rPr>
        <w:t>σωλήν</w:t>
      </w:r>
      <w:r w:rsidR="006651C2">
        <w:rPr>
          <w:rFonts w:asciiTheme="minorHAnsi" w:hAnsiTheme="minorHAnsi" w:cstheme="minorHAnsi"/>
        </w:rPr>
        <w:t xml:space="preserve">ων </w:t>
      </w:r>
      <w:r w:rsidR="00771225">
        <w:rPr>
          <w:rFonts w:asciiTheme="minorHAnsi" w:hAnsiTheme="minorHAnsi" w:cstheme="minorHAnsi"/>
        </w:rPr>
        <w:t>γ</w:t>
      </w:r>
      <w:r w:rsidRPr="00937FBD">
        <w:rPr>
          <w:rFonts w:asciiTheme="minorHAnsi" w:hAnsiTheme="minorHAnsi" w:cstheme="minorHAnsi"/>
          <w:szCs w:val="20"/>
        </w:rPr>
        <w:t>ια τα ακόλουθα έργα:</w:t>
      </w:r>
    </w:p>
    <w:p w14:paraId="42F134D7" w14:textId="27D9475A" w:rsidR="00937FBD" w:rsidRPr="00937FBD" w:rsidRDefault="00937FBD" w:rsidP="00AC01AB">
      <w:pPr>
        <w:numPr>
          <w:ilvl w:val="0"/>
          <w:numId w:val="1"/>
        </w:numPr>
        <w:spacing w:after="120" w:line="240" w:lineRule="auto"/>
        <w:ind w:left="567" w:hanging="425"/>
        <w:contextualSpacing/>
        <w:jc w:val="both"/>
        <w:rPr>
          <w:rFonts w:asciiTheme="minorHAnsi" w:hAnsiTheme="minorHAnsi" w:cstheme="minorHAnsi"/>
          <w:szCs w:val="20"/>
        </w:rPr>
      </w:pPr>
      <w:r w:rsidRPr="00937FBD">
        <w:rPr>
          <w:rFonts w:asciiTheme="minorHAnsi" w:hAnsiTheme="minorHAnsi" w:cstheme="minorHAnsi"/>
          <w:szCs w:val="20"/>
        </w:rPr>
        <w:t>Το</w:t>
      </w:r>
      <w:r w:rsidR="00771225">
        <w:rPr>
          <w:rFonts w:asciiTheme="minorHAnsi" w:hAnsiTheme="minorHAnsi" w:cstheme="minorHAnsi"/>
          <w:szCs w:val="20"/>
        </w:rPr>
        <w:t xml:space="preserve"> έργο</w:t>
      </w:r>
      <w:r w:rsidRPr="00937FBD">
        <w:rPr>
          <w:rFonts w:asciiTheme="minorHAnsi" w:hAnsiTheme="minorHAnsi" w:cstheme="minorHAnsi"/>
          <w:szCs w:val="20"/>
        </w:rPr>
        <w:t xml:space="preserve"> </w:t>
      </w:r>
      <w:r w:rsidRPr="00937FBD">
        <w:rPr>
          <w:rFonts w:asciiTheme="minorHAnsi" w:hAnsiTheme="minorHAnsi" w:cstheme="minorHAnsi"/>
          <w:szCs w:val="20"/>
          <w:lang w:val="en-US"/>
        </w:rPr>
        <w:t>Leviathan</w:t>
      </w:r>
      <w:r w:rsidRPr="00937FBD">
        <w:rPr>
          <w:rFonts w:asciiTheme="minorHAnsi" w:hAnsiTheme="minorHAnsi" w:cstheme="minorHAnsi"/>
          <w:szCs w:val="20"/>
        </w:rPr>
        <w:t xml:space="preserve"> της </w:t>
      </w:r>
      <w:r w:rsidRPr="00937FBD">
        <w:rPr>
          <w:rFonts w:asciiTheme="minorHAnsi" w:hAnsiTheme="minorHAnsi" w:cstheme="minorHAnsi"/>
          <w:szCs w:val="20"/>
          <w:lang w:val="en-US"/>
        </w:rPr>
        <w:t>Chevron</w:t>
      </w:r>
      <w:r w:rsidRPr="00937FBD">
        <w:rPr>
          <w:rFonts w:asciiTheme="minorHAnsi" w:hAnsiTheme="minorHAnsi" w:cstheme="minorHAnsi"/>
          <w:szCs w:val="20"/>
        </w:rPr>
        <w:t xml:space="preserve"> στο Ισραήλ, ένας </w:t>
      </w:r>
      <w:r w:rsidR="007E1366">
        <w:rPr>
          <w:rFonts w:asciiTheme="minorHAnsi" w:hAnsiTheme="minorHAnsi" w:cstheme="minorHAnsi"/>
          <w:szCs w:val="20"/>
        </w:rPr>
        <w:t>υποθαλάσσιος</w:t>
      </w:r>
      <w:r w:rsidRPr="00937FBD">
        <w:rPr>
          <w:rFonts w:asciiTheme="minorHAnsi" w:hAnsiTheme="minorHAnsi" w:cstheme="minorHAnsi"/>
          <w:szCs w:val="20"/>
        </w:rPr>
        <w:t xml:space="preserve"> αγωγός φυσικού αερίου βάθους 118 χιλιομέτρων με εξωτερική διάμετρο 20</w:t>
      </w:r>
      <w:r w:rsidR="00280B3E">
        <w:rPr>
          <w:rFonts w:asciiTheme="minorHAnsi" w:hAnsiTheme="minorHAnsi" w:cstheme="minorHAnsi"/>
          <w:szCs w:val="20"/>
        </w:rPr>
        <w:t xml:space="preserve"> ιντσών</w:t>
      </w:r>
      <w:r w:rsidRPr="00937FBD">
        <w:rPr>
          <w:rFonts w:asciiTheme="minorHAnsi" w:hAnsiTheme="minorHAnsi" w:cstheme="minorHAnsi"/>
          <w:szCs w:val="20"/>
        </w:rPr>
        <w:t xml:space="preserve"> που </w:t>
      </w:r>
      <w:r w:rsidR="00280B3E">
        <w:rPr>
          <w:rFonts w:asciiTheme="minorHAnsi" w:hAnsiTheme="minorHAnsi" w:cstheme="minorHAnsi"/>
          <w:szCs w:val="20"/>
        </w:rPr>
        <w:t>θα κατασκευαστεί</w:t>
      </w:r>
      <w:r w:rsidRPr="00937FBD">
        <w:rPr>
          <w:rFonts w:asciiTheme="minorHAnsi" w:hAnsiTheme="minorHAnsi" w:cstheme="minorHAnsi"/>
          <w:szCs w:val="20"/>
        </w:rPr>
        <w:t xml:space="preserve"> στο εργοστάσιο </w:t>
      </w:r>
      <w:r w:rsidR="00FD7E5E" w:rsidRPr="00FD7E5E">
        <w:rPr>
          <w:rFonts w:asciiTheme="minorHAnsi" w:hAnsiTheme="minorHAnsi" w:cstheme="minorHAnsi"/>
          <w:szCs w:val="20"/>
        </w:rPr>
        <w:t>σωλήνων ευθείας ραφής βυθισμένου τόξου</w:t>
      </w:r>
      <w:r w:rsidR="00FD7E5E">
        <w:rPr>
          <w:rFonts w:asciiTheme="minorHAnsi" w:hAnsiTheme="minorHAnsi" w:cstheme="minorHAnsi"/>
          <w:szCs w:val="20"/>
        </w:rPr>
        <w:t xml:space="preserve"> (</w:t>
      </w:r>
      <w:r w:rsidRPr="00937FBD">
        <w:rPr>
          <w:rFonts w:asciiTheme="minorHAnsi" w:hAnsiTheme="minorHAnsi" w:cstheme="minorHAnsi"/>
          <w:szCs w:val="20"/>
          <w:lang w:val="en-US"/>
        </w:rPr>
        <w:t>LSAW</w:t>
      </w:r>
      <w:r w:rsidR="00FD7E5E">
        <w:rPr>
          <w:rFonts w:asciiTheme="minorHAnsi" w:hAnsiTheme="minorHAnsi" w:cstheme="minorHAnsi"/>
          <w:szCs w:val="20"/>
        </w:rPr>
        <w:t>)</w:t>
      </w:r>
      <w:r w:rsidRPr="00937FBD">
        <w:rPr>
          <w:rFonts w:asciiTheme="minorHAnsi" w:hAnsiTheme="minorHAnsi" w:cstheme="minorHAnsi"/>
          <w:szCs w:val="20"/>
        </w:rPr>
        <w:t xml:space="preserve">, </w:t>
      </w:r>
    </w:p>
    <w:p w14:paraId="1891EC44" w14:textId="15CA3C9E" w:rsidR="00937FBD" w:rsidRPr="00937FBD" w:rsidRDefault="00937FBD" w:rsidP="00AC01AB">
      <w:pPr>
        <w:numPr>
          <w:ilvl w:val="0"/>
          <w:numId w:val="1"/>
        </w:numPr>
        <w:spacing w:after="120" w:line="240" w:lineRule="auto"/>
        <w:ind w:left="567" w:hanging="425"/>
        <w:contextualSpacing/>
        <w:jc w:val="both"/>
        <w:rPr>
          <w:rFonts w:asciiTheme="minorHAnsi" w:hAnsiTheme="minorHAnsi" w:cstheme="minorHAnsi"/>
          <w:szCs w:val="20"/>
        </w:rPr>
      </w:pPr>
      <w:r w:rsidRPr="00937FBD">
        <w:rPr>
          <w:rFonts w:asciiTheme="minorHAnsi" w:hAnsiTheme="minorHAnsi" w:cstheme="minorHAnsi"/>
          <w:szCs w:val="20"/>
        </w:rPr>
        <w:t xml:space="preserve">Διάφορα έργα στην Ιταλία για τη </w:t>
      </w:r>
      <w:r w:rsidRPr="00937FBD">
        <w:rPr>
          <w:rFonts w:asciiTheme="minorHAnsi" w:hAnsiTheme="minorHAnsi" w:cstheme="minorHAnsi"/>
          <w:szCs w:val="20"/>
          <w:lang w:val="en-US"/>
        </w:rPr>
        <w:t>Snam</w:t>
      </w:r>
      <w:r w:rsidRPr="00937FBD">
        <w:rPr>
          <w:rFonts w:asciiTheme="minorHAnsi" w:hAnsiTheme="minorHAnsi" w:cstheme="minorHAnsi"/>
          <w:szCs w:val="20"/>
        </w:rPr>
        <w:t xml:space="preserve">, η πλειονότητα των οποίων </w:t>
      </w:r>
      <w:r w:rsidR="000B5CC4">
        <w:rPr>
          <w:rFonts w:asciiTheme="minorHAnsi" w:hAnsiTheme="minorHAnsi" w:cstheme="minorHAnsi"/>
          <w:szCs w:val="20"/>
        </w:rPr>
        <w:t>αφορά σωλήνες</w:t>
      </w:r>
      <w:r w:rsidRPr="00937FBD">
        <w:rPr>
          <w:rFonts w:asciiTheme="minorHAnsi" w:hAnsiTheme="minorHAnsi" w:cstheme="minorHAnsi"/>
          <w:szCs w:val="20"/>
        </w:rPr>
        <w:t xml:space="preserve"> πιστοποιημέν</w:t>
      </w:r>
      <w:r w:rsidR="000B5CC4">
        <w:rPr>
          <w:rFonts w:asciiTheme="minorHAnsi" w:hAnsiTheme="minorHAnsi" w:cstheme="minorHAnsi"/>
          <w:szCs w:val="20"/>
        </w:rPr>
        <w:t>ους</w:t>
      </w:r>
      <w:r w:rsidRPr="00937FBD">
        <w:rPr>
          <w:rFonts w:asciiTheme="minorHAnsi" w:hAnsiTheme="minorHAnsi" w:cstheme="minorHAnsi"/>
          <w:szCs w:val="20"/>
        </w:rPr>
        <w:t xml:space="preserve"> για μεταφορά υδρογόνου έως και 100%, </w:t>
      </w:r>
    </w:p>
    <w:p w14:paraId="3DC463DE" w14:textId="5974E562" w:rsidR="00937FBD" w:rsidRPr="00937FBD" w:rsidRDefault="00937FBD" w:rsidP="00AC01AB">
      <w:pPr>
        <w:numPr>
          <w:ilvl w:val="0"/>
          <w:numId w:val="1"/>
        </w:numPr>
        <w:spacing w:after="120" w:line="240" w:lineRule="auto"/>
        <w:ind w:left="567" w:hanging="425"/>
        <w:contextualSpacing/>
        <w:jc w:val="both"/>
        <w:rPr>
          <w:rFonts w:asciiTheme="minorHAnsi" w:hAnsiTheme="minorHAnsi" w:cstheme="minorHAnsi"/>
          <w:szCs w:val="20"/>
        </w:rPr>
      </w:pPr>
      <w:r w:rsidRPr="00937FBD">
        <w:rPr>
          <w:rFonts w:asciiTheme="minorHAnsi" w:hAnsiTheme="minorHAnsi" w:cstheme="minorHAnsi"/>
        </w:rPr>
        <w:t xml:space="preserve">Διάφοροι </w:t>
      </w:r>
      <w:r w:rsidR="007E1366">
        <w:rPr>
          <w:rFonts w:asciiTheme="minorHAnsi" w:hAnsiTheme="minorHAnsi" w:cstheme="minorHAnsi"/>
        </w:rPr>
        <w:t>υποθαλάσσιο</w:t>
      </w:r>
      <w:r w:rsidR="007E1366" w:rsidRPr="00937FBD">
        <w:rPr>
          <w:rFonts w:asciiTheme="minorHAnsi" w:hAnsiTheme="minorHAnsi" w:cstheme="minorHAnsi"/>
        </w:rPr>
        <w:t>ι</w:t>
      </w:r>
      <w:r w:rsidRPr="00937FBD">
        <w:rPr>
          <w:rFonts w:asciiTheme="minorHAnsi" w:hAnsiTheme="minorHAnsi" w:cstheme="minorHAnsi"/>
        </w:rPr>
        <w:t xml:space="preserve"> αγωγοί για έργα στη Βόρεια </w:t>
      </w:r>
      <w:r w:rsidR="00B278F9">
        <w:rPr>
          <w:rFonts w:asciiTheme="minorHAnsi" w:hAnsiTheme="minorHAnsi" w:cstheme="minorHAnsi"/>
        </w:rPr>
        <w:t>και</w:t>
      </w:r>
      <w:r w:rsidRPr="00937FBD">
        <w:rPr>
          <w:rFonts w:asciiTheme="minorHAnsi" w:hAnsiTheme="minorHAnsi" w:cstheme="minorHAnsi"/>
        </w:rPr>
        <w:t xml:space="preserve"> Νορβηγική Θάλασσα από σωλήνες</w:t>
      </w:r>
      <w:r w:rsidR="00FD7E5E" w:rsidRPr="00FD7E5E">
        <w:rPr>
          <w:rFonts w:asciiTheme="minorHAnsi" w:hAnsiTheme="minorHAnsi" w:cstheme="minorHAnsi"/>
        </w:rPr>
        <w:t xml:space="preserve"> </w:t>
      </w:r>
      <w:r w:rsidR="00C956E4">
        <w:rPr>
          <w:rFonts w:asciiTheme="minorHAnsi" w:hAnsiTheme="minorHAnsi" w:cstheme="minorHAnsi"/>
        </w:rPr>
        <w:t xml:space="preserve">χάλυβα </w:t>
      </w:r>
      <w:r w:rsidR="00D04BB1" w:rsidRPr="00550A38">
        <w:rPr>
          <w:rFonts w:cs="Calibri"/>
        </w:rPr>
        <w:t>υψ</w:t>
      </w:r>
      <w:r w:rsidR="00D04BB1">
        <w:rPr>
          <w:rFonts w:cs="Calibri"/>
        </w:rPr>
        <w:t>ίσυχνης</w:t>
      </w:r>
      <w:r w:rsidR="00D04BB1" w:rsidRPr="00550A38">
        <w:rPr>
          <w:rFonts w:cs="Calibri"/>
        </w:rPr>
        <w:t xml:space="preserve"> συγκόλλησης </w:t>
      </w:r>
      <w:r w:rsidR="00FD7E5E" w:rsidRPr="00FD7E5E">
        <w:rPr>
          <w:rFonts w:asciiTheme="minorHAnsi" w:hAnsiTheme="minorHAnsi" w:cstheme="minorHAnsi"/>
        </w:rPr>
        <w:t>(</w:t>
      </w:r>
      <w:r w:rsidRPr="00937FBD">
        <w:rPr>
          <w:rFonts w:asciiTheme="minorHAnsi" w:hAnsiTheme="minorHAnsi" w:cstheme="minorHAnsi"/>
          <w:lang w:val="en-US"/>
        </w:rPr>
        <w:t>HFW</w:t>
      </w:r>
      <w:r w:rsidR="00FD7E5E" w:rsidRPr="00FD7E5E">
        <w:rPr>
          <w:rFonts w:asciiTheme="minorHAnsi" w:hAnsiTheme="minorHAnsi" w:cstheme="minorHAnsi"/>
        </w:rPr>
        <w:t>)</w:t>
      </w:r>
      <w:r w:rsidRPr="00937FBD">
        <w:rPr>
          <w:rFonts w:asciiTheme="minorHAnsi" w:hAnsiTheme="minorHAnsi" w:cstheme="minorHAnsi"/>
        </w:rPr>
        <w:t xml:space="preserve">, </w:t>
      </w:r>
    </w:p>
    <w:p w14:paraId="7E9AF1E9" w14:textId="5148E6BD" w:rsidR="00937FBD" w:rsidRPr="00937FBD" w:rsidRDefault="00280B3E" w:rsidP="00AC01AB">
      <w:pPr>
        <w:numPr>
          <w:ilvl w:val="0"/>
          <w:numId w:val="1"/>
        </w:numPr>
        <w:spacing w:after="120" w:line="240" w:lineRule="auto"/>
        <w:ind w:left="567" w:hanging="425"/>
        <w:contextualSpacing/>
        <w:jc w:val="both"/>
        <w:rPr>
          <w:rFonts w:asciiTheme="minorHAnsi" w:hAnsiTheme="minorHAnsi" w:cstheme="minorHAnsi"/>
          <w:szCs w:val="20"/>
        </w:rPr>
      </w:pPr>
      <w:r>
        <w:rPr>
          <w:rFonts w:asciiTheme="minorHAnsi" w:hAnsiTheme="minorHAnsi" w:cstheme="minorHAnsi"/>
        </w:rPr>
        <w:t>Ο</w:t>
      </w:r>
      <w:r w:rsidR="00937FBD" w:rsidRPr="00937FBD">
        <w:rPr>
          <w:rFonts w:asciiTheme="minorHAnsi" w:hAnsiTheme="minorHAnsi" w:cstheme="minorHAnsi"/>
        </w:rPr>
        <w:t xml:space="preserve"> </w:t>
      </w:r>
      <w:r w:rsidR="003B31ED">
        <w:rPr>
          <w:rFonts w:asciiTheme="minorHAnsi" w:hAnsiTheme="minorHAnsi" w:cstheme="minorHAnsi"/>
        </w:rPr>
        <w:t xml:space="preserve">υποθαλάσσιος </w:t>
      </w:r>
      <w:r w:rsidR="004F233B">
        <w:rPr>
          <w:rFonts w:asciiTheme="minorHAnsi" w:hAnsiTheme="minorHAnsi" w:cstheme="minorHAnsi"/>
        </w:rPr>
        <w:t xml:space="preserve">αγωγός </w:t>
      </w:r>
      <w:r w:rsidR="004F233B" w:rsidRPr="00937FBD">
        <w:rPr>
          <w:rFonts w:asciiTheme="minorHAnsi" w:hAnsiTheme="minorHAnsi" w:cstheme="minorHAnsi"/>
        </w:rPr>
        <w:t>φυσικού</w:t>
      </w:r>
      <w:r w:rsidR="00937FBD" w:rsidRPr="00937FBD">
        <w:rPr>
          <w:rFonts w:asciiTheme="minorHAnsi" w:hAnsiTheme="minorHAnsi" w:cstheme="minorHAnsi"/>
        </w:rPr>
        <w:t xml:space="preserve"> αερίου</w:t>
      </w:r>
      <w:r>
        <w:rPr>
          <w:rFonts w:asciiTheme="minorHAnsi" w:hAnsiTheme="minorHAnsi" w:cstheme="minorHAnsi"/>
        </w:rPr>
        <w:t xml:space="preserve"> </w:t>
      </w:r>
      <w:r w:rsidRPr="00937FBD">
        <w:rPr>
          <w:rFonts w:asciiTheme="minorHAnsi" w:hAnsiTheme="minorHAnsi" w:cstheme="minorHAnsi"/>
          <w:lang w:val="en-US"/>
        </w:rPr>
        <w:t>Neptun</w:t>
      </w:r>
      <w:r w:rsidRPr="00937FBD">
        <w:rPr>
          <w:rFonts w:asciiTheme="minorHAnsi" w:hAnsiTheme="minorHAnsi" w:cstheme="minorHAnsi"/>
        </w:rPr>
        <w:t xml:space="preserve"> </w:t>
      </w:r>
      <w:r w:rsidRPr="00937FBD">
        <w:rPr>
          <w:rFonts w:asciiTheme="minorHAnsi" w:hAnsiTheme="minorHAnsi" w:cstheme="minorHAnsi"/>
          <w:lang w:val="en-US"/>
        </w:rPr>
        <w:t>deep</w:t>
      </w:r>
      <w:r w:rsidRPr="00937FBD">
        <w:rPr>
          <w:rFonts w:asciiTheme="minorHAnsi" w:hAnsiTheme="minorHAnsi" w:cstheme="minorHAnsi"/>
        </w:rPr>
        <w:t xml:space="preserve"> της </w:t>
      </w:r>
      <w:r w:rsidRPr="00937FBD">
        <w:rPr>
          <w:rFonts w:asciiTheme="minorHAnsi" w:hAnsiTheme="minorHAnsi" w:cstheme="minorHAnsi"/>
          <w:lang w:val="en-US"/>
        </w:rPr>
        <w:t>OMV</w:t>
      </w:r>
      <w:r w:rsidRPr="00937FBD">
        <w:rPr>
          <w:rFonts w:asciiTheme="minorHAnsi" w:hAnsiTheme="minorHAnsi" w:cstheme="minorHAnsi"/>
        </w:rPr>
        <w:t xml:space="preserve"> </w:t>
      </w:r>
      <w:r w:rsidRPr="00937FBD">
        <w:rPr>
          <w:rFonts w:asciiTheme="minorHAnsi" w:hAnsiTheme="minorHAnsi" w:cstheme="minorHAnsi"/>
          <w:lang w:val="en-US"/>
        </w:rPr>
        <w:t>Petrom</w:t>
      </w:r>
      <w:r w:rsidRPr="00937FBD">
        <w:rPr>
          <w:rFonts w:asciiTheme="minorHAnsi" w:hAnsiTheme="minorHAnsi" w:cstheme="minorHAnsi"/>
        </w:rPr>
        <w:t xml:space="preserve"> στη Ρουμανία</w:t>
      </w:r>
      <w:r>
        <w:rPr>
          <w:rFonts w:asciiTheme="minorHAnsi" w:hAnsiTheme="minorHAnsi" w:cstheme="minorHAnsi"/>
        </w:rPr>
        <w:t>,</w:t>
      </w:r>
      <w:r w:rsidR="00937FBD" w:rsidRPr="00937FBD">
        <w:rPr>
          <w:rFonts w:asciiTheme="minorHAnsi" w:hAnsiTheme="minorHAnsi" w:cstheme="minorHAnsi"/>
        </w:rPr>
        <w:t xml:space="preserve"> μήκους 162 χιλιομέτρων με εξωτερική διάμετρο 20</w:t>
      </w:r>
      <w:r>
        <w:rPr>
          <w:rFonts w:asciiTheme="minorHAnsi" w:hAnsiTheme="minorHAnsi" w:cstheme="minorHAnsi"/>
        </w:rPr>
        <w:t xml:space="preserve"> ιντσών</w:t>
      </w:r>
      <w:r w:rsidR="00937FBD" w:rsidRPr="00937FBD">
        <w:rPr>
          <w:rFonts w:asciiTheme="minorHAnsi" w:hAnsiTheme="minorHAnsi" w:cstheme="minorHAnsi"/>
        </w:rPr>
        <w:t xml:space="preserve"> που </w:t>
      </w:r>
      <w:r>
        <w:rPr>
          <w:rFonts w:asciiTheme="minorHAnsi" w:hAnsiTheme="minorHAnsi" w:cstheme="minorHAnsi"/>
        </w:rPr>
        <w:t>θα κατασκευαστεί</w:t>
      </w:r>
      <w:r w:rsidR="00937FBD" w:rsidRPr="00937FBD">
        <w:rPr>
          <w:rFonts w:asciiTheme="minorHAnsi" w:hAnsiTheme="minorHAnsi" w:cstheme="minorHAnsi"/>
        </w:rPr>
        <w:t xml:space="preserve"> στο εργοστάσιο </w:t>
      </w:r>
      <w:r w:rsidR="00FD7E5E" w:rsidRPr="00FD7E5E">
        <w:rPr>
          <w:rFonts w:asciiTheme="minorHAnsi" w:hAnsiTheme="minorHAnsi" w:cstheme="minorHAnsi"/>
          <w:szCs w:val="20"/>
        </w:rPr>
        <w:t>σωλήνων ευθείας ραφής βυθισμένου τόξου</w:t>
      </w:r>
      <w:r w:rsidR="00FD7E5E">
        <w:rPr>
          <w:rFonts w:asciiTheme="minorHAnsi" w:hAnsiTheme="minorHAnsi" w:cstheme="minorHAnsi"/>
          <w:szCs w:val="20"/>
        </w:rPr>
        <w:t xml:space="preserve"> (</w:t>
      </w:r>
      <w:r w:rsidR="00FD7E5E" w:rsidRPr="00937FBD">
        <w:rPr>
          <w:rFonts w:asciiTheme="minorHAnsi" w:hAnsiTheme="minorHAnsi" w:cstheme="minorHAnsi"/>
          <w:szCs w:val="20"/>
          <w:lang w:val="en-US"/>
        </w:rPr>
        <w:t>LSAW</w:t>
      </w:r>
      <w:r w:rsidR="00FD7E5E">
        <w:rPr>
          <w:rFonts w:asciiTheme="minorHAnsi" w:hAnsiTheme="minorHAnsi" w:cstheme="minorHAnsi"/>
          <w:szCs w:val="20"/>
        </w:rPr>
        <w:t>)</w:t>
      </w:r>
      <w:r w:rsidR="00937FBD" w:rsidRPr="00937FBD">
        <w:rPr>
          <w:rFonts w:asciiTheme="minorHAnsi" w:hAnsiTheme="minorHAnsi" w:cstheme="minorHAnsi"/>
        </w:rPr>
        <w:t xml:space="preserve"> και</w:t>
      </w:r>
    </w:p>
    <w:p w14:paraId="2E0E51D6" w14:textId="7A951ECE" w:rsidR="00937FBD" w:rsidRPr="00DC6011" w:rsidRDefault="00771225" w:rsidP="00937FBD">
      <w:pPr>
        <w:numPr>
          <w:ilvl w:val="0"/>
          <w:numId w:val="1"/>
        </w:numPr>
        <w:spacing w:after="120" w:line="240" w:lineRule="auto"/>
        <w:ind w:left="567" w:hanging="425"/>
        <w:jc w:val="both"/>
        <w:rPr>
          <w:rFonts w:asciiTheme="minorHAnsi" w:hAnsiTheme="minorHAnsi" w:cstheme="minorHAnsi"/>
        </w:rPr>
      </w:pPr>
      <w:r>
        <w:rPr>
          <w:rFonts w:asciiTheme="minorHAnsi" w:hAnsiTheme="minorHAnsi" w:cstheme="minorHAnsi"/>
        </w:rPr>
        <w:t xml:space="preserve">Άλλα </w:t>
      </w:r>
      <w:r w:rsidR="00937FBD" w:rsidRPr="00DC6011">
        <w:rPr>
          <w:rFonts w:asciiTheme="minorHAnsi" w:hAnsiTheme="minorHAnsi" w:cstheme="minorHAnsi"/>
        </w:rPr>
        <w:t>μεγάλα και μεσαί</w:t>
      </w:r>
      <w:r>
        <w:rPr>
          <w:rFonts w:asciiTheme="minorHAnsi" w:hAnsiTheme="minorHAnsi" w:cstheme="minorHAnsi"/>
        </w:rPr>
        <w:t xml:space="preserve">α </w:t>
      </w:r>
      <w:r w:rsidR="00937FBD" w:rsidRPr="00DC6011">
        <w:rPr>
          <w:rFonts w:asciiTheme="minorHAnsi" w:hAnsiTheme="minorHAnsi" w:cstheme="minorHAnsi"/>
        </w:rPr>
        <w:t xml:space="preserve">έργα στις ΗΠΑ, την Αφρική, την Ευρώπη και την Ελλάδα. </w:t>
      </w:r>
    </w:p>
    <w:p w14:paraId="274077CA" w14:textId="77777777" w:rsidR="00937FBD" w:rsidRPr="00937FBD" w:rsidRDefault="00937FBD" w:rsidP="00937FBD">
      <w:pPr>
        <w:autoSpaceDE w:val="0"/>
        <w:autoSpaceDN w:val="0"/>
        <w:adjustRightInd w:val="0"/>
        <w:spacing w:after="120" w:line="240" w:lineRule="auto"/>
        <w:jc w:val="both"/>
        <w:rPr>
          <w:rFonts w:asciiTheme="minorHAnsi" w:hAnsiTheme="minorHAnsi" w:cstheme="minorHAnsi"/>
          <w:szCs w:val="20"/>
        </w:rPr>
      </w:pPr>
      <w:r w:rsidRPr="00937FBD">
        <w:rPr>
          <w:rFonts w:asciiTheme="minorHAnsi" w:hAnsiTheme="minorHAnsi" w:cstheme="minorHAnsi"/>
          <w:szCs w:val="20"/>
        </w:rPr>
        <w:t>Παράλληλα, η Σωληνουργεία Κορίνθου εξασφάλισε σημαντικά νέα έργα κατά το πρώτο εξάμηνο του 2024, μεταξύ των οποίων:</w:t>
      </w:r>
    </w:p>
    <w:p w14:paraId="39BE0419" w14:textId="6A21F69B" w:rsidR="00937FBD" w:rsidRPr="00937FBD" w:rsidRDefault="000B5CC4" w:rsidP="00AC01AB">
      <w:pPr>
        <w:numPr>
          <w:ilvl w:val="0"/>
          <w:numId w:val="1"/>
        </w:numPr>
        <w:spacing w:after="120" w:line="240" w:lineRule="auto"/>
        <w:ind w:left="567" w:hanging="425"/>
        <w:contextualSpacing/>
        <w:jc w:val="both"/>
      </w:pPr>
      <w:r>
        <w:rPr>
          <w:rFonts w:asciiTheme="minorHAnsi" w:hAnsiTheme="minorHAnsi" w:cstheme="minorHAnsi"/>
        </w:rPr>
        <w:t>το έ</w:t>
      </w:r>
      <w:r w:rsidR="00937FBD" w:rsidRPr="00937FBD">
        <w:rPr>
          <w:rFonts w:asciiTheme="minorHAnsi" w:hAnsiTheme="minorHAnsi" w:cstheme="minorHAnsi"/>
        </w:rPr>
        <w:t xml:space="preserve">ργο </w:t>
      </w:r>
      <w:r w:rsidR="00937FBD" w:rsidRPr="00937FBD">
        <w:rPr>
          <w:rFonts w:asciiTheme="minorHAnsi" w:hAnsiTheme="minorHAnsi" w:cstheme="minorHAnsi"/>
          <w:lang w:val="en-GB"/>
        </w:rPr>
        <w:t>Utsira</w:t>
      </w:r>
      <w:r w:rsidR="00937FBD" w:rsidRPr="00937FBD">
        <w:rPr>
          <w:rFonts w:asciiTheme="minorHAnsi" w:hAnsiTheme="minorHAnsi" w:cstheme="minorHAnsi"/>
        </w:rPr>
        <w:t xml:space="preserve"> </w:t>
      </w:r>
      <w:r w:rsidR="00937FBD" w:rsidRPr="00937FBD">
        <w:rPr>
          <w:rFonts w:asciiTheme="minorHAnsi" w:hAnsiTheme="minorHAnsi" w:cstheme="minorHAnsi"/>
          <w:lang w:val="en-GB"/>
        </w:rPr>
        <w:t>High</w:t>
      </w:r>
      <w:r w:rsidR="00937FBD" w:rsidRPr="00937FBD">
        <w:rPr>
          <w:rFonts w:asciiTheme="minorHAnsi" w:hAnsiTheme="minorHAnsi" w:cstheme="minorHAnsi"/>
        </w:rPr>
        <w:t xml:space="preserve"> </w:t>
      </w:r>
      <w:r w:rsidR="00937FBD" w:rsidRPr="00937FBD">
        <w:rPr>
          <w:rFonts w:asciiTheme="minorHAnsi" w:hAnsiTheme="minorHAnsi" w:cstheme="minorHAnsi"/>
          <w:lang w:val="en-GB"/>
        </w:rPr>
        <w:t>Project</w:t>
      </w:r>
      <w:r w:rsidR="00937FBD" w:rsidRPr="00937FBD">
        <w:rPr>
          <w:rFonts w:asciiTheme="minorHAnsi" w:hAnsiTheme="minorHAnsi" w:cstheme="minorHAnsi"/>
        </w:rPr>
        <w:t xml:space="preserve"> στη Βόρεια Θάλασσα που </w:t>
      </w:r>
      <w:r w:rsidR="00771225">
        <w:rPr>
          <w:rFonts w:asciiTheme="minorHAnsi" w:hAnsiTheme="minorHAnsi" w:cstheme="minorHAnsi"/>
        </w:rPr>
        <w:t xml:space="preserve">της </w:t>
      </w:r>
      <w:r w:rsidR="00937FBD" w:rsidRPr="00937FBD">
        <w:rPr>
          <w:rFonts w:asciiTheme="minorHAnsi" w:hAnsiTheme="minorHAnsi" w:cstheme="minorHAnsi"/>
        </w:rPr>
        <w:t xml:space="preserve">ανατέθηκε από την </w:t>
      </w:r>
      <w:r w:rsidR="00937FBD" w:rsidRPr="00937FBD">
        <w:rPr>
          <w:rFonts w:asciiTheme="minorHAnsi" w:hAnsiTheme="minorHAnsi" w:cstheme="minorHAnsi"/>
          <w:lang w:val="en-GB"/>
        </w:rPr>
        <w:t>TechnipFMC</w:t>
      </w:r>
      <w:r w:rsidR="00771225">
        <w:rPr>
          <w:rFonts w:asciiTheme="minorHAnsi" w:hAnsiTheme="minorHAnsi" w:cstheme="minorHAnsi"/>
        </w:rPr>
        <w:t>:</w:t>
      </w:r>
      <w:r w:rsidR="00937FBD" w:rsidRPr="00937FBD">
        <w:rPr>
          <w:rFonts w:asciiTheme="minorHAnsi" w:hAnsiTheme="minorHAnsi" w:cstheme="minorHAnsi"/>
        </w:rPr>
        <w:t xml:space="preserve"> ένας </w:t>
      </w:r>
      <w:r w:rsidRPr="00937FBD">
        <w:rPr>
          <w:rFonts w:asciiTheme="minorHAnsi" w:hAnsiTheme="minorHAnsi" w:cstheme="minorHAnsi"/>
        </w:rPr>
        <w:t>υπ</w:t>
      </w:r>
      <w:r>
        <w:rPr>
          <w:rFonts w:asciiTheme="minorHAnsi" w:hAnsiTheme="minorHAnsi" w:cstheme="minorHAnsi"/>
        </w:rPr>
        <w:t>οθαλάσσιος</w:t>
      </w:r>
      <w:r w:rsidR="00937FBD" w:rsidRPr="00937FBD">
        <w:rPr>
          <w:rFonts w:asciiTheme="minorHAnsi" w:hAnsiTheme="minorHAnsi" w:cstheme="minorHAnsi"/>
        </w:rPr>
        <w:t xml:space="preserve"> αγωγός 27 χ</w:t>
      </w:r>
      <w:r w:rsidR="00771225">
        <w:rPr>
          <w:rFonts w:asciiTheme="minorHAnsi" w:hAnsiTheme="minorHAnsi" w:cstheme="minorHAnsi"/>
        </w:rPr>
        <w:t>λμ.</w:t>
      </w:r>
      <w:r w:rsidR="00937FBD" w:rsidRPr="00937FBD">
        <w:rPr>
          <w:rFonts w:asciiTheme="minorHAnsi" w:hAnsiTheme="minorHAnsi" w:cstheme="minorHAnsi"/>
        </w:rPr>
        <w:t xml:space="preserve"> από </w:t>
      </w:r>
      <w:r w:rsidR="00C956E4">
        <w:rPr>
          <w:rFonts w:asciiTheme="minorHAnsi" w:hAnsiTheme="minorHAnsi" w:cstheme="minorHAnsi"/>
        </w:rPr>
        <w:t xml:space="preserve">σωλήνες χάλυβα </w:t>
      </w:r>
      <w:r w:rsidR="00153767" w:rsidRPr="00153767">
        <w:rPr>
          <w:rFonts w:asciiTheme="minorHAnsi" w:hAnsiTheme="minorHAnsi" w:cstheme="minorHAnsi"/>
          <w:szCs w:val="20"/>
        </w:rPr>
        <w:t xml:space="preserve">υψίσυχνης συγκόλλησης </w:t>
      </w:r>
      <w:r w:rsidR="00FD7E5E">
        <w:rPr>
          <w:rFonts w:asciiTheme="minorHAnsi" w:hAnsiTheme="minorHAnsi" w:cstheme="minorHAnsi"/>
        </w:rPr>
        <w:t>(</w:t>
      </w:r>
      <w:r w:rsidR="00937FBD" w:rsidRPr="00937FBD">
        <w:rPr>
          <w:rFonts w:asciiTheme="minorHAnsi" w:hAnsiTheme="minorHAnsi" w:cstheme="minorHAnsi"/>
          <w:lang w:val="en-GB"/>
        </w:rPr>
        <w:t>HFW</w:t>
      </w:r>
      <w:r w:rsidR="00FD7E5E">
        <w:rPr>
          <w:rFonts w:asciiTheme="minorHAnsi" w:hAnsiTheme="minorHAnsi" w:cstheme="minorHAnsi"/>
        </w:rPr>
        <w:t>)</w:t>
      </w:r>
      <w:r w:rsidR="00937FBD" w:rsidRPr="00937FBD">
        <w:rPr>
          <w:rFonts w:asciiTheme="minorHAnsi" w:hAnsiTheme="minorHAnsi" w:cstheme="minorHAnsi"/>
        </w:rPr>
        <w:t xml:space="preserve"> και </w:t>
      </w:r>
    </w:p>
    <w:p w14:paraId="4CF11B28" w14:textId="3D896861" w:rsidR="00937FBD" w:rsidRPr="00937FBD" w:rsidRDefault="000B5CC4" w:rsidP="00937FBD">
      <w:pPr>
        <w:numPr>
          <w:ilvl w:val="0"/>
          <w:numId w:val="1"/>
        </w:numPr>
        <w:spacing w:after="120" w:line="240" w:lineRule="auto"/>
        <w:ind w:left="567" w:hanging="425"/>
        <w:jc w:val="both"/>
        <w:rPr>
          <w:rFonts w:asciiTheme="minorHAnsi" w:hAnsiTheme="minorHAnsi" w:cstheme="minorHAnsi"/>
        </w:rPr>
      </w:pPr>
      <w:r>
        <w:t>την α</w:t>
      </w:r>
      <w:r w:rsidR="00937FBD" w:rsidRPr="00995EF5">
        <w:t xml:space="preserve">νάθεση από την </w:t>
      </w:r>
      <w:proofErr w:type="spellStart"/>
      <w:r w:rsidR="00937FBD" w:rsidRPr="00995EF5">
        <w:t>Woodside</w:t>
      </w:r>
      <w:proofErr w:type="spellEnd"/>
      <w:r w:rsidR="00937FBD" w:rsidRPr="00995EF5">
        <w:t xml:space="preserve"> Energy ενός σημαντικού συμβολαίου για το κοίτασμα </w:t>
      </w:r>
      <w:proofErr w:type="spellStart"/>
      <w:r w:rsidR="00937FBD" w:rsidRPr="00995EF5">
        <w:t>βαθέων</w:t>
      </w:r>
      <w:proofErr w:type="spellEnd"/>
      <w:r w:rsidR="00937FBD" w:rsidRPr="00995EF5">
        <w:t xml:space="preserve"> υδάτων </w:t>
      </w:r>
      <w:proofErr w:type="spellStart"/>
      <w:r w:rsidR="00937FBD" w:rsidRPr="00995EF5">
        <w:t>Trion</w:t>
      </w:r>
      <w:proofErr w:type="spellEnd"/>
      <w:r w:rsidR="00937FBD" w:rsidRPr="00995EF5">
        <w:t xml:space="preserve"> στον </w:t>
      </w:r>
      <w:r w:rsidR="00995EF5" w:rsidRPr="00995EF5">
        <w:t>κ</w:t>
      </w:r>
      <w:r w:rsidR="00937FBD" w:rsidRPr="00995EF5">
        <w:t>όλπο του Μεξικού μ</w:t>
      </w:r>
      <w:r w:rsidR="00995EF5">
        <w:t>ήκους</w:t>
      </w:r>
      <w:r w:rsidR="00937FBD" w:rsidRPr="00995EF5">
        <w:t xml:space="preserve"> 118 </w:t>
      </w:r>
      <w:r w:rsidR="00771225">
        <w:t>χλμ.</w:t>
      </w:r>
      <w:r w:rsidR="00937FBD" w:rsidRPr="00995EF5">
        <w:t xml:space="preserve"> </w:t>
      </w:r>
      <w:r w:rsidR="00C956E4" w:rsidRPr="00995EF5">
        <w:t>σωλήν</w:t>
      </w:r>
      <w:r w:rsidR="00995EF5">
        <w:t>ων</w:t>
      </w:r>
      <w:r w:rsidR="00C956E4" w:rsidRPr="00995EF5">
        <w:t xml:space="preserve"> χάλυβα</w:t>
      </w:r>
      <w:r w:rsidR="00FD7E5E">
        <w:rPr>
          <w:rFonts w:asciiTheme="minorHAnsi" w:hAnsiTheme="minorHAnsi" w:cstheme="minorHAnsi"/>
        </w:rPr>
        <w:t xml:space="preserve"> </w:t>
      </w:r>
      <w:r w:rsidR="00771225">
        <w:rPr>
          <w:rFonts w:asciiTheme="minorHAnsi" w:hAnsiTheme="minorHAnsi" w:cstheme="minorHAnsi"/>
        </w:rPr>
        <w:t xml:space="preserve">επίσης </w:t>
      </w:r>
      <w:r w:rsidR="00B278F9" w:rsidRPr="00B278F9">
        <w:rPr>
          <w:rFonts w:asciiTheme="minorHAnsi" w:hAnsiTheme="minorHAnsi" w:cstheme="minorHAnsi"/>
          <w:szCs w:val="20"/>
        </w:rPr>
        <w:t xml:space="preserve">υψίσυχνης συγκόλλησης </w:t>
      </w:r>
      <w:r w:rsidR="00FD7E5E">
        <w:rPr>
          <w:rFonts w:asciiTheme="minorHAnsi" w:hAnsiTheme="minorHAnsi" w:cstheme="minorHAnsi"/>
        </w:rPr>
        <w:t>(</w:t>
      </w:r>
      <w:r w:rsidR="00937FBD" w:rsidRPr="00937FBD">
        <w:rPr>
          <w:rFonts w:asciiTheme="minorHAnsi" w:hAnsiTheme="minorHAnsi" w:cstheme="minorHAnsi"/>
        </w:rPr>
        <w:t>HFW</w:t>
      </w:r>
      <w:r w:rsidR="00FD7E5E">
        <w:rPr>
          <w:rFonts w:asciiTheme="minorHAnsi" w:hAnsiTheme="minorHAnsi" w:cstheme="minorHAnsi"/>
        </w:rPr>
        <w:t>)</w:t>
      </w:r>
      <w:r w:rsidR="00937FBD" w:rsidRPr="00937FBD">
        <w:rPr>
          <w:rFonts w:asciiTheme="minorHAnsi" w:hAnsiTheme="minorHAnsi" w:cstheme="minorHAnsi"/>
        </w:rPr>
        <w:t>.</w:t>
      </w:r>
    </w:p>
    <w:p w14:paraId="39DEA405" w14:textId="437EBA07" w:rsidR="00937FBD" w:rsidRPr="00DC6011" w:rsidRDefault="00A8693E" w:rsidP="00AC01AB">
      <w:pPr>
        <w:autoSpaceDE w:val="0"/>
        <w:autoSpaceDN w:val="0"/>
        <w:adjustRightInd w:val="0"/>
        <w:spacing w:after="120" w:line="240" w:lineRule="auto"/>
        <w:jc w:val="both"/>
        <w:rPr>
          <w:rFonts w:cs="Calibri"/>
          <w:szCs w:val="20"/>
        </w:rPr>
      </w:pPr>
      <w:r w:rsidRPr="00A8693E">
        <w:rPr>
          <w:rFonts w:cs="Calibri"/>
          <w:szCs w:val="20"/>
        </w:rPr>
        <w:t>Πέραν των παραπάνω, έγιναν κι άλλες αναθέσεις έργων</w:t>
      </w:r>
      <w:r>
        <w:rPr>
          <w:rFonts w:cs="Calibri"/>
          <w:szCs w:val="20"/>
        </w:rPr>
        <w:t xml:space="preserve"> </w:t>
      </w:r>
      <w:r w:rsidR="00937FBD" w:rsidRPr="00937FBD">
        <w:rPr>
          <w:rFonts w:cs="Calibri"/>
          <w:szCs w:val="20"/>
        </w:rPr>
        <w:t xml:space="preserve">στην Ιταλία, </w:t>
      </w:r>
      <w:r>
        <w:rPr>
          <w:rFonts w:cs="Calibri"/>
          <w:szCs w:val="20"/>
        </w:rPr>
        <w:t>σ</w:t>
      </w:r>
      <w:r w:rsidR="00937FBD" w:rsidRPr="00937FBD">
        <w:rPr>
          <w:rFonts w:cs="Calibri"/>
          <w:szCs w:val="20"/>
        </w:rPr>
        <w:t xml:space="preserve">τη Ρουμανία, </w:t>
      </w:r>
      <w:r>
        <w:rPr>
          <w:rFonts w:cs="Calibri"/>
          <w:szCs w:val="20"/>
        </w:rPr>
        <w:t>σ</w:t>
      </w:r>
      <w:r w:rsidR="00937FBD" w:rsidRPr="00937FBD">
        <w:rPr>
          <w:rFonts w:cs="Calibri"/>
          <w:szCs w:val="20"/>
        </w:rPr>
        <w:t xml:space="preserve">τη Βόρεια και Νορβηγική </w:t>
      </w:r>
      <w:r w:rsidR="00153767">
        <w:rPr>
          <w:rFonts w:cs="Calibri"/>
          <w:szCs w:val="20"/>
        </w:rPr>
        <w:t>θ</w:t>
      </w:r>
      <w:r w:rsidR="00937FBD" w:rsidRPr="00937FBD">
        <w:rPr>
          <w:rFonts w:cs="Calibri"/>
          <w:szCs w:val="20"/>
        </w:rPr>
        <w:t xml:space="preserve">άλασσα και </w:t>
      </w:r>
      <w:r>
        <w:rPr>
          <w:rFonts w:cs="Calibri"/>
          <w:szCs w:val="20"/>
        </w:rPr>
        <w:t>σ</w:t>
      </w:r>
      <w:r w:rsidR="00937FBD" w:rsidRPr="00937FBD">
        <w:rPr>
          <w:rFonts w:cs="Calibri"/>
          <w:szCs w:val="20"/>
        </w:rPr>
        <w:t>τις Η.Π.Α</w:t>
      </w:r>
      <w:r>
        <w:rPr>
          <w:rFonts w:cs="Calibri"/>
          <w:szCs w:val="20"/>
        </w:rPr>
        <w:t xml:space="preserve">., </w:t>
      </w:r>
      <w:r w:rsidRPr="00A8693E">
        <w:rPr>
          <w:rFonts w:cs="Calibri"/>
          <w:szCs w:val="20"/>
        </w:rPr>
        <w:t>ενισχύοντας περαιτέρω την κερδοφορία του τομέα</w:t>
      </w:r>
      <w:r w:rsidR="00937FBD" w:rsidRPr="00937FBD">
        <w:rPr>
          <w:rFonts w:cs="Calibri"/>
          <w:szCs w:val="20"/>
        </w:rPr>
        <w:t xml:space="preserve">. </w:t>
      </w:r>
    </w:p>
    <w:p w14:paraId="177E5860" w14:textId="371B1149" w:rsidR="00A8693E" w:rsidRPr="00A8693E" w:rsidRDefault="00A8693E" w:rsidP="00AC01AB">
      <w:pPr>
        <w:autoSpaceDE w:val="0"/>
        <w:autoSpaceDN w:val="0"/>
        <w:adjustRightInd w:val="0"/>
        <w:spacing w:after="120" w:line="240" w:lineRule="auto"/>
        <w:jc w:val="both"/>
        <w:rPr>
          <w:rFonts w:cs="Calibri"/>
          <w:szCs w:val="20"/>
        </w:rPr>
      </w:pPr>
      <w:r w:rsidRPr="00A8693E">
        <w:rPr>
          <w:rFonts w:cs="Calibri"/>
          <w:szCs w:val="20"/>
        </w:rPr>
        <w:t>Ως αποτέλεσμα των προαναφερθέντων αναθέσεων, το ανεκτέλεστο υπόλοιπο στο τέλος του πρώτου εξαμήνου του 2024 ανήλθε σε 561 εκατ. ευρώ, με τις νέες αναθέσεις να ξεπερνούν τα 200 εκατ</w:t>
      </w:r>
      <w:r w:rsidR="000B5CC4">
        <w:rPr>
          <w:rFonts w:cs="Calibri"/>
          <w:szCs w:val="20"/>
        </w:rPr>
        <w:t>.</w:t>
      </w:r>
      <w:r w:rsidR="00153767">
        <w:rPr>
          <w:rFonts w:cs="Calibri"/>
          <w:szCs w:val="20"/>
        </w:rPr>
        <w:t xml:space="preserve"> ευρώ.</w:t>
      </w:r>
    </w:p>
    <w:p w14:paraId="23C57B47" w14:textId="2F62E2F1" w:rsidR="009C74FC" w:rsidRDefault="00A8693E" w:rsidP="00AC01AB">
      <w:pPr>
        <w:autoSpaceDE w:val="0"/>
        <w:autoSpaceDN w:val="0"/>
        <w:adjustRightInd w:val="0"/>
        <w:spacing w:after="120" w:line="240" w:lineRule="auto"/>
        <w:jc w:val="both"/>
        <w:rPr>
          <w:rFonts w:cs="Calibri"/>
          <w:szCs w:val="20"/>
        </w:rPr>
      </w:pPr>
      <w:r>
        <w:rPr>
          <w:rFonts w:cs="Calibri"/>
          <w:szCs w:val="20"/>
        </w:rPr>
        <w:t xml:space="preserve">Το κεφάλαιο κίνησης του τομέα αυξήθηκε περίπου κατά 37 εκατ. ευρώ σε σχέση με τα επίπεδα του 2023, λόγω της αυξημένης ανάγκης για κεφάλαιο κίνησης </w:t>
      </w:r>
      <w:r w:rsidR="000B5CC4">
        <w:rPr>
          <w:rFonts w:cs="Calibri"/>
          <w:szCs w:val="20"/>
        </w:rPr>
        <w:t>για τα υπό εκτέλεση</w:t>
      </w:r>
      <w:r>
        <w:rPr>
          <w:rFonts w:cs="Calibri"/>
          <w:szCs w:val="20"/>
        </w:rPr>
        <w:t xml:space="preserve"> έργα</w:t>
      </w:r>
      <w:r w:rsidR="009C74FC">
        <w:rPr>
          <w:rFonts w:cs="Calibri"/>
          <w:szCs w:val="20"/>
        </w:rPr>
        <w:t xml:space="preserve">. </w:t>
      </w:r>
      <w:r w:rsidR="00937FBD" w:rsidRPr="00937FBD">
        <w:rPr>
          <w:rFonts w:cs="Calibri"/>
          <w:szCs w:val="20"/>
        </w:rPr>
        <w:t xml:space="preserve">Κατά συνέπεια, </w:t>
      </w:r>
      <w:r w:rsidR="00D04BB1">
        <w:rPr>
          <w:rFonts w:cs="Calibri"/>
          <w:szCs w:val="20"/>
        </w:rPr>
        <w:t>ο</w:t>
      </w:r>
      <w:r w:rsidR="00937FBD" w:rsidRPr="00937FBD">
        <w:rPr>
          <w:rFonts w:cs="Calibri"/>
          <w:szCs w:val="20"/>
        </w:rPr>
        <w:t xml:space="preserve"> καθαρό</w:t>
      </w:r>
      <w:r w:rsidR="00D04BB1">
        <w:rPr>
          <w:rFonts w:cs="Calibri"/>
          <w:szCs w:val="20"/>
        </w:rPr>
        <w:t>ς</w:t>
      </w:r>
      <w:r w:rsidR="00937FBD" w:rsidRPr="00937FBD">
        <w:rPr>
          <w:rFonts w:cs="Calibri"/>
          <w:szCs w:val="20"/>
        </w:rPr>
        <w:t xml:space="preserve"> </w:t>
      </w:r>
      <w:r w:rsidR="00D04BB1">
        <w:rPr>
          <w:rFonts w:cs="Calibri"/>
          <w:szCs w:val="20"/>
        </w:rPr>
        <w:t>δανεισμός</w:t>
      </w:r>
      <w:r w:rsidR="00937FBD" w:rsidRPr="00937FBD">
        <w:rPr>
          <w:rFonts w:cs="Calibri"/>
          <w:szCs w:val="20"/>
        </w:rPr>
        <w:t xml:space="preserve"> </w:t>
      </w:r>
      <w:r w:rsidR="009C74FC">
        <w:rPr>
          <w:rFonts w:cs="Calibri"/>
          <w:szCs w:val="20"/>
        </w:rPr>
        <w:t>αυξήθηκε στα</w:t>
      </w:r>
      <w:r w:rsidR="00937FBD" w:rsidRPr="00937FBD">
        <w:rPr>
          <w:rFonts w:cs="Calibri"/>
          <w:szCs w:val="20"/>
        </w:rPr>
        <w:t xml:space="preserve"> 115 εκατ. ευρώ, 41 εκατ. ευρώ </w:t>
      </w:r>
      <w:r w:rsidR="009C74FC">
        <w:rPr>
          <w:rFonts w:cs="Calibri"/>
          <w:szCs w:val="20"/>
        </w:rPr>
        <w:t>υψηλότερος σε σχέση με τις</w:t>
      </w:r>
      <w:r w:rsidR="00937FBD" w:rsidRPr="00937FBD">
        <w:rPr>
          <w:rFonts w:cs="Calibri"/>
          <w:szCs w:val="20"/>
        </w:rPr>
        <w:t xml:space="preserve"> 31.12.</w:t>
      </w:r>
      <w:r w:rsidR="00937FBD" w:rsidRPr="00373D84">
        <w:rPr>
          <w:rFonts w:cs="Calibri"/>
          <w:szCs w:val="20"/>
        </w:rPr>
        <w:t xml:space="preserve">23.  </w:t>
      </w:r>
      <w:r w:rsidR="009C74FC" w:rsidRPr="009C74FC">
        <w:rPr>
          <w:rFonts w:cs="Calibri"/>
          <w:szCs w:val="20"/>
        </w:rPr>
        <w:t xml:space="preserve">Ωστόσο, η αύξηση αυτή αποδίδεται κυρίως στο χρονισμό ορισμένων πληρωμών (“milestone payments”) που σχετίζονται με </w:t>
      </w:r>
      <w:r w:rsidR="000B5CC4">
        <w:rPr>
          <w:rFonts w:cs="Calibri"/>
          <w:szCs w:val="20"/>
        </w:rPr>
        <w:t xml:space="preserve">ενεργειακά </w:t>
      </w:r>
      <w:r w:rsidR="009C74FC" w:rsidRPr="009C74FC">
        <w:rPr>
          <w:rFonts w:cs="Calibri"/>
          <w:szCs w:val="20"/>
        </w:rPr>
        <w:t xml:space="preserve">έργα και </w:t>
      </w:r>
      <w:r w:rsidR="000B5CC4">
        <w:rPr>
          <w:rFonts w:cs="Calibri"/>
          <w:szCs w:val="20"/>
        </w:rPr>
        <w:t>αναμένεται να</w:t>
      </w:r>
      <w:r w:rsidR="009C74FC" w:rsidRPr="009C74FC">
        <w:rPr>
          <w:rFonts w:cs="Calibri"/>
          <w:szCs w:val="20"/>
        </w:rPr>
        <w:t xml:space="preserve"> αντιστραφεί μέχρι το τέλος του έτους, καθώς προχωρά η εκτέλεσ</w:t>
      </w:r>
      <w:r w:rsidR="00771225">
        <w:rPr>
          <w:rFonts w:cs="Calibri"/>
          <w:szCs w:val="20"/>
        </w:rPr>
        <w:t>ή τους</w:t>
      </w:r>
      <w:r w:rsidR="009C74FC" w:rsidRPr="009C74FC">
        <w:rPr>
          <w:rFonts w:cs="Calibri"/>
          <w:szCs w:val="20"/>
        </w:rPr>
        <w:t>.</w:t>
      </w:r>
    </w:p>
    <w:p w14:paraId="3AF150ED" w14:textId="5BEB7F9D" w:rsidR="00937FBD" w:rsidRPr="00937FBD" w:rsidRDefault="00937FBD" w:rsidP="00937FBD">
      <w:pPr>
        <w:autoSpaceDE w:val="0"/>
        <w:autoSpaceDN w:val="0"/>
        <w:adjustRightInd w:val="0"/>
        <w:spacing w:after="120" w:line="240" w:lineRule="auto"/>
        <w:jc w:val="both"/>
        <w:rPr>
          <w:rFonts w:cs="Calibri"/>
          <w:szCs w:val="20"/>
        </w:rPr>
      </w:pPr>
      <w:r w:rsidRPr="00937FBD">
        <w:rPr>
          <w:rFonts w:cs="Calibri"/>
          <w:szCs w:val="20"/>
        </w:rPr>
        <w:t>Οι κεφαλαιουχικές δαπάνες του πρώτου εξαμήνου του 2024 ανήλθαν σε 17,1 εκατ. ευρώ</w:t>
      </w:r>
      <w:r w:rsidR="00771225">
        <w:rPr>
          <w:rFonts w:cs="Calibri"/>
          <w:szCs w:val="20"/>
        </w:rPr>
        <w:t xml:space="preserve"> και </w:t>
      </w:r>
      <w:r w:rsidRPr="00937FBD">
        <w:rPr>
          <w:rFonts w:cs="Calibri"/>
          <w:szCs w:val="20"/>
        </w:rPr>
        <w:t xml:space="preserve">συνδέονται με στρατηγικές αναβαθμίσεις της παραγωγικής </w:t>
      </w:r>
      <w:r w:rsidR="009C74FC">
        <w:rPr>
          <w:rFonts w:cs="Calibri"/>
          <w:szCs w:val="20"/>
        </w:rPr>
        <w:t>δυναμικότητας</w:t>
      </w:r>
      <w:r w:rsidRPr="00937FBD">
        <w:rPr>
          <w:rFonts w:cs="Calibri"/>
          <w:szCs w:val="20"/>
        </w:rPr>
        <w:t xml:space="preserve"> του εργοστασίου </w:t>
      </w:r>
      <w:r w:rsidR="00FA7EB5">
        <w:rPr>
          <w:rFonts w:cs="Calibri"/>
          <w:szCs w:val="20"/>
        </w:rPr>
        <w:t xml:space="preserve">στην </w:t>
      </w:r>
      <w:r w:rsidR="00FA7EB5" w:rsidRPr="00550A38">
        <w:rPr>
          <w:rFonts w:asciiTheme="minorHAnsi" w:hAnsiTheme="minorHAnsi" w:cstheme="minorHAnsi"/>
        </w:rPr>
        <w:t>Θίσβη</w:t>
      </w:r>
      <w:r w:rsidRPr="00937FBD">
        <w:rPr>
          <w:rFonts w:cs="Calibri"/>
          <w:szCs w:val="20"/>
        </w:rPr>
        <w:t xml:space="preserve">. </w:t>
      </w:r>
      <w:r w:rsidR="00771225">
        <w:rPr>
          <w:rFonts w:cs="Calibri"/>
          <w:szCs w:val="20"/>
        </w:rPr>
        <w:t xml:space="preserve"> </w:t>
      </w:r>
      <w:r w:rsidRPr="00937FBD">
        <w:rPr>
          <w:rFonts w:cs="Calibri"/>
          <w:szCs w:val="20"/>
        </w:rPr>
        <w:t xml:space="preserve">Πιο συγκεκριμένα, </w:t>
      </w:r>
      <w:r w:rsidR="00A71861" w:rsidRPr="00937FBD">
        <w:rPr>
          <w:rFonts w:cs="Calibri"/>
          <w:szCs w:val="20"/>
        </w:rPr>
        <w:t>υλοποιή</w:t>
      </w:r>
      <w:r w:rsidR="00A71861">
        <w:rPr>
          <w:rFonts w:cs="Calibri"/>
          <w:szCs w:val="20"/>
        </w:rPr>
        <w:t>θηκαν</w:t>
      </w:r>
      <w:r w:rsidRPr="00937FBD">
        <w:rPr>
          <w:rFonts w:cs="Calibri"/>
          <w:szCs w:val="20"/>
        </w:rPr>
        <w:t xml:space="preserve">: </w:t>
      </w:r>
    </w:p>
    <w:p w14:paraId="7112EC88" w14:textId="74053B2F" w:rsidR="00937FBD" w:rsidRPr="00937FBD" w:rsidRDefault="00937FBD" w:rsidP="00AC01AB">
      <w:pPr>
        <w:numPr>
          <w:ilvl w:val="0"/>
          <w:numId w:val="1"/>
        </w:numPr>
        <w:spacing w:after="120" w:line="240" w:lineRule="auto"/>
        <w:ind w:left="567" w:hanging="425"/>
        <w:jc w:val="both"/>
        <w:rPr>
          <w:rFonts w:cs="Calibri"/>
          <w:szCs w:val="20"/>
        </w:rPr>
      </w:pPr>
      <w:r w:rsidRPr="00937FBD">
        <w:rPr>
          <w:rFonts w:cs="Calibri"/>
          <w:szCs w:val="20"/>
        </w:rPr>
        <w:t xml:space="preserve">ένα εκτεταμένο πρόγραμμα βελτιστοποίησης και </w:t>
      </w:r>
      <w:r w:rsidR="009C74FC">
        <w:rPr>
          <w:rFonts w:cs="Calibri"/>
          <w:szCs w:val="20"/>
        </w:rPr>
        <w:t>αύξησης</w:t>
      </w:r>
      <w:r w:rsidRPr="00937FBD">
        <w:rPr>
          <w:rFonts w:cs="Calibri"/>
          <w:szCs w:val="20"/>
        </w:rPr>
        <w:t xml:space="preserve"> της </w:t>
      </w:r>
      <w:r w:rsidR="009C74FC">
        <w:rPr>
          <w:rFonts w:cs="Calibri"/>
          <w:szCs w:val="20"/>
        </w:rPr>
        <w:t>παραγωγικής δυναμικότητας</w:t>
      </w:r>
      <w:r w:rsidRPr="00937FBD">
        <w:rPr>
          <w:rFonts w:cs="Calibri"/>
          <w:szCs w:val="20"/>
        </w:rPr>
        <w:t xml:space="preserve"> </w:t>
      </w:r>
      <w:r w:rsidR="006C5770">
        <w:rPr>
          <w:rFonts w:cs="Calibri"/>
          <w:szCs w:val="20"/>
        </w:rPr>
        <w:t xml:space="preserve">της γραμμής παραγωγής </w:t>
      </w:r>
      <w:r w:rsidR="00FD7E5E" w:rsidRPr="00FD7E5E">
        <w:rPr>
          <w:rFonts w:asciiTheme="minorHAnsi" w:hAnsiTheme="minorHAnsi" w:cstheme="minorHAnsi"/>
          <w:szCs w:val="20"/>
        </w:rPr>
        <w:t>σωλήνων ευθείας ραφής βυθισμένου τόξου</w:t>
      </w:r>
      <w:r w:rsidR="007E1366">
        <w:rPr>
          <w:rFonts w:asciiTheme="minorHAnsi" w:hAnsiTheme="minorHAnsi" w:cstheme="minorHAnsi"/>
          <w:szCs w:val="20"/>
        </w:rPr>
        <w:t xml:space="preserve"> </w:t>
      </w:r>
      <w:r w:rsidR="00FA7EB5">
        <w:rPr>
          <w:rFonts w:cs="Calibri"/>
          <w:szCs w:val="20"/>
        </w:rPr>
        <w:t>(</w:t>
      </w:r>
      <w:r w:rsidRPr="00937FBD">
        <w:rPr>
          <w:rFonts w:cs="Calibri"/>
          <w:szCs w:val="20"/>
          <w:lang w:val="en-GB"/>
        </w:rPr>
        <w:t>LSAW</w:t>
      </w:r>
      <w:r w:rsidR="00FA7EB5">
        <w:rPr>
          <w:rFonts w:cs="Calibri"/>
          <w:szCs w:val="20"/>
        </w:rPr>
        <w:t>)</w:t>
      </w:r>
      <w:r w:rsidRPr="00937FBD">
        <w:rPr>
          <w:rFonts w:cs="Calibri"/>
          <w:szCs w:val="20"/>
        </w:rPr>
        <w:t xml:space="preserve"> που έχει ήδη </w:t>
      </w:r>
      <w:r w:rsidR="009C74FC">
        <w:rPr>
          <w:rFonts w:cs="Calibri"/>
          <w:szCs w:val="20"/>
        </w:rPr>
        <w:t>ε</w:t>
      </w:r>
      <w:r w:rsidR="009C74FC" w:rsidRPr="009C74FC">
        <w:rPr>
          <w:rFonts w:cs="Calibri"/>
          <w:szCs w:val="20"/>
        </w:rPr>
        <w:t>πιφέρει βελτιωμένες παραγωγικές επιδόσεις</w:t>
      </w:r>
      <w:r w:rsidRPr="00937FBD">
        <w:rPr>
          <w:rFonts w:cs="Calibri"/>
          <w:szCs w:val="20"/>
        </w:rPr>
        <w:t>, και</w:t>
      </w:r>
    </w:p>
    <w:p w14:paraId="2FF19423" w14:textId="5F4B1ED8" w:rsidR="00937FBD" w:rsidRPr="00937FBD" w:rsidRDefault="00937FBD" w:rsidP="00937FBD">
      <w:pPr>
        <w:numPr>
          <w:ilvl w:val="0"/>
          <w:numId w:val="1"/>
        </w:numPr>
        <w:spacing w:after="120" w:line="240" w:lineRule="auto"/>
        <w:ind w:left="567" w:hanging="425"/>
        <w:jc w:val="both"/>
        <w:rPr>
          <w:rFonts w:cs="Calibri"/>
          <w:szCs w:val="20"/>
        </w:rPr>
      </w:pPr>
      <w:r w:rsidRPr="00937FBD">
        <w:rPr>
          <w:rFonts w:cs="Calibri"/>
          <w:szCs w:val="20"/>
        </w:rPr>
        <w:t xml:space="preserve">μια σειρά από αναβαθμίσεις της παραγωγικής </w:t>
      </w:r>
      <w:r w:rsidR="009C74FC">
        <w:rPr>
          <w:rFonts w:cs="Calibri"/>
          <w:szCs w:val="20"/>
        </w:rPr>
        <w:t>δυναμικότητας</w:t>
      </w:r>
      <w:r w:rsidRPr="00937FBD">
        <w:rPr>
          <w:rFonts w:cs="Calibri"/>
          <w:szCs w:val="20"/>
        </w:rPr>
        <w:t xml:space="preserve"> </w:t>
      </w:r>
      <w:r w:rsidR="006C5770">
        <w:rPr>
          <w:rFonts w:cs="Calibri"/>
          <w:szCs w:val="20"/>
        </w:rPr>
        <w:t xml:space="preserve">της γραμμής </w:t>
      </w:r>
      <w:r w:rsidR="004F233B">
        <w:rPr>
          <w:rFonts w:cs="Calibri"/>
          <w:szCs w:val="20"/>
        </w:rPr>
        <w:t>σωλήνων</w:t>
      </w:r>
      <w:r w:rsidR="00FA7EB5">
        <w:rPr>
          <w:rFonts w:cs="Calibri"/>
          <w:szCs w:val="20"/>
        </w:rPr>
        <w:t xml:space="preserve"> </w:t>
      </w:r>
      <w:r w:rsidR="00FA7EB5" w:rsidRPr="00FA7EB5">
        <w:rPr>
          <w:rFonts w:cs="Calibri"/>
        </w:rPr>
        <w:t>ελ</w:t>
      </w:r>
      <w:r w:rsidR="006C5770">
        <w:rPr>
          <w:rFonts w:cs="Calibri"/>
        </w:rPr>
        <w:t xml:space="preserve">ικοειδούς </w:t>
      </w:r>
      <w:r w:rsidR="00FA7EB5" w:rsidRPr="00FA7EB5">
        <w:rPr>
          <w:rFonts w:cs="Calibri"/>
        </w:rPr>
        <w:t>συγκόλλησης βυθισμένου τόξου</w:t>
      </w:r>
      <w:r w:rsidRPr="00937FBD">
        <w:rPr>
          <w:rFonts w:cs="Calibri"/>
          <w:szCs w:val="20"/>
        </w:rPr>
        <w:t xml:space="preserve"> </w:t>
      </w:r>
      <w:r w:rsidR="00FA7EB5">
        <w:rPr>
          <w:rFonts w:cs="Calibri"/>
          <w:szCs w:val="20"/>
        </w:rPr>
        <w:t>(</w:t>
      </w:r>
      <w:r w:rsidRPr="00937FBD">
        <w:rPr>
          <w:rFonts w:cs="Calibri"/>
          <w:szCs w:val="20"/>
        </w:rPr>
        <w:t>HSAW</w:t>
      </w:r>
      <w:r w:rsidR="00FA7EB5">
        <w:rPr>
          <w:rFonts w:cs="Calibri"/>
          <w:szCs w:val="20"/>
        </w:rPr>
        <w:t>)</w:t>
      </w:r>
      <w:r w:rsidRPr="00937FBD">
        <w:rPr>
          <w:rFonts w:cs="Calibri"/>
          <w:szCs w:val="20"/>
        </w:rPr>
        <w:t xml:space="preserve">, </w:t>
      </w:r>
      <w:r w:rsidR="006C5770">
        <w:rPr>
          <w:rFonts w:cs="Calibri"/>
          <w:szCs w:val="20"/>
        </w:rPr>
        <w:t xml:space="preserve">που </w:t>
      </w:r>
      <w:r w:rsidRPr="00937FBD">
        <w:rPr>
          <w:rFonts w:cs="Calibri"/>
          <w:szCs w:val="20"/>
        </w:rPr>
        <w:t xml:space="preserve">αναμένεται να ολοκληρωθούν το </w:t>
      </w:r>
      <w:r w:rsidR="006C5770">
        <w:rPr>
          <w:rFonts w:cs="Calibri"/>
          <w:szCs w:val="20"/>
        </w:rPr>
        <w:t>2</w:t>
      </w:r>
      <w:r w:rsidR="006C5770" w:rsidRPr="006C5770">
        <w:rPr>
          <w:rFonts w:cs="Calibri"/>
          <w:szCs w:val="20"/>
          <w:vertAlign w:val="superscript"/>
        </w:rPr>
        <w:t>ο</w:t>
      </w:r>
      <w:r w:rsidR="006C5770">
        <w:rPr>
          <w:rFonts w:cs="Calibri"/>
          <w:szCs w:val="20"/>
        </w:rPr>
        <w:t xml:space="preserve"> </w:t>
      </w:r>
      <w:r w:rsidRPr="00937FBD">
        <w:rPr>
          <w:rFonts w:cs="Calibri"/>
          <w:szCs w:val="20"/>
        </w:rPr>
        <w:t>εξάμηνο του έτους.</w:t>
      </w:r>
    </w:p>
    <w:p w14:paraId="6ACDE104" w14:textId="1130E4E1" w:rsidR="00941CF4" w:rsidRPr="002C6C13" w:rsidRDefault="00941CF4" w:rsidP="006C5770">
      <w:pPr>
        <w:spacing w:after="120" w:line="240" w:lineRule="auto"/>
        <w:jc w:val="both"/>
        <w:rPr>
          <w:rFonts w:cs="Calibri"/>
          <w:szCs w:val="20"/>
        </w:rPr>
      </w:pPr>
      <w:r w:rsidRPr="00941CF4">
        <w:rPr>
          <w:rFonts w:cs="Calibri"/>
          <w:szCs w:val="20"/>
        </w:rPr>
        <w:t xml:space="preserve">Η </w:t>
      </w:r>
      <w:r w:rsidRPr="00937FBD">
        <w:rPr>
          <w:rFonts w:cs="Calibri"/>
          <w:szCs w:val="20"/>
        </w:rPr>
        <w:t>Σωληνουργεία Κορίνθου</w:t>
      </w:r>
      <w:r w:rsidRPr="00941CF4">
        <w:rPr>
          <w:rFonts w:cs="Calibri"/>
          <w:szCs w:val="20"/>
        </w:rPr>
        <w:t xml:space="preserve">, σταθερά προσηλωμένη στη στρατηγική βιωσιμότητας, συνεχίζει σύμφωνα με τους μεσοπρόθεσμους στόχους που έχει ανακοινώσει. Μέσα από πρωτοβουλίες </w:t>
      </w:r>
      <w:r w:rsidR="006C5770">
        <w:rPr>
          <w:rFonts w:cs="Calibri"/>
          <w:szCs w:val="20"/>
        </w:rPr>
        <w:t>«</w:t>
      </w:r>
      <w:r w:rsidRPr="00941CF4">
        <w:rPr>
          <w:rFonts w:cs="Calibri"/>
          <w:szCs w:val="20"/>
        </w:rPr>
        <w:t>υπεύθυν</w:t>
      </w:r>
      <w:r w:rsidR="006C5770">
        <w:rPr>
          <w:rFonts w:cs="Calibri"/>
          <w:szCs w:val="20"/>
        </w:rPr>
        <w:t>ων προμηθειών»</w:t>
      </w:r>
      <w:r w:rsidRPr="00941CF4">
        <w:rPr>
          <w:rFonts w:cs="Calibri"/>
          <w:szCs w:val="20"/>
        </w:rPr>
        <w:t xml:space="preserve">, βελτίωσε τη βαθμολογία της στην Ecovadis και μπόρεσε να προσφέρει </w:t>
      </w:r>
      <w:r w:rsidR="006C5770">
        <w:rPr>
          <w:rFonts w:cs="Calibri"/>
          <w:szCs w:val="20"/>
        </w:rPr>
        <w:t xml:space="preserve">ήδη </w:t>
      </w:r>
      <w:r w:rsidRPr="00941CF4">
        <w:rPr>
          <w:rFonts w:cs="Calibri"/>
          <w:szCs w:val="20"/>
        </w:rPr>
        <w:t>λύσεις με μειωμένο αποτύπωμα άνθρακα στους πελάτες της.</w:t>
      </w:r>
      <w:bookmarkEnd w:id="15"/>
    </w:p>
    <w:p w14:paraId="19D7FFDE" w14:textId="04CB90DD" w:rsidR="009B3C28" w:rsidRPr="009B3C28" w:rsidRDefault="003E6697" w:rsidP="009B3C28">
      <w:pPr>
        <w:keepNext/>
        <w:keepLines/>
        <w:spacing w:after="120" w:line="240" w:lineRule="auto"/>
        <w:jc w:val="both"/>
        <w:outlineLvl w:val="1"/>
        <w:rPr>
          <w:rFonts w:eastAsia="SimSun" w:cs="Calibri"/>
          <w:b/>
          <w:bCs/>
          <w:color w:val="4F6228"/>
          <w:sz w:val="24"/>
          <w:szCs w:val="24"/>
        </w:rPr>
      </w:pPr>
      <w:r>
        <w:rPr>
          <w:rFonts w:eastAsia="SimSun" w:cs="Calibri"/>
          <w:b/>
          <w:bCs/>
          <w:color w:val="4F6228"/>
          <w:sz w:val="24"/>
          <w:szCs w:val="24"/>
        </w:rPr>
        <w:t>Ενημέρωση σε θέματα Στρατηγικής</w:t>
      </w:r>
    </w:p>
    <w:p w14:paraId="54FB17EB" w14:textId="3580CADC" w:rsidR="009B3C28" w:rsidRPr="009B3C28" w:rsidRDefault="008F571A" w:rsidP="006C5770">
      <w:pPr>
        <w:spacing w:after="120" w:line="240" w:lineRule="auto"/>
        <w:jc w:val="both"/>
        <w:rPr>
          <w:rFonts w:cs="Calibri"/>
          <w:b/>
          <w:bCs/>
          <w:szCs w:val="20"/>
        </w:rPr>
      </w:pPr>
      <w:r>
        <w:rPr>
          <w:rFonts w:cs="Calibri"/>
          <w:b/>
          <w:bCs/>
          <w:szCs w:val="20"/>
        </w:rPr>
        <w:t>Άντληση Κεφαλαί</w:t>
      </w:r>
      <w:r w:rsidR="006C5770">
        <w:rPr>
          <w:rFonts w:cs="Calibri"/>
          <w:b/>
          <w:bCs/>
          <w:szCs w:val="20"/>
        </w:rPr>
        <w:t>ων</w:t>
      </w:r>
      <w:r>
        <w:rPr>
          <w:rFonts w:cs="Calibri"/>
          <w:b/>
          <w:bCs/>
          <w:szCs w:val="20"/>
        </w:rPr>
        <w:t xml:space="preserve"> </w:t>
      </w:r>
      <w:r w:rsidR="009B3C28" w:rsidRPr="009B3C28">
        <w:rPr>
          <w:rFonts w:cs="Calibri"/>
          <w:b/>
          <w:bCs/>
          <w:szCs w:val="20"/>
        </w:rPr>
        <w:t xml:space="preserve">μέσω </w:t>
      </w:r>
      <w:r w:rsidR="00FB1712" w:rsidRPr="00FB1712">
        <w:rPr>
          <w:rFonts w:cs="Calibri"/>
          <w:b/>
          <w:bCs/>
          <w:szCs w:val="20"/>
        </w:rPr>
        <w:t>Ενδεχόμενη</w:t>
      </w:r>
      <w:r w:rsidR="009B3C28" w:rsidRPr="009B3C28">
        <w:rPr>
          <w:rFonts w:cs="Calibri"/>
          <w:b/>
          <w:bCs/>
          <w:szCs w:val="20"/>
        </w:rPr>
        <w:t xml:space="preserve">ς Αύξησης Μετοχικού Κεφαλαίου για τη χρηματοδότηση του Στρατηγικού Σχεδίου της </w:t>
      </w:r>
      <w:r w:rsidR="009B3C28" w:rsidRPr="009B3C28">
        <w:rPr>
          <w:rFonts w:cs="Calibri"/>
          <w:b/>
          <w:bCs/>
          <w:szCs w:val="20"/>
          <w:lang w:val="en-US"/>
        </w:rPr>
        <w:t>Cenergy</w:t>
      </w:r>
      <w:r w:rsidR="009B3C28" w:rsidRPr="009B3C28">
        <w:rPr>
          <w:rFonts w:cs="Calibri"/>
          <w:b/>
          <w:bCs/>
          <w:szCs w:val="20"/>
        </w:rPr>
        <w:t xml:space="preserve"> </w:t>
      </w:r>
      <w:r w:rsidR="009B3C28" w:rsidRPr="009B3C28">
        <w:rPr>
          <w:rFonts w:cs="Calibri"/>
          <w:b/>
          <w:bCs/>
          <w:szCs w:val="20"/>
          <w:lang w:val="en-US"/>
        </w:rPr>
        <w:t>Holdings</w:t>
      </w:r>
    </w:p>
    <w:p w14:paraId="62F72558" w14:textId="60143DF9" w:rsidR="009B3C28" w:rsidRPr="009B3C28" w:rsidRDefault="009B3C28" w:rsidP="006C5770">
      <w:pPr>
        <w:spacing w:after="120" w:line="240" w:lineRule="auto"/>
        <w:jc w:val="both"/>
        <w:rPr>
          <w:rFonts w:cs="Calibri"/>
          <w:szCs w:val="20"/>
        </w:rPr>
      </w:pPr>
      <w:r w:rsidRPr="009B3C28">
        <w:rPr>
          <w:rFonts w:cs="Calibri"/>
          <w:szCs w:val="20"/>
        </w:rPr>
        <w:t xml:space="preserve">Στις 27 Αυγούστου 2024, το Διοικητικό Συμβούλιο της </w:t>
      </w:r>
      <w:r w:rsidRPr="009B3C28">
        <w:rPr>
          <w:rFonts w:cs="Calibri"/>
          <w:szCs w:val="20"/>
          <w:lang w:val="en-US"/>
        </w:rPr>
        <w:t>Cenergy</w:t>
      </w:r>
      <w:r w:rsidRPr="009B3C28">
        <w:rPr>
          <w:rFonts w:cs="Calibri"/>
          <w:szCs w:val="20"/>
        </w:rPr>
        <w:t xml:space="preserve"> </w:t>
      </w:r>
      <w:r w:rsidRPr="009B3C28">
        <w:rPr>
          <w:rFonts w:cs="Calibri"/>
          <w:szCs w:val="20"/>
          <w:lang w:val="en-US"/>
        </w:rPr>
        <w:t>Holdings</w:t>
      </w:r>
      <w:r w:rsidRPr="009B3C28">
        <w:rPr>
          <w:rFonts w:cs="Calibri"/>
          <w:szCs w:val="20"/>
        </w:rPr>
        <w:t xml:space="preserve"> ενέκρινε την απόφαση </w:t>
      </w:r>
      <w:r w:rsidR="00F11D4C">
        <w:rPr>
          <w:rFonts w:cs="Calibri"/>
          <w:szCs w:val="20"/>
        </w:rPr>
        <w:t>για την εκκίνηση της</w:t>
      </w:r>
      <w:r w:rsidRPr="009B3C28">
        <w:rPr>
          <w:rFonts w:cs="Calibri"/>
          <w:szCs w:val="20"/>
        </w:rPr>
        <w:t xml:space="preserve"> </w:t>
      </w:r>
      <w:r w:rsidR="00F11D4C">
        <w:rPr>
          <w:rFonts w:cs="Calibri"/>
          <w:szCs w:val="20"/>
        </w:rPr>
        <w:t xml:space="preserve">διαδικασίας </w:t>
      </w:r>
      <w:r w:rsidRPr="009B3C28">
        <w:rPr>
          <w:rFonts w:cs="Calibri"/>
          <w:szCs w:val="20"/>
        </w:rPr>
        <w:t>προετοιμασί</w:t>
      </w:r>
      <w:r w:rsidR="00F11D4C">
        <w:rPr>
          <w:rFonts w:cs="Calibri"/>
          <w:szCs w:val="20"/>
        </w:rPr>
        <w:t>α</w:t>
      </w:r>
      <w:r w:rsidRPr="009B3C28">
        <w:rPr>
          <w:rFonts w:cs="Calibri"/>
          <w:szCs w:val="20"/>
        </w:rPr>
        <w:t xml:space="preserve">ς για </w:t>
      </w:r>
      <w:r w:rsidR="00AE185C">
        <w:rPr>
          <w:rFonts w:cs="Calibri"/>
          <w:szCs w:val="20"/>
        </w:rPr>
        <w:t>την</w:t>
      </w:r>
      <w:r w:rsidRPr="009B3C28">
        <w:rPr>
          <w:rFonts w:cs="Calibri"/>
          <w:szCs w:val="20"/>
        </w:rPr>
        <w:t xml:space="preserve"> </w:t>
      </w:r>
      <w:r w:rsidR="00FB1712" w:rsidRPr="00FB1712">
        <w:rPr>
          <w:rFonts w:cs="Calibri"/>
          <w:szCs w:val="20"/>
        </w:rPr>
        <w:t>Ενδεχόμενη</w:t>
      </w:r>
      <w:r w:rsidRPr="009B3C28">
        <w:rPr>
          <w:rFonts w:cs="Calibri"/>
          <w:szCs w:val="20"/>
        </w:rPr>
        <w:t xml:space="preserve"> Αύξηση Μετοχικού Κεφαλαίου κατά </w:t>
      </w:r>
      <w:r w:rsidR="00AE185C">
        <w:rPr>
          <w:rFonts w:cs="Calibri"/>
          <w:szCs w:val="20"/>
        </w:rPr>
        <w:t xml:space="preserve">το </w:t>
      </w:r>
      <w:r w:rsidRPr="009B3C28">
        <w:rPr>
          <w:rFonts w:cs="Calibri"/>
          <w:szCs w:val="20"/>
        </w:rPr>
        <w:t xml:space="preserve">ανώτατο ποσό </w:t>
      </w:r>
      <w:r w:rsidR="00AE185C">
        <w:rPr>
          <w:rFonts w:cs="Calibri"/>
          <w:szCs w:val="20"/>
        </w:rPr>
        <w:t xml:space="preserve">των </w:t>
      </w:r>
      <w:r w:rsidRPr="009B3C28">
        <w:rPr>
          <w:rFonts w:cs="Calibri"/>
          <w:szCs w:val="20"/>
        </w:rPr>
        <w:t>200 εκατ</w:t>
      </w:r>
      <w:r w:rsidR="00AE185C">
        <w:rPr>
          <w:rFonts w:cs="Calibri"/>
          <w:szCs w:val="20"/>
        </w:rPr>
        <w:t>.</w:t>
      </w:r>
      <w:r w:rsidRPr="009B3C28">
        <w:rPr>
          <w:rFonts w:cs="Calibri"/>
          <w:szCs w:val="20"/>
        </w:rPr>
        <w:t xml:space="preserve"> ευρώ </w:t>
      </w:r>
      <w:r w:rsidR="00B6125A">
        <w:rPr>
          <w:rFonts w:cs="Calibri"/>
          <w:szCs w:val="20"/>
        </w:rPr>
        <w:t>(</w:t>
      </w:r>
      <w:r w:rsidR="00F11D4C">
        <w:rPr>
          <w:rFonts w:cs="Calibri"/>
          <w:szCs w:val="20"/>
        </w:rPr>
        <w:t>συμπεριλαμβανομένης τυχόν διαφοράς</w:t>
      </w:r>
      <w:r w:rsidR="00B6125A" w:rsidRPr="00B6125A">
        <w:rPr>
          <w:rFonts w:cs="Calibri"/>
          <w:szCs w:val="20"/>
        </w:rPr>
        <w:t xml:space="preserve"> </w:t>
      </w:r>
      <w:r w:rsidR="006C5770">
        <w:rPr>
          <w:rFonts w:cs="Calibri"/>
          <w:szCs w:val="20"/>
        </w:rPr>
        <w:t>«</w:t>
      </w:r>
      <w:r w:rsidR="00B6125A" w:rsidRPr="00B6125A">
        <w:rPr>
          <w:rFonts w:cs="Calibri"/>
          <w:szCs w:val="20"/>
        </w:rPr>
        <w:t>υπέρ το άρτιο</w:t>
      </w:r>
      <w:r w:rsidR="006C5770">
        <w:rPr>
          <w:rFonts w:cs="Calibri"/>
          <w:szCs w:val="20"/>
        </w:rPr>
        <w:t>»</w:t>
      </w:r>
      <w:r w:rsidRPr="00B6125A">
        <w:rPr>
          <w:rFonts w:cs="Calibri"/>
          <w:szCs w:val="20"/>
        </w:rPr>
        <w:t xml:space="preserve">) μέσω </w:t>
      </w:r>
      <w:r w:rsidR="00FB1712" w:rsidRPr="00B6125A">
        <w:rPr>
          <w:rFonts w:cs="Calibri"/>
          <w:szCs w:val="20"/>
        </w:rPr>
        <w:t>ενδεχόμενη</w:t>
      </w:r>
      <w:r w:rsidRPr="00B6125A">
        <w:rPr>
          <w:rFonts w:cs="Calibri"/>
          <w:szCs w:val="20"/>
        </w:rPr>
        <w:t>ς</w:t>
      </w:r>
      <w:r w:rsidRPr="009B3C28">
        <w:rPr>
          <w:rFonts w:cs="Calibri"/>
          <w:szCs w:val="20"/>
        </w:rPr>
        <w:t xml:space="preserve"> έκδοσης νέων κοινών μετοχών χωρίς ονομαστική αξία («Νέες Μετοχές»), </w:t>
      </w:r>
      <w:r w:rsidR="003F6373" w:rsidRPr="00734EB5">
        <w:rPr>
          <w:rFonts w:cs="Calibri"/>
          <w:szCs w:val="20"/>
        </w:rPr>
        <w:t>με την επιφύλαξη συνδρομής των συνήθων για την εν λόγω συναλλαγή προϋποθέσεων</w:t>
      </w:r>
      <w:r w:rsidRPr="009B3C28">
        <w:rPr>
          <w:rFonts w:cs="Calibri"/>
          <w:szCs w:val="20"/>
        </w:rPr>
        <w:t>.</w:t>
      </w:r>
    </w:p>
    <w:p w14:paraId="4A418CC9" w14:textId="77777777" w:rsidR="00946A0A" w:rsidRPr="006C5770" w:rsidRDefault="00946A0A" w:rsidP="00946A0A">
      <w:pPr>
        <w:spacing w:after="120" w:line="240" w:lineRule="auto"/>
        <w:jc w:val="both"/>
        <w:rPr>
          <w:rFonts w:cs="Calibri"/>
          <w:szCs w:val="20"/>
        </w:rPr>
      </w:pPr>
      <w:r>
        <w:rPr>
          <w:rFonts w:cs="Calibri"/>
          <w:szCs w:val="20"/>
        </w:rPr>
        <w:t xml:space="preserve">Εφόσον </w:t>
      </w:r>
      <w:r w:rsidRPr="006C5770">
        <w:rPr>
          <w:rFonts w:cs="Calibri"/>
          <w:szCs w:val="20"/>
        </w:rPr>
        <w:t xml:space="preserve">η Cenergy Holdings προχωρήσει στην </w:t>
      </w:r>
      <w:r>
        <w:rPr>
          <w:rFonts w:cs="Calibri"/>
          <w:szCs w:val="20"/>
        </w:rPr>
        <w:t>Ενδεχόμενη</w:t>
      </w:r>
      <w:r w:rsidRPr="006C5770">
        <w:rPr>
          <w:rFonts w:cs="Calibri"/>
          <w:szCs w:val="20"/>
        </w:rPr>
        <w:t xml:space="preserve"> Αύξηση Μετοχικού Κεφαλαίου, </w:t>
      </w:r>
      <w:r>
        <w:rPr>
          <w:rFonts w:cs="Calibri"/>
          <w:szCs w:val="20"/>
        </w:rPr>
        <w:t xml:space="preserve">υπάρχει η πρόθεση </w:t>
      </w:r>
      <w:r w:rsidRPr="006C5770">
        <w:rPr>
          <w:rFonts w:cs="Calibri"/>
          <w:szCs w:val="20"/>
        </w:rPr>
        <w:t xml:space="preserve">οι Νέες Μετοχές </w:t>
      </w:r>
      <w:r>
        <w:rPr>
          <w:rFonts w:cs="Calibri"/>
          <w:szCs w:val="20"/>
        </w:rPr>
        <w:t xml:space="preserve">να </w:t>
      </w:r>
      <w:r w:rsidRPr="006C5770">
        <w:rPr>
          <w:rFonts w:cs="Calibri"/>
          <w:szCs w:val="20"/>
        </w:rPr>
        <w:t>προσφερθούν (i) στο Βέλγιο και την Ελλάδα, μέσω προσφοράς στο κοινό κατά την έννοια του άρθρου 2(δ) του Κανονισμού (ΕΕ) 2017/1129 του Ευρωπαϊκού Κοινοβουλίου και του Συμβουλίου, της 14ης Ιουνίου 2017, όπως τροποποιήθηκε και ισχύει («Κανονισμός Ενημερωτικού Δελτίου»)· και (</w:t>
      </w:r>
      <w:proofErr w:type="spellStart"/>
      <w:r w:rsidRPr="006C5770">
        <w:rPr>
          <w:rFonts w:cs="Calibri"/>
          <w:szCs w:val="20"/>
        </w:rPr>
        <w:t>ii</w:t>
      </w:r>
      <w:proofErr w:type="spellEnd"/>
      <w:r w:rsidRPr="006C5770">
        <w:rPr>
          <w:rFonts w:cs="Calibri"/>
          <w:szCs w:val="20"/>
        </w:rPr>
        <w:t>) εκτός Βελγίου και Ελλάδας, μέσω ιδιωτικής τοποθέτησης</w:t>
      </w:r>
      <w:r>
        <w:rPr>
          <w:rFonts w:cs="Calibri"/>
          <w:szCs w:val="20"/>
        </w:rPr>
        <w:t xml:space="preserve"> με τη διαδικασία του βιβλίου προσφοράς (</w:t>
      </w:r>
      <w:r w:rsidRPr="004853BC">
        <w:rPr>
          <w:rFonts w:cs="Calibri"/>
          <w:i/>
          <w:iCs/>
          <w:szCs w:val="20"/>
          <w:lang w:val="en-US"/>
        </w:rPr>
        <w:t>book</w:t>
      </w:r>
      <w:r w:rsidRPr="004853BC">
        <w:rPr>
          <w:rFonts w:cs="Calibri"/>
          <w:i/>
          <w:iCs/>
          <w:szCs w:val="20"/>
        </w:rPr>
        <w:t xml:space="preserve"> </w:t>
      </w:r>
      <w:r w:rsidRPr="004853BC">
        <w:rPr>
          <w:rFonts w:cs="Calibri"/>
          <w:i/>
          <w:iCs/>
          <w:szCs w:val="20"/>
          <w:lang w:val="en-US"/>
        </w:rPr>
        <w:t>building</w:t>
      </w:r>
      <w:r w:rsidRPr="004853BC">
        <w:rPr>
          <w:rFonts w:cs="Calibri"/>
          <w:i/>
          <w:iCs/>
          <w:szCs w:val="20"/>
        </w:rPr>
        <w:t xml:space="preserve"> </w:t>
      </w:r>
      <w:r w:rsidRPr="004853BC">
        <w:rPr>
          <w:rFonts w:cs="Calibri"/>
          <w:i/>
          <w:iCs/>
          <w:szCs w:val="20"/>
          <w:lang w:val="en-US"/>
        </w:rPr>
        <w:t>process</w:t>
      </w:r>
      <w:r>
        <w:rPr>
          <w:rFonts w:cs="Calibri"/>
          <w:szCs w:val="20"/>
        </w:rPr>
        <w:t>)</w:t>
      </w:r>
      <w:r w:rsidRPr="006C5770">
        <w:rPr>
          <w:rFonts w:cs="Calibri"/>
          <w:szCs w:val="20"/>
        </w:rPr>
        <w:t xml:space="preserve">, </w:t>
      </w:r>
      <w:r>
        <w:rPr>
          <w:rFonts w:cs="Calibri"/>
          <w:szCs w:val="20"/>
        </w:rPr>
        <w:t xml:space="preserve">βάσει μίας </w:t>
      </w:r>
      <w:r w:rsidRPr="006C5770">
        <w:rPr>
          <w:rFonts w:cs="Calibri"/>
          <w:szCs w:val="20"/>
        </w:rPr>
        <w:t>ή περισσότερ</w:t>
      </w:r>
      <w:r>
        <w:rPr>
          <w:rFonts w:cs="Calibri"/>
          <w:szCs w:val="20"/>
        </w:rPr>
        <w:t>ων</w:t>
      </w:r>
      <w:r w:rsidRPr="006C5770">
        <w:rPr>
          <w:rFonts w:cs="Calibri"/>
          <w:szCs w:val="20"/>
        </w:rPr>
        <w:t xml:space="preserve"> εξαιρέσε</w:t>
      </w:r>
      <w:r>
        <w:rPr>
          <w:rFonts w:cs="Calibri"/>
          <w:szCs w:val="20"/>
        </w:rPr>
        <w:t>ων</w:t>
      </w:r>
      <w:r w:rsidRPr="006C5770">
        <w:rPr>
          <w:rFonts w:cs="Calibri"/>
          <w:szCs w:val="20"/>
        </w:rPr>
        <w:t xml:space="preserve"> από την απαίτηση δημοσίευσης ή </w:t>
      </w:r>
      <w:r>
        <w:rPr>
          <w:rFonts w:cs="Calibri"/>
          <w:szCs w:val="20"/>
        </w:rPr>
        <w:t xml:space="preserve">χρήσης </w:t>
      </w:r>
      <w:r w:rsidRPr="006C5770">
        <w:rPr>
          <w:rFonts w:cs="Calibri"/>
          <w:szCs w:val="20"/>
        </w:rPr>
        <w:t xml:space="preserve">διαβατηρίου </w:t>
      </w:r>
      <w:r>
        <w:rPr>
          <w:rFonts w:cs="Calibri"/>
          <w:szCs w:val="20"/>
        </w:rPr>
        <w:t xml:space="preserve">για το </w:t>
      </w:r>
      <w:r w:rsidRPr="006C5770">
        <w:rPr>
          <w:rFonts w:cs="Calibri"/>
          <w:szCs w:val="20"/>
        </w:rPr>
        <w:t>ενημερωτικ</w:t>
      </w:r>
      <w:r>
        <w:rPr>
          <w:rFonts w:cs="Calibri"/>
          <w:szCs w:val="20"/>
        </w:rPr>
        <w:t>ό</w:t>
      </w:r>
      <w:r w:rsidRPr="006C5770">
        <w:rPr>
          <w:rFonts w:cs="Calibri"/>
          <w:szCs w:val="20"/>
        </w:rPr>
        <w:t xml:space="preserve"> δελτίο σύμφωνα με τον Κανονισμό για το Ενημερωτικό Δελτίο ή/και άλλες διατάξεις της εθνικής νομοθεσίας στις σχετικές δικαιοδοσίες, συμπεριλαμβανομένων </w:t>
      </w:r>
      <w:r>
        <w:rPr>
          <w:rFonts w:cs="Calibri"/>
          <w:szCs w:val="20"/>
        </w:rPr>
        <w:t xml:space="preserve">των </w:t>
      </w:r>
      <w:r w:rsidRPr="006C5770">
        <w:rPr>
          <w:rFonts w:cs="Calibri"/>
          <w:szCs w:val="20"/>
        </w:rPr>
        <w:t>Ηνωμέν</w:t>
      </w:r>
      <w:r>
        <w:rPr>
          <w:rFonts w:cs="Calibri"/>
          <w:szCs w:val="20"/>
        </w:rPr>
        <w:t>ων</w:t>
      </w:r>
      <w:r w:rsidRPr="006C5770">
        <w:rPr>
          <w:rFonts w:cs="Calibri"/>
          <w:szCs w:val="20"/>
        </w:rPr>
        <w:t xml:space="preserve"> Πολιτε</w:t>
      </w:r>
      <w:r>
        <w:rPr>
          <w:rFonts w:cs="Calibri"/>
          <w:szCs w:val="20"/>
        </w:rPr>
        <w:t xml:space="preserve">ιών </w:t>
      </w:r>
      <w:r w:rsidRPr="006C5770">
        <w:rPr>
          <w:rFonts w:cs="Calibri"/>
          <w:szCs w:val="20"/>
        </w:rPr>
        <w:t>σύμφωνα με το άρθρο 144Α (η «Προσφορά</w:t>
      </w:r>
      <w:r>
        <w:rPr>
          <w:rFonts w:cs="Calibri"/>
          <w:szCs w:val="20"/>
        </w:rPr>
        <w:t xml:space="preserve"> σε Θεσμικούς</w:t>
      </w:r>
      <w:r w:rsidRPr="006C5770">
        <w:rPr>
          <w:rFonts w:cs="Calibri"/>
          <w:szCs w:val="20"/>
        </w:rPr>
        <w:t xml:space="preserve">»). Η Cenergy Holdings, με την επιφύλαξη περαιτέρω </w:t>
      </w:r>
      <w:r>
        <w:rPr>
          <w:rFonts w:cs="Calibri"/>
          <w:szCs w:val="20"/>
        </w:rPr>
        <w:t xml:space="preserve">μελέτης των θεμάτων </w:t>
      </w:r>
      <w:r w:rsidRPr="006C5770">
        <w:rPr>
          <w:rFonts w:cs="Calibri"/>
          <w:szCs w:val="20"/>
        </w:rPr>
        <w:t xml:space="preserve">και έγκρισης από το Διοικητικό της Συμβούλιο, </w:t>
      </w:r>
      <w:r>
        <w:rPr>
          <w:rFonts w:cs="Calibri"/>
          <w:szCs w:val="20"/>
        </w:rPr>
        <w:t xml:space="preserve">προτίθεται </w:t>
      </w:r>
      <w:r w:rsidRPr="006C5770">
        <w:rPr>
          <w:rFonts w:cs="Calibri"/>
          <w:szCs w:val="20"/>
        </w:rPr>
        <w:t xml:space="preserve">να </w:t>
      </w:r>
      <w:r>
        <w:rPr>
          <w:rFonts w:cs="Calibri"/>
          <w:szCs w:val="20"/>
        </w:rPr>
        <w:t xml:space="preserve">προβεί σε κατανομή Νέων Μετοχών κατά προτεραιότητα </w:t>
      </w:r>
      <w:r w:rsidRPr="006C5770">
        <w:rPr>
          <w:rFonts w:cs="Calibri"/>
          <w:szCs w:val="20"/>
        </w:rPr>
        <w:t xml:space="preserve">σε υφιστάμενους μετόχους μειοψηφίας που </w:t>
      </w:r>
      <w:r>
        <w:rPr>
          <w:rFonts w:cs="Calibri"/>
          <w:szCs w:val="20"/>
        </w:rPr>
        <w:t xml:space="preserve">θα </w:t>
      </w:r>
      <w:r w:rsidRPr="006C5770">
        <w:rPr>
          <w:rFonts w:cs="Calibri"/>
          <w:szCs w:val="20"/>
        </w:rPr>
        <w:t>συμμετ</w:t>
      </w:r>
      <w:r>
        <w:rPr>
          <w:rFonts w:cs="Calibri"/>
          <w:szCs w:val="20"/>
        </w:rPr>
        <w:t>άσχουν</w:t>
      </w:r>
      <w:r w:rsidRPr="006C5770">
        <w:rPr>
          <w:rFonts w:cs="Calibri"/>
          <w:szCs w:val="20"/>
        </w:rPr>
        <w:t xml:space="preserve"> στην </w:t>
      </w:r>
      <w:r>
        <w:rPr>
          <w:rFonts w:cs="Calibri"/>
          <w:szCs w:val="20"/>
        </w:rPr>
        <w:t>Ενδεχόμενη</w:t>
      </w:r>
      <w:r w:rsidRPr="006C5770">
        <w:rPr>
          <w:rFonts w:cs="Calibri"/>
          <w:szCs w:val="20"/>
        </w:rPr>
        <w:t xml:space="preserve"> Αύξηση Μετοχικού Κεφαλαίου. </w:t>
      </w:r>
      <w:r>
        <w:rPr>
          <w:rFonts w:cs="Calibri"/>
          <w:szCs w:val="20"/>
        </w:rPr>
        <w:t xml:space="preserve">Πέραν της ως άνω </w:t>
      </w:r>
      <w:r w:rsidRPr="006C5770">
        <w:rPr>
          <w:rFonts w:cs="Calibri"/>
          <w:szCs w:val="20"/>
        </w:rPr>
        <w:t>κατά προτεραιότητα κατανομή</w:t>
      </w:r>
      <w:r>
        <w:rPr>
          <w:rFonts w:cs="Calibri"/>
          <w:szCs w:val="20"/>
        </w:rPr>
        <w:t>ς</w:t>
      </w:r>
      <w:r w:rsidRPr="006C5770">
        <w:rPr>
          <w:rFonts w:cs="Calibri"/>
          <w:szCs w:val="20"/>
        </w:rPr>
        <w:t xml:space="preserve"> σε υφιστάμενους μετόχους μειοψηφίας, </w:t>
      </w:r>
      <w:r>
        <w:rPr>
          <w:rFonts w:cs="Calibri"/>
          <w:szCs w:val="20"/>
        </w:rPr>
        <w:t xml:space="preserve">ο </w:t>
      </w:r>
      <w:r w:rsidRPr="006C5770">
        <w:rPr>
          <w:rFonts w:cs="Calibri"/>
          <w:szCs w:val="20"/>
        </w:rPr>
        <w:t xml:space="preserve">απώτερος στόχος της Εταιρείας θα είναι η </w:t>
      </w:r>
      <w:r>
        <w:rPr>
          <w:rFonts w:cs="Calibri"/>
          <w:szCs w:val="20"/>
        </w:rPr>
        <w:t xml:space="preserve">διεύρυνση </w:t>
      </w:r>
      <w:r w:rsidRPr="006C5770">
        <w:rPr>
          <w:rFonts w:cs="Calibri"/>
          <w:szCs w:val="20"/>
        </w:rPr>
        <w:t>της διασποράς και η αύξηση της ρευστότητας της μετοχής.</w:t>
      </w:r>
    </w:p>
    <w:p w14:paraId="4FC2D130" w14:textId="77777777" w:rsidR="00946A0A" w:rsidRDefault="00946A0A" w:rsidP="00946A0A">
      <w:pPr>
        <w:spacing w:after="120" w:line="240" w:lineRule="auto"/>
        <w:jc w:val="both"/>
        <w:rPr>
          <w:rFonts w:cs="Calibri"/>
          <w:szCs w:val="20"/>
        </w:rPr>
      </w:pPr>
      <w:r w:rsidRPr="006C5770">
        <w:rPr>
          <w:rFonts w:cs="Calibri"/>
          <w:szCs w:val="20"/>
        </w:rPr>
        <w:t>Σ</w:t>
      </w:r>
      <w:r>
        <w:rPr>
          <w:rFonts w:cs="Calibri"/>
          <w:szCs w:val="20"/>
        </w:rPr>
        <w:t>την</w:t>
      </w:r>
      <w:r w:rsidRPr="006C5770">
        <w:rPr>
          <w:rFonts w:cs="Calibri"/>
          <w:szCs w:val="20"/>
        </w:rPr>
        <w:t xml:space="preserve"> περίπτωση που η Cenergy Holdings προχωρήσει στην </w:t>
      </w:r>
      <w:r>
        <w:rPr>
          <w:rFonts w:cs="Calibri"/>
          <w:szCs w:val="20"/>
        </w:rPr>
        <w:t xml:space="preserve">Ενδεχόμενη </w:t>
      </w:r>
      <w:r w:rsidRPr="006C5770">
        <w:rPr>
          <w:rFonts w:cs="Calibri"/>
          <w:szCs w:val="20"/>
        </w:rPr>
        <w:t xml:space="preserve">Αύξηση Μετοχικού Κεφαλαίου, </w:t>
      </w:r>
      <w:r>
        <w:rPr>
          <w:rFonts w:cs="Calibri"/>
          <w:szCs w:val="20"/>
        </w:rPr>
        <w:t xml:space="preserve">υπάρχει η πρόθεση </w:t>
      </w:r>
      <w:r w:rsidRPr="006C5770">
        <w:rPr>
          <w:rFonts w:cs="Calibri"/>
          <w:szCs w:val="20"/>
        </w:rPr>
        <w:t xml:space="preserve">τα έσοδα </w:t>
      </w:r>
      <w:r>
        <w:rPr>
          <w:rFonts w:cs="Calibri"/>
          <w:szCs w:val="20"/>
        </w:rPr>
        <w:t xml:space="preserve">να </w:t>
      </w:r>
      <w:r w:rsidRPr="006C5770">
        <w:rPr>
          <w:rFonts w:cs="Calibri"/>
          <w:szCs w:val="20"/>
        </w:rPr>
        <w:t xml:space="preserve">χρησιμοποιηθούν για τη χρηματοδότηση της πρώτης φάσης της σχεδιαζόμενης κατασκευής </w:t>
      </w:r>
      <w:r>
        <w:rPr>
          <w:rFonts w:cs="Calibri"/>
          <w:szCs w:val="20"/>
        </w:rPr>
        <w:t xml:space="preserve">μονάδας </w:t>
      </w:r>
      <w:r w:rsidRPr="006C5770">
        <w:rPr>
          <w:rFonts w:cs="Calibri"/>
          <w:szCs w:val="20"/>
        </w:rPr>
        <w:t xml:space="preserve">παραγωγής καλωδίων στη Βαλτιμόρη, </w:t>
      </w:r>
      <w:proofErr w:type="spellStart"/>
      <w:r w:rsidRPr="006C5770">
        <w:rPr>
          <w:rFonts w:cs="Calibri"/>
          <w:szCs w:val="20"/>
        </w:rPr>
        <w:t>Μέριλαντ</w:t>
      </w:r>
      <w:proofErr w:type="spellEnd"/>
      <w:r w:rsidRPr="006C5770">
        <w:rPr>
          <w:rFonts w:cs="Calibri"/>
          <w:szCs w:val="20"/>
        </w:rPr>
        <w:t>, ΗΠΑ, καθώς και για γενικ</w:t>
      </w:r>
      <w:r>
        <w:rPr>
          <w:rFonts w:cs="Calibri"/>
          <w:szCs w:val="20"/>
        </w:rPr>
        <w:t xml:space="preserve">ούς </w:t>
      </w:r>
      <w:r w:rsidRPr="006C5770">
        <w:rPr>
          <w:rFonts w:cs="Calibri"/>
          <w:szCs w:val="20"/>
        </w:rPr>
        <w:t>εταιρικ</w:t>
      </w:r>
      <w:r>
        <w:rPr>
          <w:rFonts w:cs="Calibri"/>
          <w:szCs w:val="20"/>
        </w:rPr>
        <w:t>ούς</w:t>
      </w:r>
      <w:r w:rsidRPr="006C5770">
        <w:rPr>
          <w:rFonts w:cs="Calibri"/>
          <w:szCs w:val="20"/>
        </w:rPr>
        <w:t xml:space="preserve"> σκοπούς και, στο βαθμό που κρίνεται απαραίτητο, περαιτέρω βελτιώσεις στις υπάρχουσες εγκαταστάσεις </w:t>
      </w:r>
      <w:r>
        <w:rPr>
          <w:rFonts w:cs="Calibri"/>
          <w:szCs w:val="20"/>
        </w:rPr>
        <w:t xml:space="preserve">της </w:t>
      </w:r>
      <w:r w:rsidRPr="006C5770">
        <w:rPr>
          <w:rFonts w:cs="Calibri"/>
          <w:szCs w:val="20"/>
        </w:rPr>
        <w:t>στην Ελλάδα.</w:t>
      </w:r>
    </w:p>
    <w:p w14:paraId="7FDFF3ED" w14:textId="196B26BC" w:rsidR="00946A0A" w:rsidRPr="00033F0D" w:rsidRDefault="00946A0A" w:rsidP="00946A0A">
      <w:pPr>
        <w:spacing w:after="120" w:line="240" w:lineRule="auto"/>
        <w:jc w:val="both"/>
        <w:rPr>
          <w:rFonts w:cs="Calibri"/>
          <w:szCs w:val="20"/>
        </w:rPr>
      </w:pPr>
      <w:r w:rsidRPr="004D711A">
        <w:rPr>
          <w:rFonts w:cs="Calibri"/>
          <w:szCs w:val="20"/>
        </w:rPr>
        <w:t xml:space="preserve">Η Cenergy Holdings </w:t>
      </w:r>
      <w:r>
        <w:rPr>
          <w:rFonts w:cs="Calibri"/>
          <w:szCs w:val="20"/>
        </w:rPr>
        <w:t xml:space="preserve">διακρίνει μία </w:t>
      </w:r>
      <w:r w:rsidRPr="004D711A">
        <w:rPr>
          <w:rFonts w:cs="Calibri"/>
          <w:szCs w:val="20"/>
        </w:rPr>
        <w:t>σημαντική ευκαιρία στ</w:t>
      </w:r>
      <w:r>
        <w:rPr>
          <w:rFonts w:cs="Calibri"/>
          <w:szCs w:val="20"/>
        </w:rPr>
        <w:t>ην αγορά των</w:t>
      </w:r>
      <w:r w:rsidRPr="004D711A">
        <w:rPr>
          <w:rFonts w:cs="Calibri"/>
          <w:szCs w:val="20"/>
        </w:rPr>
        <w:t xml:space="preserve"> ΗΠΑ</w:t>
      </w:r>
      <w:r>
        <w:rPr>
          <w:rFonts w:cs="Calibri"/>
          <w:szCs w:val="20"/>
        </w:rPr>
        <w:t xml:space="preserve"> που αποτελεί</w:t>
      </w:r>
      <w:r w:rsidRPr="004D711A">
        <w:rPr>
          <w:rFonts w:cs="Calibri"/>
          <w:szCs w:val="20"/>
        </w:rPr>
        <w:t xml:space="preserve"> μια μεγάλη και ταχ</w:t>
      </w:r>
      <w:r>
        <w:rPr>
          <w:rFonts w:cs="Calibri"/>
          <w:szCs w:val="20"/>
        </w:rPr>
        <w:t>έως αναπτυσσόμενη</w:t>
      </w:r>
      <w:r w:rsidRPr="004D711A">
        <w:rPr>
          <w:rFonts w:cs="Calibri"/>
          <w:szCs w:val="20"/>
        </w:rPr>
        <w:t xml:space="preserve"> αγορά</w:t>
      </w:r>
      <w:r>
        <w:rPr>
          <w:rFonts w:cs="Calibri"/>
          <w:szCs w:val="20"/>
        </w:rPr>
        <w:t xml:space="preserve"> που παρουσιάζει </w:t>
      </w:r>
      <w:r w:rsidRPr="004D711A">
        <w:rPr>
          <w:rFonts w:cs="Calibri"/>
          <w:szCs w:val="20"/>
        </w:rPr>
        <w:t>παρόμοιες μακροχρόνιες τάσεις με τις υπ</w:t>
      </w:r>
      <w:r>
        <w:rPr>
          <w:rFonts w:cs="Calibri"/>
          <w:szCs w:val="20"/>
        </w:rPr>
        <w:t xml:space="preserve">όλοιπες </w:t>
      </w:r>
      <w:r w:rsidRPr="004D711A">
        <w:rPr>
          <w:rFonts w:cs="Calibri"/>
          <w:szCs w:val="20"/>
        </w:rPr>
        <w:t>βασικές αγορές</w:t>
      </w:r>
      <w:r w:rsidRPr="006A2258">
        <w:rPr>
          <w:rFonts w:cs="Calibri"/>
          <w:szCs w:val="20"/>
        </w:rPr>
        <w:t xml:space="preserve"> </w:t>
      </w:r>
      <w:r>
        <w:rPr>
          <w:rFonts w:cs="Calibri"/>
          <w:szCs w:val="20"/>
        </w:rPr>
        <w:t>της Εταιρείας</w:t>
      </w:r>
      <w:r w:rsidRPr="004D711A">
        <w:rPr>
          <w:rFonts w:cs="Calibri"/>
          <w:szCs w:val="20"/>
        </w:rPr>
        <w:t xml:space="preserve">, </w:t>
      </w:r>
      <w:r>
        <w:rPr>
          <w:rFonts w:cs="Calibri"/>
          <w:szCs w:val="20"/>
        </w:rPr>
        <w:t>όπως είναι</w:t>
      </w:r>
      <w:r w:rsidRPr="004D711A">
        <w:rPr>
          <w:rFonts w:cs="Calibri"/>
          <w:szCs w:val="20"/>
        </w:rPr>
        <w:t xml:space="preserve"> η αύξηση του πληθυσμού, η αστικοποίηση και ο αυξανόμενος αριθμός κέντρων δεδομένων, </w:t>
      </w:r>
      <w:r>
        <w:rPr>
          <w:rFonts w:cs="Calibri"/>
          <w:szCs w:val="20"/>
        </w:rPr>
        <w:t xml:space="preserve">παράγοντες που αυξάνουν </w:t>
      </w:r>
      <w:r w:rsidRPr="004D711A">
        <w:rPr>
          <w:rFonts w:cs="Calibri"/>
          <w:szCs w:val="20"/>
        </w:rPr>
        <w:t xml:space="preserve">τη συνολική ζήτηση για ενέργεια. </w:t>
      </w:r>
      <w:r>
        <w:rPr>
          <w:rFonts w:cs="Calibri"/>
          <w:szCs w:val="20"/>
        </w:rPr>
        <w:t xml:space="preserve">Η </w:t>
      </w:r>
      <w:r>
        <w:rPr>
          <w:rFonts w:cs="Calibri"/>
          <w:szCs w:val="20"/>
          <w:lang w:val="en-US"/>
        </w:rPr>
        <w:t>Cenergy</w:t>
      </w:r>
      <w:r w:rsidRPr="00033F0D">
        <w:rPr>
          <w:rFonts w:cs="Calibri"/>
          <w:szCs w:val="20"/>
        </w:rPr>
        <w:t xml:space="preserve"> </w:t>
      </w:r>
      <w:r>
        <w:rPr>
          <w:rFonts w:cs="Calibri"/>
          <w:szCs w:val="20"/>
          <w:lang w:val="en-US"/>
        </w:rPr>
        <w:t>Holdings</w:t>
      </w:r>
      <w:r w:rsidRPr="004D711A">
        <w:rPr>
          <w:rFonts w:cs="Calibri"/>
          <w:szCs w:val="20"/>
        </w:rPr>
        <w:t xml:space="preserve"> πιστεύει ότι είναι σε θέση να εκμεταλλευτεί </w:t>
      </w:r>
      <w:r>
        <w:rPr>
          <w:rFonts w:cs="Calibri"/>
          <w:szCs w:val="20"/>
        </w:rPr>
        <w:t xml:space="preserve">αυτή </w:t>
      </w:r>
      <w:r w:rsidRPr="004D711A">
        <w:rPr>
          <w:rFonts w:cs="Calibri"/>
          <w:szCs w:val="20"/>
        </w:rPr>
        <w:t xml:space="preserve">την </w:t>
      </w:r>
      <w:r>
        <w:rPr>
          <w:rFonts w:cs="Calibri"/>
          <w:szCs w:val="20"/>
        </w:rPr>
        <w:t>πολλά υποσχόμενη</w:t>
      </w:r>
      <w:r w:rsidRPr="004D711A">
        <w:rPr>
          <w:rFonts w:cs="Calibri"/>
          <w:szCs w:val="20"/>
        </w:rPr>
        <w:t xml:space="preserve"> ευκαιρία στην αγορά</w:t>
      </w:r>
      <w:r w:rsidRPr="00033F0D">
        <w:rPr>
          <w:rFonts w:cs="Calibri"/>
          <w:szCs w:val="20"/>
        </w:rPr>
        <w:t xml:space="preserve"> </w:t>
      </w:r>
      <w:r>
        <w:rPr>
          <w:rFonts w:cs="Calibri"/>
          <w:szCs w:val="20"/>
        </w:rPr>
        <w:t>της Αμερικής</w:t>
      </w:r>
      <w:r w:rsidRPr="004D711A">
        <w:rPr>
          <w:rFonts w:cs="Calibri"/>
          <w:szCs w:val="20"/>
        </w:rPr>
        <w:t xml:space="preserve">, </w:t>
      </w:r>
      <w:r>
        <w:rPr>
          <w:rFonts w:cs="Calibri"/>
          <w:szCs w:val="20"/>
        </w:rPr>
        <w:t>δεδομένων των υφιστάμενων</w:t>
      </w:r>
      <w:r w:rsidRPr="004D711A">
        <w:rPr>
          <w:rFonts w:cs="Calibri"/>
          <w:szCs w:val="20"/>
        </w:rPr>
        <w:t xml:space="preserve"> τεχνολογικ</w:t>
      </w:r>
      <w:r>
        <w:rPr>
          <w:rFonts w:cs="Calibri"/>
          <w:szCs w:val="20"/>
        </w:rPr>
        <w:t>ών</w:t>
      </w:r>
      <w:r w:rsidRPr="004D711A">
        <w:rPr>
          <w:rFonts w:cs="Calibri"/>
          <w:szCs w:val="20"/>
        </w:rPr>
        <w:t xml:space="preserve"> δυνατ</w:t>
      </w:r>
      <w:r>
        <w:rPr>
          <w:rFonts w:cs="Calibri"/>
          <w:szCs w:val="20"/>
        </w:rPr>
        <w:t xml:space="preserve">ότητων της </w:t>
      </w:r>
      <w:r w:rsidRPr="004D711A">
        <w:rPr>
          <w:rFonts w:cs="Calibri"/>
          <w:szCs w:val="20"/>
        </w:rPr>
        <w:t>και τ</w:t>
      </w:r>
      <w:r>
        <w:rPr>
          <w:rFonts w:cs="Calibri"/>
          <w:szCs w:val="20"/>
        </w:rPr>
        <w:t>ου</w:t>
      </w:r>
      <w:r w:rsidRPr="004D711A">
        <w:rPr>
          <w:rFonts w:cs="Calibri"/>
          <w:szCs w:val="20"/>
        </w:rPr>
        <w:t xml:space="preserve"> αποδεδειγμέν</w:t>
      </w:r>
      <w:r>
        <w:rPr>
          <w:rFonts w:cs="Calibri"/>
          <w:szCs w:val="20"/>
        </w:rPr>
        <w:t>α</w:t>
      </w:r>
      <w:r w:rsidRPr="004D711A">
        <w:rPr>
          <w:rFonts w:cs="Calibri"/>
          <w:szCs w:val="20"/>
        </w:rPr>
        <w:t xml:space="preserve"> επιτυχ</w:t>
      </w:r>
      <w:r>
        <w:rPr>
          <w:rFonts w:cs="Calibri"/>
          <w:szCs w:val="20"/>
        </w:rPr>
        <w:t>ημένου</w:t>
      </w:r>
      <w:r w:rsidRPr="004D711A">
        <w:rPr>
          <w:rFonts w:cs="Calibri"/>
          <w:szCs w:val="20"/>
        </w:rPr>
        <w:t xml:space="preserve"> </w:t>
      </w:r>
      <w:r>
        <w:rPr>
          <w:rFonts w:cs="Calibri"/>
          <w:szCs w:val="20"/>
        </w:rPr>
        <w:t xml:space="preserve">ιστορικού </w:t>
      </w:r>
      <w:r w:rsidRPr="004D711A">
        <w:rPr>
          <w:rFonts w:cs="Calibri"/>
          <w:szCs w:val="20"/>
        </w:rPr>
        <w:t>τ</w:t>
      </w:r>
      <w:r>
        <w:rPr>
          <w:rFonts w:cs="Calibri"/>
          <w:szCs w:val="20"/>
        </w:rPr>
        <w:t>ης</w:t>
      </w:r>
      <w:r w:rsidRPr="004D711A">
        <w:rPr>
          <w:rFonts w:cs="Calibri"/>
          <w:szCs w:val="20"/>
        </w:rPr>
        <w:t>.</w:t>
      </w:r>
    </w:p>
    <w:p w14:paraId="4D9DD4F7" w14:textId="77777777" w:rsidR="00946A0A" w:rsidRPr="004D711A" w:rsidRDefault="00946A0A" w:rsidP="00946A0A">
      <w:pPr>
        <w:spacing w:after="120" w:line="240" w:lineRule="auto"/>
        <w:jc w:val="both"/>
        <w:rPr>
          <w:rFonts w:cs="Calibri"/>
          <w:szCs w:val="20"/>
        </w:rPr>
      </w:pPr>
      <w:r w:rsidRPr="004D711A">
        <w:rPr>
          <w:rFonts w:cs="Calibri"/>
          <w:szCs w:val="20"/>
        </w:rPr>
        <w:t xml:space="preserve">Το πρόγραμμα επέκτασης ευθυγραμμίζεται </w:t>
      </w:r>
      <w:r>
        <w:rPr>
          <w:rFonts w:cs="Calibri"/>
          <w:szCs w:val="20"/>
        </w:rPr>
        <w:t>πλήρως με την</w:t>
      </w:r>
      <w:r w:rsidRPr="004D711A">
        <w:rPr>
          <w:rFonts w:cs="Calibri"/>
          <w:szCs w:val="20"/>
        </w:rPr>
        <w:t xml:space="preserve"> στρατηγική του Ομίλου</w:t>
      </w:r>
      <w:r>
        <w:rPr>
          <w:rFonts w:cs="Calibri"/>
          <w:szCs w:val="20"/>
        </w:rPr>
        <w:t xml:space="preserve"> που βασίζεται στους παρακάτω πυλώνες: </w:t>
      </w:r>
      <w:r w:rsidRPr="004D711A">
        <w:rPr>
          <w:rFonts w:cs="Calibri"/>
          <w:szCs w:val="20"/>
        </w:rPr>
        <w:t>(</w:t>
      </w:r>
      <w:r>
        <w:rPr>
          <w:rFonts w:cs="Calibri"/>
          <w:szCs w:val="20"/>
        </w:rPr>
        <w:t>1</w:t>
      </w:r>
      <w:r w:rsidRPr="004D711A">
        <w:rPr>
          <w:rFonts w:cs="Calibri"/>
          <w:szCs w:val="20"/>
        </w:rPr>
        <w:t xml:space="preserve">) </w:t>
      </w:r>
      <w:r>
        <w:rPr>
          <w:rFonts w:cs="Calibri"/>
          <w:szCs w:val="20"/>
        </w:rPr>
        <w:t xml:space="preserve">την προσήλωση στη δημιουργία </w:t>
      </w:r>
      <w:r w:rsidRPr="004D711A">
        <w:rPr>
          <w:rFonts w:cs="Calibri"/>
          <w:szCs w:val="20"/>
        </w:rPr>
        <w:t>αξία</w:t>
      </w:r>
      <w:r>
        <w:rPr>
          <w:rFonts w:cs="Calibri"/>
          <w:szCs w:val="20"/>
        </w:rPr>
        <w:t>ς</w:t>
      </w:r>
      <w:r w:rsidRPr="004D711A">
        <w:rPr>
          <w:rFonts w:cs="Calibri"/>
          <w:szCs w:val="20"/>
        </w:rPr>
        <w:t xml:space="preserve"> </w:t>
      </w:r>
      <w:r>
        <w:rPr>
          <w:rFonts w:cs="Calibri"/>
          <w:szCs w:val="20"/>
        </w:rPr>
        <w:t>έν</w:t>
      </w:r>
      <w:r w:rsidRPr="004D711A">
        <w:rPr>
          <w:rFonts w:cs="Calibri"/>
          <w:szCs w:val="20"/>
        </w:rPr>
        <w:t>αντ</w:t>
      </w:r>
      <w:r>
        <w:rPr>
          <w:rFonts w:cs="Calibri"/>
          <w:szCs w:val="20"/>
        </w:rPr>
        <w:t xml:space="preserve">ι της αύξησης του </w:t>
      </w:r>
      <w:r w:rsidRPr="004D711A">
        <w:rPr>
          <w:rFonts w:cs="Calibri"/>
          <w:szCs w:val="20"/>
        </w:rPr>
        <w:t>όγκου</w:t>
      </w:r>
      <w:r>
        <w:rPr>
          <w:rFonts w:cs="Calibri"/>
          <w:szCs w:val="20"/>
        </w:rPr>
        <w:t xml:space="preserve"> πωλήσεων</w:t>
      </w:r>
      <w:r w:rsidRPr="004D711A">
        <w:rPr>
          <w:rFonts w:cs="Calibri"/>
          <w:szCs w:val="20"/>
        </w:rPr>
        <w:t>, (</w:t>
      </w:r>
      <w:r>
        <w:rPr>
          <w:rFonts w:cs="Calibri"/>
          <w:szCs w:val="20"/>
        </w:rPr>
        <w:t>2</w:t>
      </w:r>
      <w:r w:rsidRPr="004D711A">
        <w:rPr>
          <w:rFonts w:cs="Calibri"/>
          <w:szCs w:val="20"/>
        </w:rPr>
        <w:t>)</w:t>
      </w:r>
      <w:r>
        <w:rPr>
          <w:rFonts w:cs="Calibri"/>
          <w:szCs w:val="20"/>
        </w:rPr>
        <w:t xml:space="preserve"> την</w:t>
      </w:r>
      <w:r w:rsidRPr="004D711A">
        <w:rPr>
          <w:rFonts w:cs="Calibri"/>
          <w:szCs w:val="20"/>
        </w:rPr>
        <w:t xml:space="preserve"> αύξηση των εξαγωγών και (</w:t>
      </w:r>
      <w:r>
        <w:rPr>
          <w:rFonts w:cs="Calibri"/>
          <w:szCs w:val="20"/>
        </w:rPr>
        <w:t>3</w:t>
      </w:r>
      <w:r w:rsidRPr="004D711A">
        <w:rPr>
          <w:rFonts w:cs="Calibri"/>
          <w:szCs w:val="20"/>
        </w:rPr>
        <w:t xml:space="preserve">) </w:t>
      </w:r>
      <w:r>
        <w:rPr>
          <w:rFonts w:cs="Calibri"/>
          <w:szCs w:val="20"/>
        </w:rPr>
        <w:t xml:space="preserve">τη </w:t>
      </w:r>
      <w:r w:rsidRPr="004D711A">
        <w:rPr>
          <w:rFonts w:cs="Calibri"/>
          <w:szCs w:val="20"/>
        </w:rPr>
        <w:t>βελτιστοποίηση της λειτουργικής αριστείας, εξυπηρετώντας αποδοτικά τ</w:t>
      </w:r>
      <w:r>
        <w:rPr>
          <w:rFonts w:cs="Calibri"/>
          <w:szCs w:val="20"/>
        </w:rPr>
        <w:t xml:space="preserve">ην αναπτυσσόμενη αγορά σε </w:t>
      </w:r>
      <w:r w:rsidRPr="004D711A">
        <w:rPr>
          <w:rFonts w:cs="Calibri"/>
          <w:szCs w:val="20"/>
        </w:rPr>
        <w:t>ενεργειακ</w:t>
      </w:r>
      <w:r>
        <w:rPr>
          <w:rFonts w:cs="Calibri"/>
          <w:szCs w:val="20"/>
        </w:rPr>
        <w:t>ές</w:t>
      </w:r>
      <w:r w:rsidRPr="004D711A">
        <w:rPr>
          <w:rFonts w:cs="Calibri"/>
          <w:szCs w:val="20"/>
        </w:rPr>
        <w:t xml:space="preserve"> υποδομ</w:t>
      </w:r>
      <w:r>
        <w:rPr>
          <w:rFonts w:cs="Calibri"/>
          <w:szCs w:val="20"/>
        </w:rPr>
        <w:t>ές</w:t>
      </w:r>
      <w:r w:rsidRPr="004D711A">
        <w:rPr>
          <w:rFonts w:cs="Calibri"/>
          <w:szCs w:val="20"/>
        </w:rPr>
        <w:t>.</w:t>
      </w:r>
    </w:p>
    <w:p w14:paraId="3AFFE9F6" w14:textId="77777777" w:rsidR="00946A0A" w:rsidRDefault="00946A0A" w:rsidP="00946A0A">
      <w:pPr>
        <w:spacing w:after="120" w:line="240" w:lineRule="auto"/>
        <w:jc w:val="both"/>
        <w:rPr>
          <w:rFonts w:cs="Calibri"/>
          <w:szCs w:val="20"/>
        </w:rPr>
      </w:pPr>
      <w:r w:rsidRPr="004D711A">
        <w:rPr>
          <w:rFonts w:cs="Calibri"/>
          <w:szCs w:val="20"/>
        </w:rPr>
        <w:t xml:space="preserve">Η </w:t>
      </w:r>
      <w:r>
        <w:rPr>
          <w:rFonts w:cs="Calibri"/>
          <w:szCs w:val="20"/>
        </w:rPr>
        <w:t xml:space="preserve">υλοποίηση </w:t>
      </w:r>
      <w:r w:rsidRPr="004D711A">
        <w:rPr>
          <w:rFonts w:cs="Calibri"/>
          <w:szCs w:val="20"/>
        </w:rPr>
        <w:t xml:space="preserve">της </w:t>
      </w:r>
      <w:bookmarkStart w:id="16" w:name="_Hlk175239032"/>
      <w:r>
        <w:rPr>
          <w:rFonts w:cs="Calibri"/>
          <w:szCs w:val="20"/>
        </w:rPr>
        <w:t>Ενδεχόμενη</w:t>
      </w:r>
      <w:r w:rsidRPr="004D711A">
        <w:rPr>
          <w:rFonts w:cs="Calibri"/>
          <w:szCs w:val="20"/>
        </w:rPr>
        <w:t>ς</w:t>
      </w:r>
      <w:bookmarkEnd w:id="16"/>
      <w:r w:rsidRPr="004D711A">
        <w:rPr>
          <w:rFonts w:cs="Calibri"/>
          <w:szCs w:val="20"/>
        </w:rPr>
        <w:t xml:space="preserve"> Αύξησης Μετοχικού Κεφαλαίου, καθώς και οι όροι της, </w:t>
      </w:r>
      <w:r>
        <w:rPr>
          <w:rFonts w:cs="Calibri"/>
          <w:szCs w:val="20"/>
        </w:rPr>
        <w:t xml:space="preserve">εξαρτώνται από </w:t>
      </w:r>
      <w:r w:rsidRPr="004D711A">
        <w:rPr>
          <w:rFonts w:cs="Calibri"/>
          <w:szCs w:val="20"/>
        </w:rPr>
        <w:t xml:space="preserve">διάφορους παράγοντες, συμπεριλαμβανομένων, </w:t>
      </w:r>
      <w:r>
        <w:rPr>
          <w:rFonts w:cs="Calibri"/>
          <w:szCs w:val="20"/>
        </w:rPr>
        <w:t>μεταξύ άλλων</w:t>
      </w:r>
      <w:r w:rsidRPr="004D711A">
        <w:rPr>
          <w:rFonts w:cs="Calibri"/>
          <w:szCs w:val="20"/>
        </w:rPr>
        <w:t xml:space="preserve">, της έγκρισης από την </w:t>
      </w:r>
      <w:r>
        <w:rPr>
          <w:rFonts w:cs="Calibri"/>
          <w:szCs w:val="20"/>
        </w:rPr>
        <w:t>Έ</w:t>
      </w:r>
      <w:r w:rsidRPr="004D711A">
        <w:rPr>
          <w:rFonts w:cs="Calibri"/>
          <w:szCs w:val="20"/>
        </w:rPr>
        <w:t xml:space="preserve">κτακτη </w:t>
      </w:r>
      <w:r>
        <w:rPr>
          <w:rFonts w:cs="Calibri"/>
          <w:szCs w:val="20"/>
        </w:rPr>
        <w:t>Γ</w:t>
      </w:r>
      <w:r w:rsidRPr="004D711A">
        <w:rPr>
          <w:rFonts w:cs="Calibri"/>
          <w:szCs w:val="20"/>
        </w:rPr>
        <w:t xml:space="preserve">ενική </w:t>
      </w:r>
      <w:r>
        <w:rPr>
          <w:rFonts w:cs="Calibri"/>
          <w:szCs w:val="20"/>
        </w:rPr>
        <w:t>Σ</w:t>
      </w:r>
      <w:r w:rsidRPr="004D711A">
        <w:rPr>
          <w:rFonts w:cs="Calibri"/>
          <w:szCs w:val="20"/>
        </w:rPr>
        <w:t>υνέλευση των μετόχων της Cenergy Holdings που θα συγκληθεί τις επόμενες ημέρες</w:t>
      </w:r>
      <w:r>
        <w:rPr>
          <w:rFonts w:cs="Calibri"/>
          <w:szCs w:val="20"/>
        </w:rPr>
        <w:t xml:space="preserve"> της χορήγησης εξουσιοδότησης για αύξηση μετοχικού κεφαλαίου</w:t>
      </w:r>
      <w:r w:rsidRPr="004D711A">
        <w:rPr>
          <w:rFonts w:cs="Calibri"/>
          <w:szCs w:val="20"/>
        </w:rPr>
        <w:t xml:space="preserve">, της έγκρισης από το Διοικητικό Συμβούλιο της Cenergy Holdings, </w:t>
      </w:r>
      <w:r w:rsidRPr="002511A5">
        <w:rPr>
          <w:rFonts w:cs="Calibri"/>
          <w:szCs w:val="20"/>
        </w:rPr>
        <w:t xml:space="preserve">τη δημοσίευση ενημερωτικού δελτίου σύμφωνα με τον </w:t>
      </w:r>
      <w:r>
        <w:rPr>
          <w:rFonts w:cs="Calibri"/>
          <w:szCs w:val="20"/>
        </w:rPr>
        <w:t>Κ</w:t>
      </w:r>
      <w:r w:rsidRPr="002511A5">
        <w:rPr>
          <w:rFonts w:cs="Calibri"/>
          <w:szCs w:val="20"/>
        </w:rPr>
        <w:t xml:space="preserve">ανονισμό για το </w:t>
      </w:r>
      <w:r>
        <w:rPr>
          <w:rFonts w:cs="Calibri"/>
          <w:szCs w:val="20"/>
        </w:rPr>
        <w:t>Ε</w:t>
      </w:r>
      <w:r w:rsidRPr="002511A5">
        <w:rPr>
          <w:rFonts w:cs="Calibri"/>
          <w:szCs w:val="20"/>
        </w:rPr>
        <w:t xml:space="preserve">νημερωτικό </w:t>
      </w:r>
      <w:r>
        <w:rPr>
          <w:rFonts w:cs="Calibri"/>
          <w:szCs w:val="20"/>
        </w:rPr>
        <w:t>Δ</w:t>
      </w:r>
      <w:r w:rsidRPr="002511A5">
        <w:rPr>
          <w:rFonts w:cs="Calibri"/>
          <w:szCs w:val="20"/>
        </w:rPr>
        <w:t>ελτίο, καθώς και τις επικρατούσες συνθήκες της αγοράς</w:t>
      </w:r>
      <w:r w:rsidRPr="004D711A">
        <w:rPr>
          <w:rFonts w:cs="Calibri"/>
          <w:szCs w:val="20"/>
        </w:rPr>
        <w:t>.</w:t>
      </w:r>
    </w:p>
    <w:p w14:paraId="62C589B8" w14:textId="114648C2" w:rsidR="00946A0A" w:rsidRDefault="00946A0A" w:rsidP="00946A0A">
      <w:pPr>
        <w:spacing w:after="120" w:line="240" w:lineRule="auto"/>
        <w:jc w:val="both"/>
        <w:rPr>
          <w:rFonts w:cs="Calibri"/>
          <w:szCs w:val="20"/>
        </w:rPr>
      </w:pPr>
      <w:r w:rsidRPr="002511A5">
        <w:rPr>
          <w:rFonts w:cs="Calibri"/>
          <w:szCs w:val="20"/>
        </w:rPr>
        <w:t>Περαιτέρω πληροφορίες σχετικά με τη Cenergy Holdings, τις Νέες Μετοχές και τη</w:t>
      </w:r>
      <w:r>
        <w:rPr>
          <w:rFonts w:cs="Calibri"/>
          <w:szCs w:val="20"/>
        </w:rPr>
        <w:t>ν Ενδεχόμενη</w:t>
      </w:r>
      <w:r w:rsidRPr="002511A5">
        <w:rPr>
          <w:rFonts w:cs="Calibri"/>
          <w:szCs w:val="20"/>
        </w:rPr>
        <w:t xml:space="preserve"> Αύξηση Μετοχικού Κεφαλαίου θα παρασχεθούν </w:t>
      </w:r>
      <w:r>
        <w:rPr>
          <w:rFonts w:cs="Calibri"/>
          <w:szCs w:val="20"/>
        </w:rPr>
        <w:t xml:space="preserve">κατά τη διάρκεια της διαδικασίας, όπως αρμόζει, </w:t>
      </w:r>
      <w:r w:rsidRPr="002511A5">
        <w:rPr>
          <w:rFonts w:cs="Calibri"/>
          <w:szCs w:val="20"/>
        </w:rPr>
        <w:t>και θα συμπεριληφθούν στο σχετικό ενημερωτικό δελτίο (</w:t>
      </w:r>
      <w:r>
        <w:rPr>
          <w:rFonts w:cs="Calibri"/>
          <w:szCs w:val="20"/>
        </w:rPr>
        <w:t xml:space="preserve">εφόσον </w:t>
      </w:r>
      <w:r w:rsidRPr="002511A5">
        <w:rPr>
          <w:rFonts w:cs="Calibri"/>
          <w:szCs w:val="20"/>
        </w:rPr>
        <w:t>υπάρξει).</w:t>
      </w:r>
      <w:r>
        <w:rPr>
          <w:rFonts w:cs="Calibri"/>
          <w:szCs w:val="20"/>
        </w:rPr>
        <w:t xml:space="preserve">  </w:t>
      </w:r>
      <w:r w:rsidRPr="002511A5">
        <w:rPr>
          <w:rFonts w:cs="Calibri"/>
          <w:szCs w:val="20"/>
        </w:rPr>
        <w:t>Σε περίπτωση που η Εταιρεία προχωρήσει στη</w:t>
      </w:r>
      <w:r>
        <w:rPr>
          <w:rFonts w:cs="Calibri"/>
          <w:szCs w:val="20"/>
        </w:rPr>
        <w:t>ν Ενδεχόμενη</w:t>
      </w:r>
      <w:r w:rsidRPr="002511A5">
        <w:rPr>
          <w:rFonts w:cs="Calibri"/>
          <w:szCs w:val="20"/>
        </w:rPr>
        <w:t xml:space="preserve"> Αύξηση Μετοχικού Κεφαλαίου, οι επενδυτές θα ενημερωθούν με </w:t>
      </w:r>
      <w:r>
        <w:rPr>
          <w:rFonts w:cs="Calibri"/>
          <w:szCs w:val="20"/>
        </w:rPr>
        <w:t xml:space="preserve">διακριτή </w:t>
      </w:r>
      <w:r w:rsidRPr="002511A5">
        <w:rPr>
          <w:rFonts w:cs="Calibri"/>
          <w:szCs w:val="20"/>
        </w:rPr>
        <w:t xml:space="preserve">ανακοίνωση σχετικά με την έναρξη της </w:t>
      </w:r>
      <w:r>
        <w:rPr>
          <w:rFonts w:cs="Calibri"/>
          <w:szCs w:val="20"/>
        </w:rPr>
        <w:t xml:space="preserve">Ενδεχόμενης </w:t>
      </w:r>
      <w:r w:rsidRPr="002511A5">
        <w:rPr>
          <w:rFonts w:cs="Calibri"/>
          <w:szCs w:val="20"/>
        </w:rPr>
        <w:t>Αύξησης Μετοχικού Κεφαλαίου και την</w:t>
      </w:r>
      <w:r>
        <w:rPr>
          <w:rFonts w:cs="Calibri"/>
          <w:szCs w:val="20"/>
        </w:rPr>
        <w:t xml:space="preserve"> </w:t>
      </w:r>
      <w:r w:rsidRPr="002511A5">
        <w:rPr>
          <w:rFonts w:cs="Calibri"/>
          <w:szCs w:val="20"/>
        </w:rPr>
        <w:t>έγκριση και διανομή του σχετικού ενημερωτικού δελτίου.</w:t>
      </w:r>
    </w:p>
    <w:p w14:paraId="4F413A60" w14:textId="597A2B16" w:rsidR="00946A0A" w:rsidRDefault="00946A0A" w:rsidP="00946A0A">
      <w:pPr>
        <w:spacing w:after="120" w:line="240" w:lineRule="auto"/>
        <w:jc w:val="both"/>
        <w:rPr>
          <w:rFonts w:cs="Calibri"/>
          <w:szCs w:val="20"/>
        </w:rPr>
      </w:pPr>
      <w:r w:rsidRPr="002511A5">
        <w:rPr>
          <w:rFonts w:cs="Calibri"/>
          <w:szCs w:val="20"/>
        </w:rPr>
        <w:t xml:space="preserve">Η </w:t>
      </w:r>
      <w:proofErr w:type="spellStart"/>
      <w:r w:rsidRPr="002511A5">
        <w:rPr>
          <w:rFonts w:cs="Calibri"/>
          <w:szCs w:val="20"/>
        </w:rPr>
        <w:t>Goldmans</w:t>
      </w:r>
      <w:proofErr w:type="spellEnd"/>
      <w:r w:rsidRPr="002511A5">
        <w:rPr>
          <w:rFonts w:cs="Calibri"/>
          <w:szCs w:val="20"/>
        </w:rPr>
        <w:t xml:space="preserve"> </w:t>
      </w:r>
      <w:proofErr w:type="spellStart"/>
      <w:r w:rsidRPr="002511A5">
        <w:rPr>
          <w:rFonts w:cs="Calibri"/>
          <w:szCs w:val="20"/>
        </w:rPr>
        <w:t>Sachs</w:t>
      </w:r>
      <w:proofErr w:type="spellEnd"/>
      <w:r w:rsidRPr="002511A5">
        <w:rPr>
          <w:rFonts w:cs="Calibri"/>
          <w:szCs w:val="20"/>
        </w:rPr>
        <w:t xml:space="preserve"> International ενεργεί ως μοναδικός παγκόσμιος συντονιστής</w:t>
      </w:r>
      <w:r>
        <w:rPr>
          <w:rFonts w:cs="Calibri"/>
          <w:szCs w:val="20"/>
        </w:rPr>
        <w:t xml:space="preserve"> </w:t>
      </w:r>
      <w:r w:rsidRPr="00946A0A">
        <w:rPr>
          <w:rFonts w:cs="Calibri"/>
          <w:szCs w:val="20"/>
        </w:rPr>
        <w:t>και οι HSBC και Alpha Bank ως κοινοί ανάδοχοι</w:t>
      </w:r>
      <w:r w:rsidRPr="002511A5">
        <w:rPr>
          <w:rFonts w:cs="Calibri"/>
          <w:szCs w:val="20"/>
        </w:rPr>
        <w:t xml:space="preserve"> σε σχέση με τη</w:t>
      </w:r>
      <w:r>
        <w:rPr>
          <w:rFonts w:cs="Calibri"/>
          <w:szCs w:val="20"/>
        </w:rPr>
        <w:t>ν Ενδεχόμενη Α</w:t>
      </w:r>
      <w:r w:rsidRPr="002511A5">
        <w:rPr>
          <w:rFonts w:cs="Calibri"/>
          <w:szCs w:val="20"/>
        </w:rPr>
        <w:t xml:space="preserve">ύξηση </w:t>
      </w:r>
      <w:r>
        <w:rPr>
          <w:rFonts w:cs="Calibri"/>
          <w:szCs w:val="20"/>
        </w:rPr>
        <w:t>Μ</w:t>
      </w:r>
      <w:r w:rsidRPr="002511A5">
        <w:rPr>
          <w:rFonts w:cs="Calibri"/>
          <w:szCs w:val="20"/>
        </w:rPr>
        <w:t xml:space="preserve">ετοχικού </w:t>
      </w:r>
      <w:r>
        <w:rPr>
          <w:rFonts w:cs="Calibri"/>
          <w:szCs w:val="20"/>
        </w:rPr>
        <w:t>Κ</w:t>
      </w:r>
      <w:r w:rsidRPr="002511A5">
        <w:rPr>
          <w:rFonts w:cs="Calibri"/>
          <w:szCs w:val="20"/>
        </w:rPr>
        <w:t>εφαλαίου</w:t>
      </w:r>
      <w:r w:rsidRPr="004D711A">
        <w:rPr>
          <w:rFonts w:cs="Calibri"/>
          <w:szCs w:val="20"/>
        </w:rPr>
        <w:t>.</w:t>
      </w:r>
    </w:p>
    <w:p w14:paraId="6D5D2DB6" w14:textId="1072EACA" w:rsidR="00FA7EB5" w:rsidRPr="00DC6011" w:rsidRDefault="00FA7EB5" w:rsidP="00FA7EB5">
      <w:pPr>
        <w:keepNext/>
        <w:keepLines/>
        <w:spacing w:after="120" w:line="240" w:lineRule="auto"/>
        <w:jc w:val="both"/>
        <w:outlineLvl w:val="1"/>
        <w:rPr>
          <w:rFonts w:eastAsia="SimSun" w:cs="Calibri"/>
          <w:b/>
          <w:bCs/>
          <w:color w:val="4F6228"/>
          <w:sz w:val="24"/>
          <w:szCs w:val="24"/>
        </w:rPr>
      </w:pPr>
      <w:bookmarkStart w:id="17" w:name="_Hlk160011080"/>
      <w:bookmarkStart w:id="18" w:name="_Hlk111560793"/>
      <w:r w:rsidRPr="004D1500">
        <w:rPr>
          <w:rFonts w:eastAsia="SimSun" w:cs="Calibri"/>
          <w:b/>
          <w:bCs/>
          <w:color w:val="4F6228"/>
          <w:sz w:val="24"/>
          <w:szCs w:val="24"/>
        </w:rPr>
        <w:t>Προοπτικές</w:t>
      </w:r>
      <w:r w:rsidR="00810365">
        <w:rPr>
          <w:rFonts w:eastAsia="SimSun" w:cs="Calibri"/>
          <w:b/>
          <w:bCs/>
          <w:color w:val="4F6228"/>
          <w:sz w:val="24"/>
          <w:szCs w:val="24"/>
        </w:rPr>
        <w:t xml:space="preserve"> </w:t>
      </w:r>
      <w:r w:rsidR="00810365" w:rsidRPr="00810365">
        <w:rPr>
          <w:rFonts w:eastAsia="SimSun" w:cs="Calibri"/>
          <w:b/>
          <w:bCs/>
          <w:color w:val="4F6228"/>
          <w:sz w:val="24"/>
          <w:szCs w:val="24"/>
        </w:rPr>
        <w:t xml:space="preserve">και </w:t>
      </w:r>
      <w:r w:rsidR="006B5D5E">
        <w:rPr>
          <w:rFonts w:eastAsia="SimSun" w:cs="Calibri"/>
          <w:b/>
          <w:bCs/>
          <w:color w:val="4F6228"/>
          <w:sz w:val="24"/>
          <w:szCs w:val="24"/>
        </w:rPr>
        <w:t>Μεσοπρόθεσμα πλάνα</w:t>
      </w:r>
      <w:r w:rsidR="00810365" w:rsidRPr="00810365">
        <w:rPr>
          <w:rFonts w:eastAsia="SimSun" w:cs="Calibri"/>
          <w:b/>
          <w:bCs/>
          <w:color w:val="4F6228"/>
          <w:sz w:val="24"/>
          <w:szCs w:val="24"/>
        </w:rPr>
        <w:t xml:space="preserve"> </w:t>
      </w:r>
    </w:p>
    <w:p w14:paraId="7D01C7A8" w14:textId="4E9D7E33" w:rsidR="00B321C7" w:rsidRPr="00B321C7" w:rsidRDefault="00B321C7" w:rsidP="002D1915">
      <w:pPr>
        <w:spacing w:after="120" w:line="240" w:lineRule="auto"/>
        <w:jc w:val="both"/>
      </w:pPr>
      <w:bookmarkStart w:id="19" w:name="_Hlk174363615"/>
      <w:r w:rsidRPr="00B321C7">
        <w:t xml:space="preserve">Όπως </w:t>
      </w:r>
      <w:r w:rsidR="00A3043E">
        <w:t>έχει αναφερθεί</w:t>
      </w:r>
      <w:r w:rsidRPr="00B321C7">
        <w:t xml:space="preserve"> τα τελευταία χρόνια, ο </w:t>
      </w:r>
      <w:r w:rsidRPr="001321CB">
        <w:rPr>
          <w:b/>
          <w:bCs/>
        </w:rPr>
        <w:t>τομέας καλωδίων</w:t>
      </w:r>
      <w:r w:rsidRPr="00B321C7">
        <w:t xml:space="preserve"> θα συνεχίσει να εκτελεί το </w:t>
      </w:r>
      <w:r>
        <w:t>ιστορικά</w:t>
      </w:r>
      <w:r w:rsidRPr="00B321C7">
        <w:t xml:space="preserve"> υψηλ</w:t>
      </w:r>
      <w:r w:rsidR="00A3043E">
        <w:t>ό</w:t>
      </w:r>
      <w:r w:rsidRPr="00B321C7">
        <w:t xml:space="preserve"> ανεκτέλεστ</w:t>
      </w:r>
      <w:r w:rsidR="00A3043E">
        <w:t xml:space="preserve">ο υπόλοιπο </w:t>
      </w:r>
      <w:r w:rsidRPr="00B321C7">
        <w:t>παραγγελιών του</w:t>
      </w:r>
      <w:r w:rsidR="0011601F">
        <w:t xml:space="preserve"> που</w:t>
      </w:r>
      <w:r w:rsidRPr="00B321C7">
        <w:t xml:space="preserve"> αποτελεί</w:t>
      </w:r>
      <w:r w:rsidR="0011601F">
        <w:t>,</w:t>
      </w:r>
      <w:r w:rsidRPr="00B321C7">
        <w:t xml:space="preserve"> </w:t>
      </w:r>
      <w:r w:rsidR="006F54EC" w:rsidRPr="00B321C7">
        <w:t>μεσοπρόθεσμα</w:t>
      </w:r>
      <w:r w:rsidR="0011601F">
        <w:t>,</w:t>
      </w:r>
      <w:r w:rsidR="006F54EC" w:rsidRPr="00B321C7">
        <w:t xml:space="preserve"> </w:t>
      </w:r>
      <w:r w:rsidRPr="00B321C7">
        <w:t xml:space="preserve">τον </w:t>
      </w:r>
      <w:r w:rsidR="0011601F">
        <w:t xml:space="preserve">βασικό πυλώνα </w:t>
      </w:r>
      <w:r w:rsidRPr="00B321C7">
        <w:t xml:space="preserve">για τις ισχυρές οικονομικές </w:t>
      </w:r>
      <w:r w:rsidR="0011601F">
        <w:t xml:space="preserve">του </w:t>
      </w:r>
      <w:r w:rsidRPr="00B321C7">
        <w:t>προοπτικές. Επιπ</w:t>
      </w:r>
      <w:r w:rsidR="0011601F">
        <w:t>ρόσθετα</w:t>
      </w:r>
      <w:r w:rsidRPr="00B321C7">
        <w:t xml:space="preserve">, ο τομέας </w:t>
      </w:r>
      <w:r w:rsidR="004C635F">
        <w:t>αναπτύσσει</w:t>
      </w:r>
      <w:r w:rsidRPr="00B321C7">
        <w:t xml:space="preserve"> όλ</w:t>
      </w:r>
      <w:r w:rsidR="004C635F">
        <w:t>ε</w:t>
      </w:r>
      <w:r w:rsidRPr="00B321C7">
        <w:t xml:space="preserve">ς </w:t>
      </w:r>
      <w:r w:rsidR="006F54EC">
        <w:t>τις επιχειρηματικές του δραστηριότητες</w:t>
      </w:r>
      <w:r w:rsidRPr="00B321C7">
        <w:t xml:space="preserve"> και επενδύει επιλεκτικά στην πολλά υποσχόμενη αγορά των ΗΠΑ. Η αυξημένη παραγωγή ενέργειας από</w:t>
      </w:r>
      <w:r w:rsidR="00A3043E">
        <w:t xml:space="preserve"> Ανανεώσιμες Πηγές Ενέργειας</w:t>
      </w:r>
      <w:r w:rsidRPr="00B321C7">
        <w:t xml:space="preserve">, η αυξανόμενη ζήτηση ηλεκτρικής ενέργειας και οι βελτιώσεις στα δίκτυα ηλεκτρικής ενέργειας είναι </w:t>
      </w:r>
      <w:r w:rsidR="0011601F">
        <w:t xml:space="preserve">ορισμένες </w:t>
      </w:r>
      <w:r w:rsidRPr="00B321C7">
        <w:t>από τις κύριες τάσεις</w:t>
      </w:r>
      <w:r w:rsidR="0011601F">
        <w:t>,</w:t>
      </w:r>
      <w:r w:rsidRPr="00B321C7">
        <w:t xml:space="preserve"> </w:t>
      </w:r>
      <w:r w:rsidR="004C635F" w:rsidRPr="00B321C7">
        <w:t xml:space="preserve">τουλάχιστον </w:t>
      </w:r>
      <w:r w:rsidRPr="00B321C7">
        <w:t>για την επόμενη δεκαετία</w:t>
      </w:r>
      <w:r w:rsidR="0011601F">
        <w:t>,</w:t>
      </w:r>
      <w:r w:rsidR="004C635F">
        <w:t xml:space="preserve"> </w:t>
      </w:r>
      <w:r w:rsidR="0011601F">
        <w:t>που</w:t>
      </w:r>
      <w:r w:rsidR="004C635F">
        <w:t xml:space="preserve"> </w:t>
      </w:r>
      <w:r w:rsidRPr="00B321C7">
        <w:t>έχουν αυξήσει σημαντικά το</w:t>
      </w:r>
      <w:r w:rsidR="0011601F">
        <w:t>ν</w:t>
      </w:r>
      <w:r w:rsidRPr="00B321C7">
        <w:t xml:space="preserve"> στρατηγικό ρόλο της βιομηχανίας καλωδίων στην παγκόσμια </w:t>
      </w:r>
      <w:r w:rsidRPr="004C635F">
        <w:t>οικονομία</w:t>
      </w:r>
      <w:r w:rsidR="0011601F">
        <w:t>.  Με τ</w:t>
      </w:r>
      <w:r w:rsidRPr="004C635F">
        <w:t xml:space="preserve">η σειρά τους, </w:t>
      </w:r>
      <w:r w:rsidR="0011601F">
        <w:t xml:space="preserve">οι τάσεις αυτές </w:t>
      </w:r>
      <w:r w:rsidR="001321CB">
        <w:t>κατευθύνουν</w:t>
      </w:r>
      <w:r w:rsidRPr="004C635F">
        <w:t xml:space="preserve"> τα </w:t>
      </w:r>
      <w:r w:rsidR="0011601F">
        <w:t>σημερινά</w:t>
      </w:r>
      <w:r w:rsidRPr="004C635F">
        <w:t xml:space="preserve"> σχέδια </w:t>
      </w:r>
      <w:r w:rsidR="0011601F">
        <w:t xml:space="preserve">παραγωγικής </w:t>
      </w:r>
      <w:r w:rsidR="004C635F" w:rsidRPr="004C635F">
        <w:t>αναβάθμιση</w:t>
      </w:r>
      <w:r w:rsidR="0011601F">
        <w:t>ς</w:t>
      </w:r>
      <w:r w:rsidR="004C635F" w:rsidRPr="004C635F">
        <w:t xml:space="preserve"> </w:t>
      </w:r>
      <w:r w:rsidRPr="004C635F">
        <w:t xml:space="preserve">του τομέα, τροφοδοτώντας το </w:t>
      </w:r>
      <w:r w:rsidR="004C635F" w:rsidRPr="004C635F">
        <w:t>ανεκτέλεστο υπόλοιπο παραγγελιών</w:t>
      </w:r>
      <w:r w:rsidRPr="004C635F">
        <w:t xml:space="preserve"> του.</w:t>
      </w:r>
      <w:r w:rsidRPr="00B321C7">
        <w:t xml:space="preserve"> Τέλος, η ζήτηση για προϊόντα καλωδίων (καλώδια</w:t>
      </w:r>
      <w:r w:rsidR="004C635F">
        <w:t xml:space="preserve"> </w:t>
      </w:r>
      <w:r w:rsidR="00A3043E">
        <w:t>χαμηλής</w:t>
      </w:r>
      <w:r w:rsidRPr="00B321C7">
        <w:t xml:space="preserve"> </w:t>
      </w:r>
      <w:r w:rsidR="004C635F">
        <w:t>και</w:t>
      </w:r>
      <w:r w:rsidR="00A3043E">
        <w:t xml:space="preserve"> μέσης τάσης</w:t>
      </w:r>
      <w:r w:rsidRPr="00B321C7">
        <w:t xml:space="preserve"> και </w:t>
      </w:r>
      <w:r w:rsidR="004C635F">
        <w:t xml:space="preserve">καλώδια </w:t>
      </w:r>
      <w:r w:rsidRPr="00B321C7">
        <w:t xml:space="preserve">τηλεπικοινωνιών) </w:t>
      </w:r>
      <w:bookmarkStart w:id="20" w:name="_Hlk112854582"/>
      <w:bookmarkStart w:id="21" w:name="_Hlk160011032"/>
      <w:bookmarkEnd w:id="17"/>
      <w:r w:rsidRPr="00B321C7">
        <w:t xml:space="preserve">παραμένει ισχυρή και οι παραγγελίες αυξάνονται μέσω της ανάθεσης μακροπρόθεσμων συμβάσεων-πλαισίων. Όλα τα παραπάνω διαμορφώνουν θετικές προοπτικές για τον κλάδο </w:t>
      </w:r>
      <w:r w:rsidR="00377C71">
        <w:t xml:space="preserve">τόσο </w:t>
      </w:r>
      <w:r w:rsidRPr="00B321C7">
        <w:t xml:space="preserve">για το υπόλοιπο του 2024 </w:t>
      </w:r>
      <w:r w:rsidR="00377C71">
        <w:t xml:space="preserve">όσο </w:t>
      </w:r>
      <w:r w:rsidRPr="00B321C7">
        <w:t>και μεσοπρόθεσμα.</w:t>
      </w:r>
    </w:p>
    <w:bookmarkEnd w:id="20"/>
    <w:p w14:paraId="65348E98" w14:textId="304BC365" w:rsidR="007A73DA" w:rsidRDefault="00B321C7" w:rsidP="001A4402">
      <w:pPr>
        <w:spacing w:after="120" w:line="240" w:lineRule="auto"/>
        <w:jc w:val="both"/>
      </w:pPr>
      <w:r w:rsidRPr="00C956E4">
        <w:t xml:space="preserve">Ο </w:t>
      </w:r>
      <w:r w:rsidRPr="001321CB">
        <w:rPr>
          <w:b/>
          <w:bCs/>
        </w:rPr>
        <w:t xml:space="preserve">τομέας των </w:t>
      </w:r>
      <w:r w:rsidR="00A3043E" w:rsidRPr="001321CB">
        <w:rPr>
          <w:b/>
          <w:bCs/>
        </w:rPr>
        <w:t>σωλήνων χάλυβα</w:t>
      </w:r>
      <w:r w:rsidRPr="000C0B04">
        <w:t xml:space="preserve"> </w:t>
      </w:r>
      <w:r w:rsidR="000C0B04" w:rsidRPr="000C0B04">
        <w:t>συνεχίζει την κερδοφόρα πορεία του βασιζόμενος</w:t>
      </w:r>
      <w:r w:rsidRPr="000C0B04">
        <w:t xml:space="preserve"> στην ενισχυμένη θέση του </w:t>
      </w:r>
      <w:r w:rsidR="000C0B04" w:rsidRPr="000C0B04">
        <w:t xml:space="preserve">στις διεθνείς αγορές και την </w:t>
      </w:r>
      <w:r w:rsidRPr="000C0B04">
        <w:t xml:space="preserve">υψηλή </w:t>
      </w:r>
      <w:r w:rsidR="004F233B" w:rsidRPr="000C0B04">
        <w:t>αξιοποίηση</w:t>
      </w:r>
      <w:r w:rsidRPr="000C0B04">
        <w:t xml:space="preserve"> της παραγωγικής </w:t>
      </w:r>
      <w:r w:rsidR="000C0B04" w:rsidRPr="000C0B04">
        <w:t xml:space="preserve">του </w:t>
      </w:r>
      <w:r w:rsidRPr="000C0B04">
        <w:t>ικανότητας</w:t>
      </w:r>
      <w:r w:rsidR="000C0B04" w:rsidRPr="000C0B04">
        <w:t xml:space="preserve">, ενώ ταυτόχρονα υλοποιεί </w:t>
      </w:r>
      <w:r w:rsidRPr="000C0B04">
        <w:t>νέες επενδύσεις για τη βελτίωση και αύξησ</w:t>
      </w:r>
      <w:r w:rsidR="0011601F">
        <w:t>ή της</w:t>
      </w:r>
      <w:r w:rsidR="000C0B04">
        <w:t xml:space="preserve">, </w:t>
      </w:r>
      <w:r w:rsidR="0011601F">
        <w:t xml:space="preserve">που </w:t>
      </w:r>
      <w:r w:rsidR="000C0B04">
        <w:t>αναμέν</w:t>
      </w:r>
      <w:r w:rsidR="0011601F">
        <w:t>ε</w:t>
      </w:r>
      <w:r w:rsidR="000C0B04">
        <w:t>ται να έχουν ολοκληρωθεί έως το τέλος του έτους</w:t>
      </w:r>
      <w:r w:rsidRPr="000C0B04">
        <w:t>.</w:t>
      </w:r>
      <w:r w:rsidRPr="00B321C7">
        <w:t xml:space="preserve"> </w:t>
      </w:r>
      <w:r w:rsidR="007A73DA" w:rsidRPr="007A73DA">
        <w:t>Κοιτώντας μπροστά, η Σωληνουργεία Κορίνθου υπολογίζει</w:t>
      </w:r>
      <w:r w:rsidRPr="00B321C7">
        <w:t xml:space="preserve"> ότι </w:t>
      </w:r>
      <w:r w:rsidR="007A73DA">
        <w:t>η αγορά</w:t>
      </w:r>
      <w:r w:rsidRPr="00B321C7">
        <w:t xml:space="preserve"> των </w:t>
      </w:r>
      <w:r w:rsidR="007A73DA">
        <w:t xml:space="preserve">αερίων </w:t>
      </w:r>
      <w:r w:rsidRPr="00B321C7">
        <w:t xml:space="preserve">καυσίμων θα συνεχίσει να </w:t>
      </w:r>
      <w:r w:rsidR="0011601F">
        <w:t>αναπτύσσεται</w:t>
      </w:r>
      <w:r w:rsidRPr="00B321C7">
        <w:t xml:space="preserve"> </w:t>
      </w:r>
      <w:r w:rsidR="007A73DA">
        <w:t xml:space="preserve">καθώς θα αποτελέσει </w:t>
      </w:r>
      <w:r w:rsidRPr="00B321C7">
        <w:t>το κύριο μεταβατικό καύσιμο</w:t>
      </w:r>
      <w:r w:rsidR="007A73DA">
        <w:t xml:space="preserve"> και θα οδηγήσει βραχυπρόθεσμα σε</w:t>
      </w:r>
      <w:r w:rsidR="007A73DA" w:rsidRPr="007A73DA">
        <w:t xml:space="preserve"> </w:t>
      </w:r>
      <w:r w:rsidR="007A73DA" w:rsidRPr="00B321C7">
        <w:t>έργα</w:t>
      </w:r>
      <w:r w:rsidR="007A73DA" w:rsidRPr="00735194">
        <w:t xml:space="preserve"> </w:t>
      </w:r>
      <w:r w:rsidR="007A73DA" w:rsidRPr="00937FBD">
        <w:rPr>
          <w:rFonts w:asciiTheme="minorHAnsi" w:hAnsiTheme="minorHAnsi" w:cstheme="minorHAnsi"/>
          <w:szCs w:val="20"/>
        </w:rPr>
        <w:t>αγωγ</w:t>
      </w:r>
      <w:r w:rsidR="007A73DA">
        <w:rPr>
          <w:rFonts w:asciiTheme="minorHAnsi" w:hAnsiTheme="minorHAnsi" w:cstheme="minorHAnsi"/>
          <w:szCs w:val="20"/>
        </w:rPr>
        <w:t xml:space="preserve">ών </w:t>
      </w:r>
      <w:r w:rsidR="007A73DA" w:rsidRPr="00E540C6">
        <w:t>δέσμευση</w:t>
      </w:r>
      <w:r w:rsidR="007A73DA">
        <w:t>ς</w:t>
      </w:r>
      <w:r w:rsidR="007A73DA" w:rsidRPr="00E540C6">
        <w:t xml:space="preserve"> και αποθήκευση</w:t>
      </w:r>
      <w:r w:rsidR="007A73DA">
        <w:t>ς</w:t>
      </w:r>
      <w:r w:rsidR="007A73DA" w:rsidRPr="00E540C6">
        <w:t xml:space="preserve"> </w:t>
      </w:r>
      <w:r w:rsidR="007A73DA">
        <w:t xml:space="preserve">διοξειδίου του </w:t>
      </w:r>
      <w:r w:rsidR="007A73DA" w:rsidRPr="00E540C6">
        <w:t>άνθρακα</w:t>
      </w:r>
      <w:r w:rsidR="007A73DA" w:rsidRPr="00B321C7">
        <w:t xml:space="preserve"> </w:t>
      </w:r>
      <w:r w:rsidR="007A73DA">
        <w:t>(</w:t>
      </w:r>
      <w:r w:rsidR="007A73DA" w:rsidRPr="00B321C7">
        <w:rPr>
          <w:lang w:val="en-GB"/>
        </w:rPr>
        <w:t>CCS</w:t>
      </w:r>
      <w:r w:rsidR="007A73DA">
        <w:t>)</w:t>
      </w:r>
      <w:r w:rsidR="007A73DA" w:rsidRPr="007A73DA">
        <w:t xml:space="preserve"> </w:t>
      </w:r>
      <w:r w:rsidR="007A73DA" w:rsidRPr="00B321C7">
        <w:t>και μεσοπρόθεσμα</w:t>
      </w:r>
      <w:r w:rsidR="007A73DA">
        <w:t xml:space="preserve"> σε</w:t>
      </w:r>
      <w:r w:rsidR="007A73DA" w:rsidRPr="007A73DA">
        <w:t xml:space="preserve"> </w:t>
      </w:r>
      <w:r w:rsidR="007A73DA" w:rsidRPr="00B321C7">
        <w:t>έργα υποδομής υδρογόνου</w:t>
      </w:r>
      <w:r w:rsidR="007A73DA">
        <w:t xml:space="preserve">. </w:t>
      </w:r>
      <w:r w:rsidR="007A73DA" w:rsidRPr="007A73DA">
        <w:t xml:space="preserve">Η βελτίωση των συνθηκών αγοράς συμβάλλει και στην ενίσχυση του ανεκτέλεστου υπολοίπου, τροφοδοτώντας θετικές προοπτικές για </w:t>
      </w:r>
      <w:r w:rsidR="007A73DA" w:rsidRPr="00B321C7">
        <w:t>το δεύτερο εξάμηνο του έτους</w:t>
      </w:r>
      <w:r w:rsidR="007A73DA">
        <w:t>.</w:t>
      </w:r>
    </w:p>
    <w:p w14:paraId="2B4C24DA" w14:textId="56755890" w:rsidR="00F576EF" w:rsidRDefault="00340E23" w:rsidP="00F576EF">
      <w:pPr>
        <w:spacing w:after="120" w:line="240" w:lineRule="auto"/>
        <w:jc w:val="both"/>
      </w:pPr>
      <w:r w:rsidRPr="00340E23">
        <w:t xml:space="preserve">Με δεδομένο </w:t>
      </w:r>
      <w:r>
        <w:t xml:space="preserve">τόσο </w:t>
      </w:r>
      <w:r w:rsidRPr="00B321C7">
        <w:t xml:space="preserve">το ισχυρό ανεκτέλεστο υπόλοιπο παραγγελιών και </w:t>
      </w:r>
      <w:r w:rsidR="0011601F">
        <w:t>στ</w:t>
      </w:r>
      <w:r w:rsidRPr="00B321C7">
        <w:t xml:space="preserve">ους δύο τομείς που παρέχει </w:t>
      </w:r>
      <w:r w:rsidR="0011601F">
        <w:t xml:space="preserve">μια καθαρή </w:t>
      </w:r>
      <w:r>
        <w:t xml:space="preserve">εικόνα </w:t>
      </w:r>
      <w:r w:rsidRPr="00B321C7">
        <w:t>για τις μελλοντικές επιδόσεις</w:t>
      </w:r>
      <w:r>
        <w:t xml:space="preserve"> </w:t>
      </w:r>
      <w:r w:rsidR="007E1366">
        <w:t>του Ομίλου</w:t>
      </w:r>
      <w:r w:rsidR="0011601F">
        <w:t>,</w:t>
      </w:r>
      <w:r w:rsidR="007E1366">
        <w:t xml:space="preserve"> </w:t>
      </w:r>
      <w:r>
        <w:t>όσο</w:t>
      </w:r>
      <w:r w:rsidRPr="00B321C7">
        <w:t xml:space="preserve"> και την ισχυρή κερδοφορία που καταγράφηκε στο πρώτο εξάμηνο του 2024, η </w:t>
      </w:r>
      <w:r w:rsidRPr="00B321C7">
        <w:rPr>
          <w:lang w:val="en-GB"/>
        </w:rPr>
        <w:t>Cenergy</w:t>
      </w:r>
      <w:r w:rsidRPr="00B321C7">
        <w:t xml:space="preserve"> </w:t>
      </w:r>
      <w:r w:rsidRPr="00B321C7">
        <w:rPr>
          <w:lang w:val="en-GB"/>
        </w:rPr>
        <w:t>Holdings</w:t>
      </w:r>
      <w:r w:rsidRPr="00B321C7">
        <w:t xml:space="preserve"> αναμένει</w:t>
      </w:r>
      <w:r>
        <w:t xml:space="preserve"> ανα</w:t>
      </w:r>
      <w:r w:rsidRPr="00B321C7">
        <w:t xml:space="preserve">προσαρμοσμένο </w:t>
      </w:r>
      <w:r w:rsidRPr="00B321C7">
        <w:rPr>
          <w:lang w:val="en-GB"/>
        </w:rPr>
        <w:t>EBITDA</w:t>
      </w:r>
      <w:r>
        <w:t xml:space="preserve"> </w:t>
      </w:r>
      <w:r w:rsidRPr="00340E23">
        <w:t>της τάξης των</w:t>
      </w:r>
      <w:r>
        <w:t xml:space="preserve"> </w:t>
      </w:r>
      <w:r w:rsidRPr="00B321C7">
        <w:t>245 - 265 εκατ. ευρώ για τη χρήση 2024</w:t>
      </w:r>
      <w:r>
        <w:t xml:space="preserve">. </w:t>
      </w:r>
      <w:r w:rsidRPr="00B321C7">
        <w:t xml:space="preserve">Οι οικονομικές προοπτικές </w:t>
      </w:r>
      <w:r>
        <w:t>στηρίζονται</w:t>
      </w:r>
      <w:r w:rsidRPr="00B321C7">
        <w:t xml:space="preserve"> σε διάφορες παραδοχές, όπως (α) </w:t>
      </w:r>
      <w:r>
        <w:t>η</w:t>
      </w:r>
      <w:r w:rsidRPr="00B321C7">
        <w:t xml:space="preserve"> ομαλή εκτέλεση των ενεργειακών έργων και στους δύο τομείς, (β) </w:t>
      </w:r>
      <w:r>
        <w:t>η</w:t>
      </w:r>
      <w:r w:rsidRPr="00B321C7">
        <w:t xml:space="preserve"> έγκαιρη και ικανοποιητική εκτέλεση των προγραμματισμένων επεκτάσεων της παραγωγικής ικανότητας, (γ) </w:t>
      </w:r>
      <w:r>
        <w:t>η</w:t>
      </w:r>
      <w:r w:rsidRPr="00B321C7">
        <w:t xml:space="preserve"> ισχυρή ζήτηση για προϊόντα καλωδίων και (</w:t>
      </w:r>
      <w:r>
        <w:t>δ</w:t>
      </w:r>
      <w:r w:rsidRPr="00B321C7">
        <w:t xml:space="preserve">) </w:t>
      </w:r>
      <w:r>
        <w:t>ο</w:t>
      </w:r>
      <w:r w:rsidRPr="00340E23">
        <w:rPr>
          <w:rFonts w:ascii="Times New Roman" w:hAnsi="Times New Roman"/>
          <w:color w:val="000000"/>
          <w:sz w:val="24"/>
          <w:szCs w:val="24"/>
        </w:rPr>
        <w:t xml:space="preserve"> </w:t>
      </w:r>
      <w:r w:rsidRPr="00340E23">
        <w:t>περιορισμένο</w:t>
      </w:r>
      <w:r>
        <w:t>ς</w:t>
      </w:r>
      <w:r w:rsidRPr="00340E23">
        <w:t xml:space="preserve"> οικονομικό</w:t>
      </w:r>
      <w:r>
        <w:t>ς</w:t>
      </w:r>
      <w:r w:rsidRPr="00340E23">
        <w:t xml:space="preserve"> αντίκτυπο</w:t>
      </w:r>
      <w:r>
        <w:t>ς</w:t>
      </w:r>
      <w:r w:rsidRPr="00B321C7">
        <w:t xml:space="preserve"> από ένα αβέβαιο παγκόσμιο γεωπολιτικό και μακροοικονομικό περιβάλλον, </w:t>
      </w:r>
      <w:r w:rsidR="00FC0F38">
        <w:t xml:space="preserve">από τις </w:t>
      </w:r>
      <w:r w:rsidRPr="00B321C7">
        <w:t>υψηλές πληθωριστικές πιέσεις</w:t>
      </w:r>
      <w:r w:rsidR="00FC0F38">
        <w:t xml:space="preserve"> και τέλος από τις</w:t>
      </w:r>
      <w:r w:rsidRPr="00B321C7">
        <w:t xml:space="preserve"> </w:t>
      </w:r>
      <w:r w:rsidR="00FC0F38">
        <w:t xml:space="preserve">ή/και </w:t>
      </w:r>
      <w:r w:rsidRPr="00B321C7">
        <w:t xml:space="preserve">προκλήσεις ή/και πιθανές διαταραχές στην </w:t>
      </w:r>
      <w:r>
        <w:t>εφοδιαστική αλυσίδα</w:t>
      </w:r>
      <w:r w:rsidRPr="00B321C7">
        <w:t>.</w:t>
      </w:r>
      <w:bookmarkEnd w:id="18"/>
      <w:bookmarkEnd w:id="21"/>
    </w:p>
    <w:p w14:paraId="6BA7EFBC" w14:textId="387F09FD" w:rsidR="00F576EF" w:rsidRDefault="00F576EF" w:rsidP="00B63450">
      <w:pPr>
        <w:spacing w:after="120" w:line="240" w:lineRule="auto"/>
        <w:jc w:val="both"/>
      </w:pPr>
      <w:r>
        <w:t xml:space="preserve">Επιπλέον, </w:t>
      </w:r>
      <w:r w:rsidR="00C07A3A">
        <w:t xml:space="preserve">η Cenergy Holdings λαμβάνοντας υπόψιν </w:t>
      </w:r>
      <w:r>
        <w:t xml:space="preserve">την ισχυρή απόδοση </w:t>
      </w:r>
      <w:r w:rsidR="0011601F">
        <w:t>των θυγατρικών της</w:t>
      </w:r>
      <w:r>
        <w:t xml:space="preserve">, τις </w:t>
      </w:r>
      <w:r w:rsidRPr="00F576EF">
        <w:t>ευνοϊκές</w:t>
      </w:r>
      <w:r>
        <w:t xml:space="preserve"> προοπτικές της αγοράς, τις μακροχρόνιες μεγάλες τάσεις στην ηλεκτροδότηση και την πράσινη ενέργεια</w:t>
      </w:r>
      <w:r w:rsidR="00C07A3A">
        <w:t xml:space="preserve"> </w:t>
      </w:r>
      <w:r w:rsidR="002717DF">
        <w:t xml:space="preserve">καθώς </w:t>
      </w:r>
      <w:r>
        <w:t xml:space="preserve">και </w:t>
      </w:r>
      <w:r w:rsidR="00C07A3A">
        <w:t>το</w:t>
      </w:r>
      <w:r>
        <w:t xml:space="preserve"> ισχυρό ανεκτέλεστο υπόλοιπο παραγγελιών, </w:t>
      </w:r>
      <w:r w:rsidR="0011601F">
        <w:t xml:space="preserve">φιλοδοξεί να επιτύχει μεσοπρόθεσμα </w:t>
      </w:r>
      <w:r w:rsidR="007E6BB2">
        <w:t>οικονομικές επιδόσεις</w:t>
      </w:r>
      <w:r>
        <w:t xml:space="preserve">, </w:t>
      </w:r>
      <w:r w:rsidR="007E6BB2">
        <w:t>οι οποίες</w:t>
      </w:r>
      <w:r>
        <w:t xml:space="preserve"> περιλαμβάνουν</w:t>
      </w:r>
      <w:r w:rsidR="007E6BB2">
        <w:t xml:space="preserve"> οργανική </w:t>
      </w:r>
      <w:r>
        <w:t xml:space="preserve">αύξηση </w:t>
      </w:r>
      <w:r w:rsidR="007E6BB2">
        <w:t>των πωλήσεων</w:t>
      </w:r>
      <w:r>
        <w:t xml:space="preserve"> άνω του 12% ετησίως και</w:t>
      </w:r>
      <w:r w:rsidR="007E6BB2">
        <w:t xml:space="preserve"> </w:t>
      </w:r>
      <w:r w:rsidR="0011601F">
        <w:t xml:space="preserve">ετήσιο </w:t>
      </w:r>
      <w:r w:rsidR="007E6BB2">
        <w:t>ανα</w:t>
      </w:r>
      <w:r>
        <w:t xml:space="preserve">προσαρμοσμένο EBITDA </w:t>
      </w:r>
      <w:r w:rsidR="0011601F">
        <w:t xml:space="preserve">μεταξύ </w:t>
      </w:r>
      <w:r>
        <w:t xml:space="preserve">380 – 420 εκατ. </w:t>
      </w:r>
      <w:r w:rsidR="001B7FC5">
        <w:t>ε</w:t>
      </w:r>
      <w:r>
        <w:t>υρώ.</w:t>
      </w:r>
    </w:p>
    <w:p w14:paraId="4E64802B" w14:textId="77777777" w:rsidR="00F576EF" w:rsidRPr="00BE09F4" w:rsidRDefault="00F576EF" w:rsidP="00F576EF">
      <w:pPr>
        <w:keepNext/>
        <w:keepLines/>
        <w:spacing w:after="120" w:line="240" w:lineRule="auto"/>
        <w:jc w:val="both"/>
        <w:outlineLvl w:val="1"/>
        <w:rPr>
          <w:rFonts w:eastAsia="SimSun" w:cs="Calibri"/>
          <w:b/>
          <w:bCs/>
          <w:color w:val="4F6228"/>
          <w:sz w:val="24"/>
          <w:szCs w:val="24"/>
        </w:rPr>
      </w:pPr>
      <w:bookmarkStart w:id="22" w:name="_Hlk174365374"/>
      <w:r w:rsidRPr="00136629">
        <w:rPr>
          <w:rFonts w:eastAsia="SimSun" w:cs="Calibri"/>
          <w:b/>
          <w:bCs/>
          <w:color w:val="4F6228"/>
          <w:sz w:val="24"/>
          <w:szCs w:val="24"/>
        </w:rPr>
        <w:t>Μεταγενέστερα Γεγονότα</w:t>
      </w:r>
    </w:p>
    <w:p w14:paraId="70461467" w14:textId="77777777" w:rsidR="008D50A9" w:rsidRPr="00541CEC" w:rsidRDefault="008D50A9" w:rsidP="008D50A9">
      <w:pPr>
        <w:autoSpaceDE w:val="0"/>
        <w:autoSpaceDN w:val="0"/>
        <w:adjustRightInd w:val="0"/>
        <w:spacing w:after="120" w:line="240" w:lineRule="auto"/>
        <w:jc w:val="both"/>
        <w:rPr>
          <w:rFonts w:cs="Calibri"/>
          <w:szCs w:val="20"/>
        </w:rPr>
      </w:pPr>
      <w:bookmarkStart w:id="23" w:name="_Hlk174365349"/>
      <w:bookmarkEnd w:id="19"/>
      <w:bookmarkEnd w:id="22"/>
      <w:r w:rsidRPr="009363E3">
        <w:rPr>
          <w:rFonts w:cs="Calibri"/>
          <w:szCs w:val="20"/>
        </w:rPr>
        <w:t xml:space="preserve">Στις 23 Ιουλίου 2024, το Διοικητικό Συμβούλιο της Cenergy Holdings </w:t>
      </w:r>
      <w:r w:rsidRPr="00541CEC">
        <w:rPr>
          <w:rFonts w:cs="Calibri"/>
          <w:szCs w:val="20"/>
        </w:rPr>
        <w:t xml:space="preserve">ενέκρινε να προχωρήσει σε πρόγραμμα επαναγοράς ιδίων μετοχών στο </w:t>
      </w:r>
      <w:proofErr w:type="spellStart"/>
      <w:r w:rsidRPr="00541CEC">
        <w:rPr>
          <w:rFonts w:cs="Calibri"/>
          <w:szCs w:val="20"/>
        </w:rPr>
        <w:t>Euronext</w:t>
      </w:r>
      <w:proofErr w:type="spellEnd"/>
      <w:r w:rsidRPr="00541CEC">
        <w:rPr>
          <w:rFonts w:cs="Calibri"/>
          <w:szCs w:val="20"/>
        </w:rPr>
        <w:t xml:space="preserve"> Βρυξελλών και στο Χρηματιστήριο Αθηνών, κατ' ανώτατο όριο 120.000 μετοχών της Εταιρείας, που θα αποκτηθούν </w:t>
      </w:r>
      <w:r w:rsidRPr="00C21619">
        <w:rPr>
          <w:rFonts w:cs="Calibri"/>
          <w:szCs w:val="20"/>
        </w:rPr>
        <w:t>κατά διαστήματα</w:t>
      </w:r>
      <w:r>
        <w:rPr>
          <w:rFonts w:cs="Calibri"/>
          <w:szCs w:val="20"/>
        </w:rPr>
        <w:t xml:space="preserve"> </w:t>
      </w:r>
      <w:r w:rsidRPr="00810365">
        <w:rPr>
          <w:rFonts w:cs="Calibri"/>
          <w:szCs w:val="20"/>
        </w:rPr>
        <w:t>μέσω μιας ή περισσότερων συναλλαγών</w:t>
      </w:r>
      <w:r w:rsidRPr="00541CEC">
        <w:rPr>
          <w:rFonts w:cs="Calibri"/>
          <w:szCs w:val="20"/>
        </w:rPr>
        <w:t xml:space="preserve">, όπως απαιτείται, και </w:t>
      </w:r>
      <w:r>
        <w:rPr>
          <w:rFonts w:cs="Calibri"/>
          <w:szCs w:val="20"/>
        </w:rPr>
        <w:t>με</w:t>
      </w:r>
      <w:r w:rsidRPr="00541CEC">
        <w:rPr>
          <w:rFonts w:cs="Calibri"/>
          <w:szCs w:val="20"/>
        </w:rPr>
        <w:t xml:space="preserve"> μέγιστο συνολικό ποσό 1,3 εκ. ευρώ, το οποίο θα εκτελεστεί εντός των επόμενων έξι (6) μηνών. Το πρόγραμμα επαναγοράς ιδίων μετοχών </w:t>
      </w:r>
      <w:r>
        <w:rPr>
          <w:rFonts w:cs="Calibri"/>
          <w:szCs w:val="20"/>
        </w:rPr>
        <w:t xml:space="preserve">εφαρμόζεται </w:t>
      </w:r>
      <w:r w:rsidRPr="00541CEC">
        <w:rPr>
          <w:rFonts w:cs="Calibri"/>
          <w:szCs w:val="20"/>
        </w:rPr>
        <w:t xml:space="preserve">σύμφωνα με τις βέλτιστες πρακτικές του κλάδου και σε συμμόρφωση με τους ισχύοντες κανόνες και κανονισμούς επαναγοράς ιδίων μετοχών. Για το σκοπό αυτό, για την επαναγορά </w:t>
      </w:r>
      <w:r>
        <w:rPr>
          <w:rFonts w:cs="Calibri"/>
          <w:szCs w:val="20"/>
        </w:rPr>
        <w:t>έχουν οριστεί</w:t>
      </w:r>
      <w:r w:rsidRPr="00541CEC">
        <w:rPr>
          <w:rFonts w:cs="Calibri"/>
          <w:szCs w:val="20"/>
        </w:rPr>
        <w:t xml:space="preserve"> δύο ανεξάρτητοι χρηματοπιστωτικοί διαμεσολαβητές με εντολή να ενεργούν κατά τη διακριτική τους ευχέρεια. Ο ακριβής χρόνος της επαναγοράς ιδίων μετοχών σύμφωνα με το πρόγραμμα θα εξαρτηθεί από διάφορους παράγοντες, συμπεριλαμβανομένων των συνθηκών της αγοράς.</w:t>
      </w:r>
    </w:p>
    <w:p w14:paraId="4B89A84E" w14:textId="77777777" w:rsidR="008D50A9" w:rsidRPr="00541CEC" w:rsidRDefault="008D50A9" w:rsidP="008D50A9">
      <w:pPr>
        <w:autoSpaceDE w:val="0"/>
        <w:autoSpaceDN w:val="0"/>
        <w:adjustRightInd w:val="0"/>
        <w:spacing w:after="120" w:line="240" w:lineRule="auto"/>
        <w:jc w:val="both"/>
        <w:rPr>
          <w:rFonts w:cs="Calibri"/>
          <w:szCs w:val="20"/>
        </w:rPr>
      </w:pPr>
      <w:r w:rsidRPr="00541CEC">
        <w:rPr>
          <w:rFonts w:cs="Calibri"/>
          <w:szCs w:val="20"/>
        </w:rPr>
        <w:t>Κατά τη διάρκεια του προγράμματος επαναγοράς ιδίων μετοχών, η Εταιρεία δημοσιεύει τακτικά δελτία τύπου με ενημερώσεις σχετικά με την πρόοδο που έχει σημειωθεί (εάν υπάρχει) όπως απαιτείται από την ισχύουσα νομοθεσία. Αυτές οι πληροφορίες είναι επίσης διαθέσιμες στο</w:t>
      </w:r>
      <w:r>
        <w:rPr>
          <w:rFonts w:cs="Calibri"/>
          <w:szCs w:val="20"/>
        </w:rPr>
        <w:t xml:space="preserve"> διαδικτυακό</w:t>
      </w:r>
      <w:r w:rsidRPr="00541CEC">
        <w:rPr>
          <w:rFonts w:cs="Calibri"/>
          <w:szCs w:val="20"/>
        </w:rPr>
        <w:t xml:space="preserve"> ιστότοπο της Εταιρείας στην ενότητα «Επενδυτές» </w:t>
      </w:r>
      <w:r w:rsidRPr="00BD1026">
        <w:rPr>
          <w:rFonts w:asciiTheme="minorHAnsi" w:hAnsiTheme="minorHAnsi"/>
        </w:rPr>
        <w:t>(</w:t>
      </w:r>
      <w:hyperlink r:id="rId14" w:history="1">
        <w:r w:rsidRPr="000206A5">
          <w:rPr>
            <w:rStyle w:val="-"/>
            <w:rFonts w:asciiTheme="minorHAnsi" w:hAnsiTheme="minorHAnsi"/>
          </w:rPr>
          <w:t>https://cenergyholdings.com/investors/</w:t>
        </w:r>
      </w:hyperlink>
      <w:r w:rsidRPr="00BD1026">
        <w:rPr>
          <w:rFonts w:asciiTheme="minorHAnsi" w:hAnsiTheme="minorHAnsi"/>
        </w:rPr>
        <w:t>)</w:t>
      </w:r>
      <w:r w:rsidRPr="00541CEC">
        <w:rPr>
          <w:rFonts w:cs="Calibri"/>
          <w:szCs w:val="20"/>
        </w:rPr>
        <w:t xml:space="preserve">. Η παρούσα πρόθεσή της Εταιρείας είναι να διατηρήσει τις μετοχές που αποκτήθηκαν ως ίδιες μετοχές για να επιτραπεί η χορήγηση αμοιβής σε μετοχές με βάση προκαθορισμένα κριτήρια απόδοσης, όπως ορίζεται στην εγκεκριμένη πολιτική αποδοχών της Εταιρείας. Το πρόγραμμα </w:t>
      </w:r>
      <w:r>
        <w:rPr>
          <w:rFonts w:cs="Calibri"/>
          <w:szCs w:val="20"/>
        </w:rPr>
        <w:t>εκτελείται</w:t>
      </w:r>
      <w:r w:rsidRPr="00541CEC">
        <w:rPr>
          <w:rFonts w:cs="Calibri"/>
          <w:szCs w:val="20"/>
        </w:rPr>
        <w:t xml:space="preserve"> σύμφωνα με τις εξουσίες που παραχωρήθηκαν στη Γενική Συνέλευση των Μετόχων στις 28 Μαΐου 2024 και το άρθρο 7α του Καταστατικού.</w:t>
      </w:r>
    </w:p>
    <w:bookmarkEnd w:id="23"/>
    <w:p w14:paraId="5D7736D9" w14:textId="77777777" w:rsidR="009410DF" w:rsidRPr="00B36025" w:rsidRDefault="009410DF" w:rsidP="009410DF">
      <w:pPr>
        <w:spacing w:after="120" w:line="240" w:lineRule="auto"/>
        <w:jc w:val="both"/>
        <w:rPr>
          <w:rFonts w:eastAsia="SimSun" w:cs="Calibri"/>
          <w:b/>
          <w:bCs/>
          <w:color w:val="4F6228"/>
          <w:sz w:val="24"/>
          <w:szCs w:val="24"/>
        </w:rPr>
      </w:pPr>
      <w:r w:rsidRPr="00B36025">
        <w:rPr>
          <w:rFonts w:eastAsia="SimSun" w:cs="Calibri"/>
          <w:b/>
          <w:bCs/>
          <w:color w:val="4F6228"/>
          <w:sz w:val="24"/>
          <w:szCs w:val="24"/>
        </w:rPr>
        <w:t xml:space="preserve">Έκθεση του Ελεγκτή </w:t>
      </w:r>
    </w:p>
    <w:p w14:paraId="540FC0AC" w14:textId="788655DD" w:rsidR="00735194" w:rsidRDefault="00735194" w:rsidP="0011601F">
      <w:pPr>
        <w:spacing w:after="120" w:line="240" w:lineRule="auto"/>
        <w:jc w:val="both"/>
      </w:pPr>
      <w:r w:rsidRPr="005C47EC">
        <w:t>Όλα τα στοιχεία και οι πίνακες που περιέχονται στο παρόν δελτίο τύπου έχουν αντληθεί από τις μη ελεγμένες συνοπτικές ενοποιημένες ενδιάμεσες οικονομικές καταστάσεις της Cenergy Holdings για το πρώτο εξάμηνο του 202</w:t>
      </w:r>
      <w:r w:rsidR="0081470E" w:rsidRPr="0081470E">
        <w:t>4</w:t>
      </w:r>
      <w:r w:rsidRPr="005C47EC">
        <w:t>, οι οποίες έχουν συνταχθεί σύμφωνα με το ΔΛΠ 34 Ενδιάμεση χρηματοοικονομική πληροφόρηση, όπως έχει υιοθετηθεί από την Ευρωπαϊκή Ένωση.</w:t>
      </w:r>
    </w:p>
    <w:p w14:paraId="0E10669D" w14:textId="5964D02E" w:rsidR="00735194" w:rsidRDefault="00735194" w:rsidP="0011601F">
      <w:pPr>
        <w:spacing w:after="120" w:line="240" w:lineRule="auto"/>
        <w:jc w:val="both"/>
      </w:pPr>
      <w:r w:rsidRPr="005C47EC">
        <w:t xml:space="preserve">Ο νόμιμος ελεγκτής, PwC Bedrijfsrevisoren BV / Reviseurs d'Entreprises SRL, εκπροσωπούμενος από τον </w:t>
      </w:r>
      <w:r w:rsidR="00CB32FE" w:rsidRPr="00CB32FE">
        <w:t>Alexis Van Bavel</w:t>
      </w:r>
      <w:r w:rsidRPr="005C47EC">
        <w:t xml:space="preserve">, έχει επισκοπήσει αυτές τις συνοπτικές ενοποιημένες ενδιάμεσες οικονομικές καταστάσεις και κατέληξε στο συμπέρασμα ότι με βάση την επισκόπηση, δεν έχει </w:t>
      </w:r>
      <w:r>
        <w:t>περιέλθει τίποτα</w:t>
      </w:r>
      <w:r w:rsidRPr="005C47EC">
        <w:t xml:space="preserve"> στην αντίληψή του που </w:t>
      </w:r>
      <w:r>
        <w:t>θ</w:t>
      </w:r>
      <w:r w:rsidRPr="005C47EC">
        <w:t xml:space="preserve">α </w:t>
      </w:r>
      <w:r>
        <w:t>τους έκανε</w:t>
      </w:r>
      <w:r w:rsidRPr="005C47EC">
        <w:t xml:space="preserve"> να πιστεύουν ότι οι συνοπτικές ενοποιημένες ενδιάμεσες οικονομικές πληροφορίες δεν έχουν καταρτιστεί, από κάθε ουσιώδη άποψη, σύμφωνα με το ΔΛΠ 34, όπως έχει υιοθετηθεί από την Ευρωπαϊκή Ένωση. </w:t>
      </w:r>
    </w:p>
    <w:p w14:paraId="4C91665B" w14:textId="77039F38" w:rsidR="00735194" w:rsidRPr="00630264" w:rsidRDefault="00735194" w:rsidP="0011601F">
      <w:pPr>
        <w:spacing w:after="120" w:line="240" w:lineRule="auto"/>
        <w:jc w:val="both"/>
        <w:rPr>
          <w:rStyle w:val="-"/>
        </w:rPr>
      </w:pPr>
      <w:r w:rsidRPr="005C47EC">
        <w:t>Για τις συνοπτικές ενοποιημένες ενδιάμεσες οικονομικές καταστάσεις του πρώτου εξαμήνου του 202</w:t>
      </w:r>
      <w:r>
        <w:t>4</w:t>
      </w:r>
      <w:r w:rsidRPr="005C47EC">
        <w:t xml:space="preserve"> και την έκθεση επισκόπησης του νόμιμου ελεγκτή, ανατρέξτε στην ιστοσελίδα της Cenergy Holdings </w:t>
      </w:r>
      <w:hyperlink r:id="rId15" w:history="1">
        <w:r w:rsidRPr="00630264">
          <w:rPr>
            <w:rStyle w:val="-"/>
          </w:rPr>
          <w:t>www.cenergyholdings.com</w:t>
        </w:r>
      </w:hyperlink>
      <w:r w:rsidRPr="00630264">
        <w:rPr>
          <w:rStyle w:val="-"/>
        </w:rPr>
        <w:t>.</w:t>
      </w:r>
    </w:p>
    <w:p w14:paraId="10BF9E6D" w14:textId="35BB439B" w:rsidR="00735194" w:rsidRDefault="00735194" w:rsidP="0011601F">
      <w:pPr>
        <w:spacing w:before="120" w:after="120" w:line="240" w:lineRule="auto"/>
        <w:rPr>
          <w:rFonts w:eastAsia="SimSun" w:cs="Calibri"/>
          <w:b/>
          <w:bCs/>
          <w:color w:val="4F6228"/>
          <w:sz w:val="24"/>
          <w:szCs w:val="24"/>
        </w:rPr>
      </w:pPr>
      <w:bookmarkStart w:id="24" w:name="_Hlk159577407"/>
      <w:r w:rsidRPr="00136629">
        <w:rPr>
          <w:rFonts w:eastAsia="SimSun" w:cs="Calibri"/>
          <w:b/>
          <w:bCs/>
          <w:color w:val="4F6228"/>
          <w:sz w:val="24"/>
          <w:szCs w:val="24"/>
        </w:rPr>
        <w:t>Οικονομικό</w:t>
      </w:r>
      <w:r w:rsidRPr="00136629">
        <w:rPr>
          <w:rFonts w:eastAsia="SimSun" w:cs="Calibri"/>
          <w:b/>
          <w:bCs/>
          <w:color w:val="4F6228"/>
          <w:sz w:val="24"/>
          <w:szCs w:val="24"/>
          <w:lang w:val="en-GB"/>
        </w:rPr>
        <w:t xml:space="preserve"> </w:t>
      </w:r>
      <w:r w:rsidRPr="00136629">
        <w:rPr>
          <w:rFonts w:eastAsia="SimSun" w:cs="Calibri"/>
          <w:b/>
          <w:bCs/>
          <w:color w:val="4F6228"/>
          <w:sz w:val="24"/>
          <w:szCs w:val="24"/>
        </w:rPr>
        <w:t>ημερολόγιο</w:t>
      </w:r>
    </w:p>
    <w:tbl>
      <w:tblPr>
        <w:tblStyle w:val="GridTable4-Accent61"/>
        <w:tblW w:w="5000" w:type="pct"/>
        <w:tblLook w:val="04A0" w:firstRow="1" w:lastRow="0" w:firstColumn="1" w:lastColumn="0" w:noHBand="0" w:noVBand="1"/>
      </w:tblPr>
      <w:tblGrid>
        <w:gridCol w:w="7135"/>
        <w:gridCol w:w="2833"/>
      </w:tblGrid>
      <w:tr w:rsidR="00B63450" w:rsidRPr="008414D9" w14:paraId="0C10AC63" w14:textId="77777777" w:rsidTr="00CB37C3">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3579" w:type="pct"/>
            <w:shd w:val="clear" w:color="auto" w:fill="385623" w:themeFill="accent6" w:themeFillShade="80"/>
            <w:noWrap/>
          </w:tcPr>
          <w:p w14:paraId="7E8D15F5" w14:textId="1C15D404" w:rsidR="00B63450" w:rsidRPr="00127B8D" w:rsidRDefault="00735194" w:rsidP="00065E9E">
            <w:pPr>
              <w:spacing w:after="120" w:line="240" w:lineRule="auto"/>
              <w:jc w:val="both"/>
              <w:rPr>
                <w:rFonts w:cs="Calibri"/>
                <w:bCs w:val="0"/>
                <w:lang w:val="en-GB"/>
              </w:rPr>
            </w:pPr>
            <w:r w:rsidRPr="009574A7">
              <w:rPr>
                <w:rFonts w:cs="Calibri"/>
              </w:rPr>
              <w:t>Δημοσίευση</w:t>
            </w:r>
            <w:r w:rsidRPr="001E1018">
              <w:rPr>
                <w:rFonts w:cs="Calibri"/>
                <w:lang w:val="en-GB"/>
              </w:rPr>
              <w:t xml:space="preserve"> / </w:t>
            </w:r>
            <w:r w:rsidRPr="009574A7">
              <w:rPr>
                <w:rFonts w:cs="Calibri"/>
              </w:rPr>
              <w:t>Γεγονός</w:t>
            </w:r>
          </w:p>
        </w:tc>
        <w:tc>
          <w:tcPr>
            <w:tcW w:w="1421" w:type="pct"/>
            <w:shd w:val="clear" w:color="auto" w:fill="385623" w:themeFill="accent6" w:themeFillShade="80"/>
            <w:noWrap/>
          </w:tcPr>
          <w:p w14:paraId="05904E18" w14:textId="782EB97C" w:rsidR="00B63450" w:rsidRPr="004C6144" w:rsidRDefault="00091904" w:rsidP="004C6144">
            <w:pPr>
              <w:spacing w:after="120" w:line="240" w:lineRule="auto"/>
              <w:jc w:val="right"/>
              <w:cnfStyle w:val="100000000000" w:firstRow="1" w:lastRow="0" w:firstColumn="0" w:lastColumn="0" w:oddVBand="0" w:evenVBand="0" w:oddHBand="0" w:evenHBand="0" w:firstRowFirstColumn="0" w:firstRowLastColumn="0" w:lastRowFirstColumn="0" w:lastRowLastColumn="0"/>
              <w:rPr>
                <w:rFonts w:cs="Calibri"/>
              </w:rPr>
            </w:pPr>
            <w:r w:rsidRPr="004C6144">
              <w:rPr>
                <w:rFonts w:cs="Calibri"/>
              </w:rPr>
              <w:t>Ημερομηνία</w:t>
            </w:r>
          </w:p>
        </w:tc>
      </w:tr>
      <w:tr w:rsidR="00735194" w:rsidRPr="00E05A50" w14:paraId="58F8123A" w14:textId="77777777" w:rsidTr="00065E9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76B2183F" w14:textId="4A7CA487" w:rsidR="00735194" w:rsidRPr="00E05A50" w:rsidRDefault="00735194" w:rsidP="00735194">
            <w:pPr>
              <w:spacing w:after="120" w:line="240" w:lineRule="auto"/>
              <w:rPr>
                <w:rFonts w:cs="Calibri"/>
              </w:rPr>
            </w:pPr>
            <w:r w:rsidRPr="00E05A50">
              <w:rPr>
                <w:rFonts w:cs="Calibri"/>
                <w:b w:val="0"/>
                <w:bCs w:val="0"/>
                <w:iCs/>
                <w:color w:val="000000"/>
              </w:rPr>
              <w:t>Ενημέρωση αναλυτών για αποτελέσματα 1</w:t>
            </w:r>
            <w:r w:rsidRPr="00E05A50">
              <w:rPr>
                <w:rFonts w:cs="Calibri"/>
                <w:b w:val="0"/>
                <w:bCs w:val="0"/>
                <w:iCs/>
                <w:color w:val="000000"/>
                <w:vertAlign w:val="superscript"/>
              </w:rPr>
              <w:t>ου</w:t>
            </w:r>
            <w:r w:rsidRPr="00E05A50">
              <w:rPr>
                <w:rFonts w:cs="Calibri"/>
                <w:b w:val="0"/>
                <w:bCs w:val="0"/>
                <w:iCs/>
                <w:color w:val="000000"/>
              </w:rPr>
              <w:t xml:space="preserve"> εξαμήνου 2024</w:t>
            </w:r>
          </w:p>
        </w:tc>
        <w:tc>
          <w:tcPr>
            <w:tcW w:w="1421" w:type="pct"/>
            <w:noWrap/>
            <w:vAlign w:val="center"/>
          </w:tcPr>
          <w:p w14:paraId="29591143" w14:textId="16C262E3" w:rsidR="00735194" w:rsidRPr="00457EDE" w:rsidRDefault="00735194" w:rsidP="00735194">
            <w:pPr>
              <w:spacing w:after="120" w:line="240" w:lineRule="auto"/>
              <w:jc w:val="right"/>
              <w:cnfStyle w:val="000000100000" w:firstRow="0" w:lastRow="0" w:firstColumn="0" w:lastColumn="0" w:oddVBand="0" w:evenVBand="0" w:oddHBand="1" w:evenHBand="0" w:firstRowFirstColumn="0" w:firstRowLastColumn="0" w:lastRowFirstColumn="0" w:lastRowLastColumn="0"/>
              <w:rPr>
                <w:lang w:val="en-GB"/>
              </w:rPr>
            </w:pPr>
            <w:r w:rsidRPr="00E05A50">
              <w:rPr>
                <w:rFonts w:cs="Calibri"/>
                <w:lang w:val="en-GB"/>
              </w:rPr>
              <w:t xml:space="preserve">28 </w:t>
            </w:r>
            <w:r w:rsidRPr="00E05A50">
              <w:rPr>
                <w:rFonts w:cs="Calibri"/>
              </w:rPr>
              <w:t>Αυγούστου</w:t>
            </w:r>
            <w:r w:rsidRPr="00E05A50">
              <w:rPr>
                <w:rFonts w:cs="Calibri"/>
                <w:lang w:val="en-GB"/>
              </w:rPr>
              <w:t xml:space="preserve"> 2024</w:t>
            </w:r>
          </w:p>
        </w:tc>
      </w:tr>
      <w:tr w:rsidR="00C07A3A" w:rsidRPr="00E05A50" w14:paraId="0A6EC2DB" w14:textId="77777777" w:rsidTr="00065E9E">
        <w:trPr>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1EA5178B" w14:textId="68D34DA4" w:rsidR="00C07A3A" w:rsidRPr="008D50A9" w:rsidRDefault="003E6697" w:rsidP="00735194">
            <w:pPr>
              <w:spacing w:after="120" w:line="240" w:lineRule="auto"/>
              <w:rPr>
                <w:rFonts w:cs="Calibri"/>
                <w:b w:val="0"/>
                <w:bCs w:val="0"/>
                <w:iCs/>
                <w:color w:val="000000"/>
              </w:rPr>
            </w:pPr>
            <w:r w:rsidRPr="008D50A9">
              <w:rPr>
                <w:rFonts w:cs="Calibri"/>
                <w:b w:val="0"/>
                <w:bCs w:val="0"/>
                <w:iCs/>
                <w:color w:val="000000"/>
              </w:rPr>
              <w:t>Έκτακτη</w:t>
            </w:r>
            <w:r w:rsidR="00C07A3A" w:rsidRPr="008D50A9">
              <w:rPr>
                <w:rFonts w:cs="Calibri"/>
                <w:b w:val="0"/>
                <w:bCs w:val="0"/>
                <w:iCs/>
                <w:color w:val="000000"/>
              </w:rPr>
              <w:t xml:space="preserve"> Γενική Συνέλευση </w:t>
            </w:r>
            <w:r w:rsidR="008D50A9">
              <w:rPr>
                <w:rFonts w:cs="Calibri"/>
                <w:b w:val="0"/>
                <w:bCs w:val="0"/>
                <w:iCs/>
                <w:color w:val="000000"/>
              </w:rPr>
              <w:t>(αναμένεται)</w:t>
            </w:r>
          </w:p>
        </w:tc>
        <w:tc>
          <w:tcPr>
            <w:tcW w:w="1421" w:type="pct"/>
            <w:noWrap/>
            <w:vAlign w:val="center"/>
          </w:tcPr>
          <w:p w14:paraId="3E84DF13" w14:textId="1C10F244" w:rsidR="00C07A3A" w:rsidRPr="008D50A9" w:rsidRDefault="008D50A9" w:rsidP="00735194">
            <w:pPr>
              <w:spacing w:after="120" w:line="240" w:lineRule="auto"/>
              <w:jc w:val="right"/>
              <w:cnfStyle w:val="000000000000" w:firstRow="0" w:lastRow="0" w:firstColumn="0" w:lastColumn="0" w:oddVBand="0" w:evenVBand="0" w:oddHBand="0" w:evenHBand="0" w:firstRowFirstColumn="0" w:firstRowLastColumn="0" w:lastRowFirstColumn="0" w:lastRowLastColumn="0"/>
              <w:rPr>
                <w:rFonts w:cs="Calibri"/>
              </w:rPr>
            </w:pPr>
            <w:r>
              <w:rPr>
                <w:rFonts w:cs="Calibri"/>
              </w:rPr>
              <w:t xml:space="preserve">2 </w:t>
            </w:r>
            <w:r w:rsidR="00C07A3A" w:rsidRPr="008D50A9">
              <w:rPr>
                <w:rFonts w:cs="Calibri"/>
              </w:rPr>
              <w:t>Οκτωβρίου 2024</w:t>
            </w:r>
          </w:p>
        </w:tc>
      </w:tr>
      <w:tr w:rsidR="002D1915" w:rsidRPr="00E05A50" w14:paraId="5F87E456" w14:textId="77777777" w:rsidTr="00065E9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3FE02193" w14:textId="5A59CA66" w:rsidR="002D1915" w:rsidRPr="00E05A50" w:rsidRDefault="00735194" w:rsidP="002D1915">
            <w:pPr>
              <w:autoSpaceDE w:val="0"/>
              <w:autoSpaceDN w:val="0"/>
              <w:adjustRightInd w:val="0"/>
              <w:spacing w:after="120" w:line="240" w:lineRule="auto"/>
              <w:rPr>
                <w:rFonts w:cs="Calibri"/>
                <w:b w:val="0"/>
                <w:bCs w:val="0"/>
              </w:rPr>
            </w:pPr>
            <w:r w:rsidRPr="00E05A50">
              <w:rPr>
                <w:b w:val="0"/>
              </w:rPr>
              <w:t>Αποτελέσματα 3</w:t>
            </w:r>
            <w:r w:rsidRPr="00457EDE">
              <w:rPr>
                <w:vertAlign w:val="superscript"/>
              </w:rPr>
              <w:t>ου</w:t>
            </w:r>
            <w:r w:rsidRPr="00E05A50">
              <w:rPr>
                <w:b w:val="0"/>
              </w:rPr>
              <w:t xml:space="preserve"> τριμήνου </w:t>
            </w:r>
            <w:r w:rsidRPr="00E05A50">
              <w:rPr>
                <w:rFonts w:cs="Calibri"/>
                <w:b w:val="0"/>
                <w:iCs/>
                <w:color w:val="000000"/>
                <w:lang w:val="en-US"/>
              </w:rPr>
              <w:t>202</w:t>
            </w:r>
            <w:r w:rsidRPr="00E05A50">
              <w:rPr>
                <w:rFonts w:cs="Calibri"/>
                <w:b w:val="0"/>
                <w:iCs/>
                <w:color w:val="000000"/>
              </w:rPr>
              <w:t>4</w:t>
            </w:r>
          </w:p>
        </w:tc>
        <w:tc>
          <w:tcPr>
            <w:tcW w:w="1421" w:type="pct"/>
            <w:noWrap/>
            <w:vAlign w:val="center"/>
          </w:tcPr>
          <w:p w14:paraId="1474CA77" w14:textId="1C31D0B8" w:rsidR="002D1915" w:rsidRPr="00457EDE" w:rsidRDefault="002D1915" w:rsidP="002D1915">
            <w:pPr>
              <w:autoSpaceDE w:val="0"/>
              <w:autoSpaceDN w:val="0"/>
              <w:adjustRightInd w:val="0"/>
              <w:spacing w:after="120" w:line="240" w:lineRule="auto"/>
              <w:jc w:val="right"/>
              <w:cnfStyle w:val="000000100000" w:firstRow="0" w:lastRow="0" w:firstColumn="0" w:lastColumn="0" w:oddVBand="0" w:evenVBand="0" w:oddHBand="1" w:evenHBand="0" w:firstRowFirstColumn="0" w:firstRowLastColumn="0" w:lastRowFirstColumn="0" w:lastRowLastColumn="0"/>
              <w:rPr>
                <w:lang w:val="en-GB"/>
              </w:rPr>
            </w:pPr>
            <w:r w:rsidRPr="00457EDE">
              <w:rPr>
                <w:lang w:val="en-US"/>
              </w:rPr>
              <w:t>21</w:t>
            </w:r>
            <w:r w:rsidRPr="00457EDE">
              <w:rPr>
                <w:lang w:val="en-GB"/>
              </w:rPr>
              <w:t xml:space="preserve"> </w:t>
            </w:r>
            <w:r w:rsidR="00735194" w:rsidRPr="00457EDE">
              <w:t>Νοεμβρίου</w:t>
            </w:r>
            <w:r w:rsidRPr="00457EDE">
              <w:rPr>
                <w:lang w:val="en-GB"/>
              </w:rPr>
              <w:t xml:space="preserve"> 2024</w:t>
            </w:r>
          </w:p>
        </w:tc>
      </w:tr>
      <w:tr w:rsidR="00735194" w:rsidRPr="00E05A50" w14:paraId="685C9FF1" w14:textId="77777777" w:rsidTr="002703FA">
        <w:trPr>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64C5AEBA" w14:textId="18B8A5FC" w:rsidR="00735194" w:rsidRPr="00E05A50" w:rsidRDefault="00735194" w:rsidP="00735194">
            <w:pPr>
              <w:autoSpaceDE w:val="0"/>
              <w:autoSpaceDN w:val="0"/>
              <w:adjustRightInd w:val="0"/>
              <w:spacing w:after="120" w:line="240" w:lineRule="auto"/>
              <w:rPr>
                <w:rFonts w:cs="Calibri"/>
                <w:iCs/>
                <w:color w:val="000000"/>
              </w:rPr>
            </w:pPr>
            <w:r w:rsidRPr="00E05A50">
              <w:rPr>
                <w:rFonts w:cs="Calibri"/>
                <w:b w:val="0"/>
                <w:bCs w:val="0"/>
                <w:iCs/>
                <w:color w:val="000000"/>
              </w:rPr>
              <w:t>Ενημέρωση αναλυτών για αποτελέσματα 3</w:t>
            </w:r>
            <w:r w:rsidRPr="00E05A50">
              <w:rPr>
                <w:rFonts w:cs="Calibri"/>
                <w:b w:val="0"/>
                <w:bCs w:val="0"/>
                <w:iCs/>
                <w:color w:val="000000"/>
                <w:vertAlign w:val="superscript"/>
              </w:rPr>
              <w:t>ου</w:t>
            </w:r>
            <w:r w:rsidRPr="00E05A50">
              <w:rPr>
                <w:rFonts w:cs="Calibri"/>
                <w:b w:val="0"/>
                <w:bCs w:val="0"/>
                <w:iCs/>
                <w:color w:val="000000"/>
              </w:rPr>
              <w:t xml:space="preserve"> τριμήνου 2024</w:t>
            </w:r>
          </w:p>
        </w:tc>
        <w:tc>
          <w:tcPr>
            <w:tcW w:w="1421" w:type="pct"/>
            <w:noWrap/>
          </w:tcPr>
          <w:p w14:paraId="0ECCF841" w14:textId="6AD20E21" w:rsidR="00735194" w:rsidRPr="00457EDE" w:rsidRDefault="00735194" w:rsidP="00735194">
            <w:pPr>
              <w:autoSpaceDE w:val="0"/>
              <w:autoSpaceDN w:val="0"/>
              <w:adjustRightInd w:val="0"/>
              <w:spacing w:after="120" w:line="240" w:lineRule="auto"/>
              <w:jc w:val="right"/>
              <w:cnfStyle w:val="000000000000" w:firstRow="0" w:lastRow="0" w:firstColumn="0" w:lastColumn="0" w:oddVBand="0" w:evenVBand="0" w:oddHBand="0" w:evenHBand="0" w:firstRowFirstColumn="0" w:firstRowLastColumn="0" w:lastRowFirstColumn="0" w:lastRowLastColumn="0"/>
              <w:rPr>
                <w:lang w:val="en-GB"/>
              </w:rPr>
            </w:pPr>
            <w:r w:rsidRPr="00457EDE">
              <w:rPr>
                <w:lang w:val="en-US"/>
              </w:rPr>
              <w:t>22</w:t>
            </w:r>
            <w:r w:rsidRPr="00457EDE">
              <w:rPr>
                <w:lang w:val="en-GB"/>
              </w:rPr>
              <w:t xml:space="preserve"> </w:t>
            </w:r>
            <w:r w:rsidRPr="00457EDE">
              <w:t>Νοεμβρίου</w:t>
            </w:r>
            <w:r w:rsidRPr="00457EDE">
              <w:rPr>
                <w:lang w:val="en-GB"/>
              </w:rPr>
              <w:t xml:space="preserve"> 2024</w:t>
            </w:r>
          </w:p>
        </w:tc>
      </w:tr>
      <w:tr w:rsidR="002D1915" w:rsidRPr="00E05A50" w14:paraId="3A0A97E7" w14:textId="77777777" w:rsidTr="003F72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noWrap/>
          </w:tcPr>
          <w:p w14:paraId="7B4F9E6A" w14:textId="49B326BF" w:rsidR="002D1915" w:rsidRPr="00E05A50" w:rsidRDefault="00735194" w:rsidP="002D1915">
            <w:pPr>
              <w:autoSpaceDE w:val="0"/>
              <w:autoSpaceDN w:val="0"/>
              <w:adjustRightInd w:val="0"/>
              <w:spacing w:after="120" w:line="240" w:lineRule="auto"/>
              <w:rPr>
                <w:rFonts w:cs="Calibri"/>
                <w:iCs/>
                <w:color w:val="000000"/>
                <w:lang w:val="en-GB"/>
              </w:rPr>
            </w:pPr>
            <w:r w:rsidRPr="00E05A50">
              <w:rPr>
                <w:b w:val="0"/>
              </w:rPr>
              <w:t xml:space="preserve">Ετήσια αποτελέσματα 2024 </w:t>
            </w:r>
            <w:r w:rsidRPr="00E05A50">
              <w:rPr>
                <w:b w:val="0"/>
                <w:lang w:val="en-ZA"/>
              </w:rPr>
              <w:t xml:space="preserve"> - </w:t>
            </w:r>
            <w:r w:rsidRPr="00E05A50">
              <w:rPr>
                <w:b w:val="0"/>
              </w:rPr>
              <w:t>Δελτίο Τύπου</w:t>
            </w:r>
          </w:p>
        </w:tc>
        <w:tc>
          <w:tcPr>
            <w:tcW w:w="1421" w:type="pct"/>
            <w:noWrap/>
          </w:tcPr>
          <w:p w14:paraId="387D4D48" w14:textId="27390AC9" w:rsidR="002D1915" w:rsidRPr="00457EDE" w:rsidRDefault="002D1915" w:rsidP="002D1915">
            <w:pPr>
              <w:autoSpaceDE w:val="0"/>
              <w:autoSpaceDN w:val="0"/>
              <w:adjustRightInd w:val="0"/>
              <w:spacing w:after="120" w:line="240" w:lineRule="auto"/>
              <w:jc w:val="right"/>
              <w:cnfStyle w:val="000000100000" w:firstRow="0" w:lastRow="0" w:firstColumn="0" w:lastColumn="0" w:oddVBand="0" w:evenVBand="0" w:oddHBand="1" w:evenHBand="0" w:firstRowFirstColumn="0" w:firstRowLastColumn="0" w:lastRowFirstColumn="0" w:lastRowLastColumn="0"/>
              <w:rPr>
                <w:lang w:val="en-GB"/>
              </w:rPr>
            </w:pPr>
            <w:r w:rsidRPr="00457EDE">
              <w:rPr>
                <w:lang w:val="en-GB"/>
              </w:rPr>
              <w:t xml:space="preserve">5 </w:t>
            </w:r>
            <w:r w:rsidR="00735194" w:rsidRPr="00457EDE">
              <w:t>Μαρτίου</w:t>
            </w:r>
            <w:r w:rsidRPr="00457EDE">
              <w:rPr>
                <w:lang w:val="en-GB"/>
              </w:rPr>
              <w:t xml:space="preserve"> 2025</w:t>
            </w:r>
          </w:p>
        </w:tc>
      </w:tr>
      <w:tr w:rsidR="002D1915" w:rsidRPr="00E05A50" w14:paraId="7274B43E" w14:textId="77777777" w:rsidTr="00065E9E">
        <w:trPr>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724EDF21" w14:textId="7D431D59" w:rsidR="002D1915" w:rsidRPr="00E05A50" w:rsidRDefault="00735194" w:rsidP="002D1915">
            <w:pPr>
              <w:autoSpaceDE w:val="0"/>
              <w:autoSpaceDN w:val="0"/>
              <w:adjustRightInd w:val="0"/>
              <w:spacing w:after="120" w:line="240" w:lineRule="auto"/>
              <w:rPr>
                <w:rFonts w:cs="Calibri"/>
                <w:iCs/>
                <w:color w:val="000000"/>
              </w:rPr>
            </w:pPr>
            <w:r w:rsidRPr="00E05A50">
              <w:rPr>
                <w:b w:val="0"/>
              </w:rPr>
              <w:t>Ενημέρωση αναλυτών για αποτελέσματα χρήσης 2024</w:t>
            </w:r>
          </w:p>
        </w:tc>
        <w:tc>
          <w:tcPr>
            <w:tcW w:w="1421" w:type="pct"/>
            <w:noWrap/>
            <w:vAlign w:val="center"/>
          </w:tcPr>
          <w:p w14:paraId="56D2DCFD" w14:textId="5B5B7D8F" w:rsidR="002D1915" w:rsidRPr="00457EDE" w:rsidRDefault="002D1915" w:rsidP="002D1915">
            <w:pPr>
              <w:autoSpaceDE w:val="0"/>
              <w:autoSpaceDN w:val="0"/>
              <w:adjustRightInd w:val="0"/>
              <w:spacing w:after="120" w:line="240" w:lineRule="auto"/>
              <w:jc w:val="right"/>
              <w:cnfStyle w:val="000000000000" w:firstRow="0" w:lastRow="0" w:firstColumn="0" w:lastColumn="0" w:oddVBand="0" w:evenVBand="0" w:oddHBand="0" w:evenHBand="0" w:firstRowFirstColumn="0" w:firstRowLastColumn="0" w:lastRowFirstColumn="0" w:lastRowLastColumn="0"/>
              <w:rPr>
                <w:lang w:val="en-GB"/>
              </w:rPr>
            </w:pPr>
            <w:r w:rsidRPr="00457EDE">
              <w:rPr>
                <w:lang w:val="en-GB"/>
              </w:rPr>
              <w:t xml:space="preserve">6 </w:t>
            </w:r>
            <w:r w:rsidR="00735194" w:rsidRPr="00457EDE">
              <w:t>Μαρτίου</w:t>
            </w:r>
            <w:r w:rsidRPr="00457EDE">
              <w:rPr>
                <w:lang w:val="en-GB"/>
              </w:rPr>
              <w:t xml:space="preserve"> 2025</w:t>
            </w:r>
          </w:p>
        </w:tc>
      </w:tr>
      <w:tr w:rsidR="002D1915" w:rsidRPr="00E05A50" w14:paraId="096382A6" w14:textId="77777777" w:rsidTr="003F720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noWrap/>
          </w:tcPr>
          <w:p w14:paraId="0CCFDECB" w14:textId="4EC68867" w:rsidR="002D1915" w:rsidRPr="00E05A50" w:rsidRDefault="00735194" w:rsidP="002D1915">
            <w:pPr>
              <w:autoSpaceDE w:val="0"/>
              <w:autoSpaceDN w:val="0"/>
              <w:adjustRightInd w:val="0"/>
              <w:spacing w:after="120" w:line="240" w:lineRule="auto"/>
              <w:rPr>
                <w:rFonts w:cs="Calibri"/>
                <w:iCs/>
                <w:color w:val="000000"/>
              </w:rPr>
            </w:pPr>
            <w:r w:rsidRPr="00E05A50">
              <w:rPr>
                <w:b w:val="0"/>
              </w:rPr>
              <w:t>Τακτική Γενική Συνέλευση</w:t>
            </w:r>
            <w:r w:rsidRPr="00E05A50">
              <w:rPr>
                <w:b w:val="0"/>
                <w:lang w:val="en-US"/>
              </w:rPr>
              <w:t xml:space="preserve"> 202</w:t>
            </w:r>
            <w:r w:rsidRPr="00E05A50">
              <w:rPr>
                <w:b w:val="0"/>
              </w:rPr>
              <w:t>5</w:t>
            </w:r>
          </w:p>
        </w:tc>
        <w:tc>
          <w:tcPr>
            <w:tcW w:w="1421" w:type="pct"/>
            <w:noWrap/>
          </w:tcPr>
          <w:p w14:paraId="1DA2CB71" w14:textId="17B0F19F" w:rsidR="002D1915" w:rsidRPr="00457EDE" w:rsidRDefault="002D1915" w:rsidP="002D1915">
            <w:pPr>
              <w:autoSpaceDE w:val="0"/>
              <w:autoSpaceDN w:val="0"/>
              <w:adjustRightInd w:val="0"/>
              <w:spacing w:after="120" w:line="240" w:lineRule="auto"/>
              <w:jc w:val="right"/>
              <w:cnfStyle w:val="000000100000" w:firstRow="0" w:lastRow="0" w:firstColumn="0" w:lastColumn="0" w:oddVBand="0" w:evenVBand="0" w:oddHBand="1" w:evenHBand="0" w:firstRowFirstColumn="0" w:firstRowLastColumn="0" w:lastRowFirstColumn="0" w:lastRowLastColumn="0"/>
              <w:rPr>
                <w:lang w:val="en-GB"/>
              </w:rPr>
            </w:pPr>
            <w:r w:rsidRPr="00457EDE">
              <w:rPr>
                <w:lang w:val="en-GB"/>
              </w:rPr>
              <w:t xml:space="preserve">27 </w:t>
            </w:r>
            <w:r w:rsidR="00735194" w:rsidRPr="00457EDE">
              <w:t>Μαΐου</w:t>
            </w:r>
            <w:r w:rsidRPr="00457EDE">
              <w:rPr>
                <w:lang w:val="en-GB"/>
              </w:rPr>
              <w:t xml:space="preserve"> 2025</w:t>
            </w:r>
          </w:p>
        </w:tc>
      </w:tr>
      <w:bookmarkEnd w:id="24"/>
    </w:tbl>
    <w:p w14:paraId="36576A37" w14:textId="77777777" w:rsidR="002D1915" w:rsidRDefault="002D1915" w:rsidP="006B321F">
      <w:pPr>
        <w:spacing w:after="120" w:line="240" w:lineRule="auto"/>
        <w:jc w:val="both"/>
        <w:rPr>
          <w:szCs w:val="20"/>
          <w:lang w:val="en-GB"/>
        </w:rPr>
      </w:pPr>
    </w:p>
    <w:p w14:paraId="00CD7214" w14:textId="77777777" w:rsidR="00946A0A" w:rsidRDefault="00AA0DAB" w:rsidP="00946A0A">
      <w:pPr>
        <w:spacing w:after="120" w:line="240" w:lineRule="auto"/>
        <w:jc w:val="both"/>
        <w:rPr>
          <w:i/>
          <w:iCs/>
          <w:sz w:val="20"/>
          <w:szCs w:val="20"/>
        </w:rPr>
      </w:pPr>
      <w:bookmarkStart w:id="25" w:name="_Hlk174309668"/>
      <w:r w:rsidRPr="002A6D65">
        <w:rPr>
          <w:i/>
          <w:iCs/>
          <w:sz w:val="20"/>
          <w:szCs w:val="20"/>
        </w:rPr>
        <w:t xml:space="preserve">ΔΗΛΩΣΗ ΑΠΟΠΟΙΗΣΗΣ ΕΥΘΥΝΗΣ: </w:t>
      </w:r>
      <w:r w:rsidR="00946A0A" w:rsidRPr="002A6D65">
        <w:rPr>
          <w:i/>
          <w:iCs/>
          <w:sz w:val="20"/>
          <w:szCs w:val="20"/>
        </w:rPr>
        <w:t xml:space="preserve">Τυχόν δηλώσεις για μελλοντικές εκτιμήσεις που ενδεχομένως συμπεριλαμβάνονται στο παρόν δελτίο τύπου αφορούν ή βασίζονται στις τρέχουσες προσδοκίες, στον σχεδιασμό και στην αντίληψη της διοίκησης της εταιρείας μας σχετικά, μεταξύ άλλων, με τα μελλοντικά αποτελέσματα των δραστηριοτήτων της Cenergy Holdings, την οικονομική θέση, την ρευστότητα, τις προοπτικές, την ανάπτυξη, την στρατηγική ή τις εξελίξεις σχετικά με τις αγορές στις οποίες δραστηριοποιούνται οι θυγατρικές της. Τέτοιες δηλώσεις για μελλοντικές εκτιμήσεις θα πρέπει να αντιμετωπίζονται ως απεικόνιση των πληροφοριών, των στοιχείων και των αντιλήψεων </w:t>
      </w:r>
      <w:r w:rsidR="00946A0A">
        <w:rPr>
          <w:i/>
          <w:iCs/>
          <w:sz w:val="20"/>
          <w:szCs w:val="20"/>
        </w:rPr>
        <w:t xml:space="preserve">όπως ισχύουν </w:t>
      </w:r>
      <w:r w:rsidR="00946A0A" w:rsidRPr="002A6D65">
        <w:rPr>
          <w:i/>
          <w:iCs/>
          <w:sz w:val="20"/>
          <w:szCs w:val="20"/>
        </w:rPr>
        <w:t xml:space="preserve">κατά την ημερομηνία δημοσίευσης του παρόντος δελτίου τύπου. Ως εκ τούτου, σας προτρέπουμε να μην βασίζεστε </w:t>
      </w:r>
      <w:r w:rsidR="00946A0A">
        <w:rPr>
          <w:i/>
          <w:iCs/>
          <w:sz w:val="20"/>
          <w:szCs w:val="20"/>
        </w:rPr>
        <w:t xml:space="preserve">σε αυτές </w:t>
      </w:r>
      <w:r w:rsidR="00946A0A" w:rsidRPr="002A6D65">
        <w:rPr>
          <w:i/>
          <w:iCs/>
          <w:sz w:val="20"/>
          <w:szCs w:val="20"/>
        </w:rPr>
        <w:t xml:space="preserve">υπέρ </w:t>
      </w:r>
      <w:r w:rsidR="00946A0A">
        <w:rPr>
          <w:i/>
          <w:iCs/>
          <w:sz w:val="20"/>
          <w:szCs w:val="20"/>
        </w:rPr>
        <w:t>το δέον</w:t>
      </w:r>
      <w:r w:rsidR="00946A0A" w:rsidRPr="002A6D65">
        <w:rPr>
          <w:i/>
          <w:iCs/>
          <w:sz w:val="20"/>
          <w:szCs w:val="20"/>
        </w:rPr>
        <w:t>, δεδομένου ότι εκ φύσεως, οι δηλώσεις για μελλοντικές εκτιμήσεις υπόκεινται σε κινδύνους, αβεβαιότητες και υποθέσεις που θα μπορούσαν ουσιωδώς να μεταβάλλουν τα πραγματικά αποτελέσματα ή τα μελλοντικά γεγονότα σε σύγκριση με όσα διατυπώνονται ή υπονοούνται με αυτές. Το αποτέλεσμα και οι χρηματοοικονομικές επιπτώσεις από τις αντιλήψεις, τις προθέσεις και τα γεγονότα που περιγράφονται στο παρόν μπορεί να επηρεαστούν αρνητικά από αυτούς τους κινδύνους, τις αβεβαιότητες και τις υποθέσεις. Οι δηλώσεις για μελλοντικές εκτιμήσεις που περιέχονται στο παρόν δελτίο τύπου και σχετίζονται με τάσεις ή τρέχουσες δραστηριότητες, δεν θα πρέπει να θεωρούνται ως έκθεση της μελλοντικής θέσης των τάσεων και των δραστηριοτήτων αυτών. Ουδεμία υποχρέωση αναλαμβάνουμε για να ενημερώσουμε ή να αναθεωρήσουμε τυχόν δηλώσεις για μελλοντικές εκτιμήσεις, είτε ως αποτέλεσμα νέων πληροφοριών είτε ως αποτέλεσμα εξελίξεων, μελλοντικών γεγονότων ή άλλων. Οι πληροφορίες που περιλαμβάνονται στο παρόν δελτίο τύπου μπορεί να μεταβληθούν χωρίς ειδοποίηση. Ο αναγνώστης δεν θα πρέπει να βασίσει παράγωγη αναφορά στη βάση των πληροφοριών που περιέχονται στο παρόν, οι οποίες δεν καλύπτονται από έμμεση ή ευθεία εγγύηση σχετικά με το δίκαιο, ακριβές, εύλογο και πλήρες αυτών. Το παρόν δελτίο τύπου συντάχθηκε στην αγγλική γλώσσα και έχει μεταφραστεί στην γαλλική και την ελληνική γλώσσα.  Σε περίπτωση αποκλίσεων μεταξύ των εκδόσεων, επικρατούσα θεωρείται η αγγλική έκδοση.</w:t>
      </w:r>
    </w:p>
    <w:p w14:paraId="7B5A5922" w14:textId="1FFB5DDB" w:rsidR="00946A0A" w:rsidRPr="002717DF" w:rsidRDefault="00946A0A" w:rsidP="00946A0A">
      <w:pPr>
        <w:spacing w:after="120" w:line="240" w:lineRule="auto"/>
        <w:jc w:val="both"/>
        <w:rPr>
          <w:i/>
          <w:iCs/>
          <w:sz w:val="20"/>
          <w:szCs w:val="20"/>
        </w:rPr>
      </w:pPr>
      <w:r w:rsidRPr="002717DF">
        <w:rPr>
          <w:i/>
          <w:iCs/>
          <w:sz w:val="20"/>
          <w:szCs w:val="20"/>
        </w:rPr>
        <w:t>Η παρούσα ανακοίνωση δεν αποτελεί́ προσφορά́ για πώληση κινητών αξιών ή πρόσκληση για προσφορά́ αγοράς κινητών αξιών στις Ηνωμένες Πολιτείες, τον Καναδά́</w:t>
      </w:r>
      <w:r>
        <w:rPr>
          <w:i/>
          <w:iCs/>
          <w:sz w:val="20"/>
          <w:szCs w:val="20"/>
        </w:rPr>
        <w:t>,</w:t>
      </w:r>
      <w:r w:rsidRPr="002717DF">
        <w:rPr>
          <w:i/>
          <w:iCs/>
          <w:sz w:val="20"/>
          <w:szCs w:val="20"/>
        </w:rPr>
        <w:t xml:space="preserve"> την Αυστραλία, την Ιαπωνία ή σε οποιαδήποτε άλλη δικαιοδοσία όπου αυτό́ είναι παράνομο. Δεν δύνανται να προσφερθούν ή να πωληθούν κινητές αξίες στις Ηνωμένες Πολιτείες Αμερικής ελλείψει έγκρισης σύμφωνα με το νόμο περί κινητών αξιών (</w:t>
      </w:r>
      <w:r w:rsidRPr="00C3072F">
        <w:rPr>
          <w:i/>
          <w:iCs/>
          <w:sz w:val="20"/>
          <w:szCs w:val="20"/>
          <w:lang w:val="en-GB"/>
        </w:rPr>
        <w:t>US</w:t>
      </w:r>
      <w:r w:rsidRPr="002A589F">
        <w:rPr>
          <w:i/>
          <w:iCs/>
          <w:sz w:val="20"/>
          <w:szCs w:val="20"/>
        </w:rPr>
        <w:t xml:space="preserve"> </w:t>
      </w:r>
      <w:r w:rsidRPr="00C3072F">
        <w:rPr>
          <w:i/>
          <w:iCs/>
          <w:sz w:val="20"/>
          <w:szCs w:val="20"/>
          <w:lang w:val="en-GB"/>
        </w:rPr>
        <w:t>Securities</w:t>
      </w:r>
      <w:r w:rsidRPr="002A589F">
        <w:rPr>
          <w:i/>
          <w:iCs/>
          <w:sz w:val="20"/>
          <w:szCs w:val="20"/>
        </w:rPr>
        <w:t xml:space="preserve"> </w:t>
      </w:r>
      <w:r w:rsidRPr="00C3072F">
        <w:rPr>
          <w:i/>
          <w:iCs/>
          <w:sz w:val="20"/>
          <w:szCs w:val="20"/>
          <w:lang w:val="en-GB"/>
        </w:rPr>
        <w:t>Act</w:t>
      </w:r>
      <w:r w:rsidRPr="002717DF">
        <w:rPr>
          <w:i/>
          <w:iCs/>
          <w:sz w:val="20"/>
          <w:szCs w:val="20"/>
        </w:rPr>
        <w:t>) του 1933, ως έχει τροποποιηθεί́ («Νόμος περί́ Κινητών Αξιών»), ή νόμιμης εξαίρεσης. Με την επιφύλαξη ορισμένων εξαιρέσεων, οι κινητές αξίες που αναφέρονται στο παρόν δεν δύνανται να προσφερθούν ή να πωληθούν στην Αυστραλία, Καναδά́, ή Ιαπωνία ή προς, ή για λογαριασμό́</w:t>
      </w:r>
      <w:r>
        <w:rPr>
          <w:i/>
          <w:iCs/>
          <w:sz w:val="20"/>
          <w:szCs w:val="20"/>
        </w:rPr>
        <w:t xml:space="preserve"> </w:t>
      </w:r>
      <w:r w:rsidRPr="002717DF">
        <w:rPr>
          <w:i/>
          <w:iCs/>
          <w:sz w:val="20"/>
          <w:szCs w:val="20"/>
        </w:rPr>
        <w:t>ή όφελος οποιουδήποτε προσώπου είναι υπήκοος, διαμένων ή κάτοικος στην Αυστραλία, Καναδά́, ή Ιαπωνία. Οι κινητές αξίες που αναφέρονται στο παρόν δεν έχουν καταχωρηθεί́</w:t>
      </w:r>
      <w:r>
        <w:rPr>
          <w:i/>
          <w:iCs/>
          <w:sz w:val="20"/>
          <w:szCs w:val="20"/>
        </w:rPr>
        <w:t xml:space="preserve"> </w:t>
      </w:r>
      <w:r w:rsidRPr="002717DF">
        <w:rPr>
          <w:i/>
          <w:iCs/>
          <w:sz w:val="20"/>
          <w:szCs w:val="20"/>
        </w:rPr>
        <w:t>ούτε θα καταχωρηθούν σύμφωνα με το Νόμο περί́ Κινητών Αξιών ή άλλο εφαρμοστέο νόμο περί́ κινητών αξιών στην Αυστραλία, Καναδά́,</w:t>
      </w:r>
      <w:r w:rsidRPr="002511A5">
        <w:rPr>
          <w:rFonts w:cs="Calibri"/>
          <w:szCs w:val="20"/>
        </w:rPr>
        <w:t xml:space="preserve"> </w:t>
      </w:r>
      <w:r w:rsidRPr="002717DF">
        <w:rPr>
          <w:i/>
          <w:iCs/>
          <w:sz w:val="20"/>
          <w:szCs w:val="20"/>
        </w:rPr>
        <w:t>ή Ιαπωνία.</w:t>
      </w:r>
    </w:p>
    <w:p w14:paraId="694495D4" w14:textId="1C1B6EEF" w:rsidR="00B145AC" w:rsidRDefault="00B145AC" w:rsidP="00AA0DAB">
      <w:pPr>
        <w:spacing w:after="120" w:line="240" w:lineRule="auto"/>
        <w:jc w:val="both"/>
        <w:rPr>
          <w:i/>
          <w:iCs/>
          <w:sz w:val="20"/>
          <w:szCs w:val="20"/>
        </w:rPr>
      </w:pPr>
      <w:r>
        <w:rPr>
          <w:i/>
          <w:iCs/>
          <w:sz w:val="20"/>
          <w:szCs w:val="20"/>
        </w:rPr>
        <w:t xml:space="preserve">Το παρόν δελτίο </w:t>
      </w:r>
      <w:r w:rsidRPr="00B145AC">
        <w:rPr>
          <w:i/>
          <w:iCs/>
          <w:sz w:val="20"/>
          <w:szCs w:val="20"/>
        </w:rPr>
        <w:t>τύπου και οι πληροφορίες που περιέχονται σ' αυτ</w:t>
      </w:r>
      <w:r>
        <w:rPr>
          <w:i/>
          <w:iCs/>
          <w:sz w:val="20"/>
          <w:szCs w:val="20"/>
        </w:rPr>
        <w:t>ό</w:t>
      </w:r>
      <w:r w:rsidRPr="00B145AC">
        <w:rPr>
          <w:i/>
          <w:iCs/>
          <w:sz w:val="20"/>
          <w:szCs w:val="20"/>
        </w:rPr>
        <w:t xml:space="preserve"> δεν προορίζονται και δεν πρέπει να αποτελούν δημόσια προσφορά ή διαφήμιση </w:t>
      </w:r>
      <w:r w:rsidR="0067596F">
        <w:rPr>
          <w:i/>
          <w:iCs/>
          <w:sz w:val="20"/>
          <w:szCs w:val="20"/>
        </w:rPr>
        <w:t xml:space="preserve">κινητών </w:t>
      </w:r>
      <w:r w:rsidRPr="00B145AC">
        <w:rPr>
          <w:i/>
          <w:iCs/>
          <w:sz w:val="20"/>
          <w:szCs w:val="20"/>
        </w:rPr>
        <w:t xml:space="preserve">αξιών στο Βέλγιο ή την Ελλάδα, ούτε πρόσκληση για υποβολή προσφορών για αγορά οποιωνδήποτε </w:t>
      </w:r>
      <w:r w:rsidR="0067596F">
        <w:rPr>
          <w:i/>
          <w:iCs/>
          <w:sz w:val="20"/>
          <w:szCs w:val="20"/>
        </w:rPr>
        <w:t xml:space="preserve">κινητών </w:t>
      </w:r>
      <w:r w:rsidRPr="00B145AC">
        <w:rPr>
          <w:i/>
          <w:iCs/>
          <w:sz w:val="20"/>
          <w:szCs w:val="20"/>
        </w:rPr>
        <w:t xml:space="preserve">αξιών στο Βέλγιο ή την Ελλάδα σύμφωνα με το Άρθρο 2(1)(δ) του Κανονισμού </w:t>
      </w:r>
      <w:r w:rsidR="008061B8">
        <w:rPr>
          <w:i/>
          <w:iCs/>
          <w:sz w:val="20"/>
          <w:szCs w:val="20"/>
        </w:rPr>
        <w:t xml:space="preserve">του Ενημερωτικού Δελτίου </w:t>
      </w:r>
      <w:r w:rsidRPr="00B145AC">
        <w:rPr>
          <w:i/>
          <w:iCs/>
          <w:sz w:val="20"/>
          <w:szCs w:val="20"/>
        </w:rPr>
        <w:t xml:space="preserve">ή το Άρθρο 2(κ) του Κανονισμού </w:t>
      </w:r>
      <w:r w:rsidR="008061B8">
        <w:rPr>
          <w:i/>
          <w:iCs/>
          <w:sz w:val="20"/>
          <w:szCs w:val="20"/>
        </w:rPr>
        <w:t xml:space="preserve">του Ενημερωτικού Δελτίου </w:t>
      </w:r>
      <w:r w:rsidRPr="00B145AC">
        <w:rPr>
          <w:i/>
          <w:iCs/>
          <w:sz w:val="20"/>
          <w:szCs w:val="20"/>
        </w:rPr>
        <w:t xml:space="preserve">(σε συνδυασμό με τη σχετική </w:t>
      </w:r>
      <w:r w:rsidR="008061B8">
        <w:rPr>
          <w:i/>
          <w:iCs/>
          <w:sz w:val="20"/>
          <w:szCs w:val="20"/>
        </w:rPr>
        <w:t xml:space="preserve">εφαρμοσμένη </w:t>
      </w:r>
      <w:r w:rsidRPr="00B145AC">
        <w:rPr>
          <w:i/>
          <w:iCs/>
          <w:sz w:val="20"/>
          <w:szCs w:val="20"/>
        </w:rPr>
        <w:t>εθνική νομοθεσία), αντίστοιχα, ή εκτός του Βελγίου και της Ελλάδας.</w:t>
      </w:r>
      <w:r w:rsidR="0067596F">
        <w:rPr>
          <w:i/>
          <w:iCs/>
          <w:sz w:val="20"/>
          <w:szCs w:val="20"/>
        </w:rPr>
        <w:t xml:space="preserve"> Σε περίπτωση όπου, η </w:t>
      </w:r>
      <w:r w:rsidR="0067596F">
        <w:rPr>
          <w:i/>
          <w:iCs/>
          <w:sz w:val="20"/>
          <w:szCs w:val="20"/>
          <w:lang w:val="en-US"/>
        </w:rPr>
        <w:t>Cenergy</w:t>
      </w:r>
      <w:r w:rsidR="0067596F" w:rsidRPr="0067596F">
        <w:rPr>
          <w:i/>
          <w:iCs/>
          <w:sz w:val="20"/>
          <w:szCs w:val="20"/>
        </w:rPr>
        <w:t xml:space="preserve"> </w:t>
      </w:r>
      <w:r w:rsidR="0067596F">
        <w:rPr>
          <w:i/>
          <w:iCs/>
          <w:sz w:val="20"/>
          <w:szCs w:val="20"/>
          <w:lang w:val="en-US"/>
        </w:rPr>
        <w:t>Holdings</w:t>
      </w:r>
      <w:r w:rsidR="0067596F" w:rsidRPr="0067596F">
        <w:rPr>
          <w:i/>
          <w:iCs/>
          <w:sz w:val="20"/>
          <w:szCs w:val="20"/>
        </w:rPr>
        <w:t xml:space="preserve"> </w:t>
      </w:r>
      <w:r w:rsidR="0067596F">
        <w:rPr>
          <w:i/>
          <w:iCs/>
          <w:sz w:val="20"/>
          <w:szCs w:val="20"/>
        </w:rPr>
        <w:t>προχωρήσει με την Ενδεχόμενη Αύξηση Μετοχικού Κεφαλαίου,</w:t>
      </w:r>
      <w:r w:rsidRPr="00B145AC">
        <w:rPr>
          <w:i/>
          <w:iCs/>
          <w:sz w:val="20"/>
          <w:szCs w:val="20"/>
        </w:rPr>
        <w:t xml:space="preserve"> </w:t>
      </w:r>
      <w:r w:rsidR="0067596F">
        <w:rPr>
          <w:i/>
          <w:iCs/>
          <w:sz w:val="20"/>
          <w:szCs w:val="20"/>
        </w:rPr>
        <w:t>η</w:t>
      </w:r>
      <w:r w:rsidRPr="00B145AC">
        <w:rPr>
          <w:i/>
          <w:iCs/>
          <w:sz w:val="20"/>
          <w:szCs w:val="20"/>
        </w:rPr>
        <w:t xml:space="preserve"> επένδυση στις Νέες Μετοχές μπορεί να βασιστεί μόνο στο ενημερωτικό δελτίο που </w:t>
      </w:r>
      <w:r w:rsidR="0067596F">
        <w:rPr>
          <w:i/>
          <w:iCs/>
          <w:sz w:val="20"/>
          <w:szCs w:val="20"/>
        </w:rPr>
        <w:t>θα</w:t>
      </w:r>
      <w:r w:rsidRPr="00B145AC">
        <w:rPr>
          <w:i/>
          <w:iCs/>
          <w:sz w:val="20"/>
          <w:szCs w:val="20"/>
        </w:rPr>
        <w:t xml:space="preserve"> εκδώσει η Cenergy Holdings </w:t>
      </w:r>
      <w:r w:rsidR="0067596F">
        <w:rPr>
          <w:i/>
          <w:iCs/>
          <w:sz w:val="20"/>
          <w:szCs w:val="20"/>
        </w:rPr>
        <w:t>σχετικά</w:t>
      </w:r>
      <w:r w:rsidRPr="00B145AC">
        <w:rPr>
          <w:i/>
          <w:iCs/>
          <w:sz w:val="20"/>
          <w:szCs w:val="20"/>
        </w:rPr>
        <w:t xml:space="preserve"> με την Ενδεχόμενη Αύξηση Μετοχικού Κεφαλαίου μετά την έγκριση από τις αρμόδιες αρχές (το “</w:t>
      </w:r>
      <w:r w:rsidRPr="00F663C6">
        <w:rPr>
          <w:i/>
          <w:iCs/>
          <w:sz w:val="20"/>
          <w:szCs w:val="20"/>
        </w:rPr>
        <w:t xml:space="preserve">Ενημερωτικό Δελτίο”). Οι εν δυνάμει επενδυτές </w:t>
      </w:r>
      <w:r w:rsidR="0067596F" w:rsidRPr="00F663C6">
        <w:rPr>
          <w:i/>
          <w:iCs/>
          <w:sz w:val="20"/>
          <w:szCs w:val="20"/>
        </w:rPr>
        <w:t xml:space="preserve">πριν λάβουν </w:t>
      </w:r>
      <w:r w:rsidR="0067596F">
        <w:rPr>
          <w:i/>
          <w:iCs/>
          <w:sz w:val="20"/>
          <w:szCs w:val="20"/>
        </w:rPr>
        <w:t xml:space="preserve">οποιαδήποτε </w:t>
      </w:r>
      <w:r w:rsidR="0067596F" w:rsidRPr="008061B8">
        <w:rPr>
          <w:i/>
          <w:iCs/>
          <w:sz w:val="20"/>
          <w:szCs w:val="20"/>
        </w:rPr>
        <w:t>επενδυτική απόφαση</w:t>
      </w:r>
      <w:r w:rsidR="0067596F" w:rsidRPr="00F663C6">
        <w:rPr>
          <w:i/>
          <w:iCs/>
          <w:sz w:val="20"/>
          <w:szCs w:val="20"/>
        </w:rPr>
        <w:t xml:space="preserve"> </w:t>
      </w:r>
      <w:r w:rsidRPr="00F663C6">
        <w:rPr>
          <w:i/>
          <w:iCs/>
          <w:sz w:val="20"/>
          <w:szCs w:val="20"/>
        </w:rPr>
        <w:t>πρέπει να διαβάσουν το Ενημερωτικό Δελτίο</w:t>
      </w:r>
      <w:r w:rsidR="0067596F">
        <w:rPr>
          <w:i/>
          <w:iCs/>
          <w:sz w:val="20"/>
          <w:szCs w:val="20"/>
        </w:rPr>
        <w:t xml:space="preserve">, εάν και όταν αυτό εκδοθεί, </w:t>
      </w:r>
      <w:r w:rsidRPr="00F663C6">
        <w:rPr>
          <w:i/>
          <w:iCs/>
          <w:sz w:val="20"/>
          <w:szCs w:val="20"/>
        </w:rPr>
        <w:t>προκειμένου να κατανοήσουν πλήρως τους πιθανούς κινδύνους και τα οφέλη που σχετίζονται με την απόφαση επένδυσης στις Νέες Μετοχές.</w:t>
      </w:r>
      <w:r w:rsidR="008061B8">
        <w:rPr>
          <w:i/>
          <w:iCs/>
          <w:sz w:val="20"/>
          <w:szCs w:val="20"/>
        </w:rPr>
        <w:t xml:space="preserve"> Η παρούσα</w:t>
      </w:r>
      <w:r w:rsidRPr="00F663C6">
        <w:rPr>
          <w:i/>
          <w:iCs/>
          <w:sz w:val="20"/>
          <w:szCs w:val="20"/>
        </w:rPr>
        <w:t xml:space="preserve"> ανακοίνωση και η έγκριση του Ενημερωτικού Δελτίου</w:t>
      </w:r>
      <w:r w:rsidRPr="00B145AC">
        <w:rPr>
          <w:i/>
          <w:iCs/>
          <w:sz w:val="20"/>
          <w:szCs w:val="20"/>
        </w:rPr>
        <w:t xml:space="preserve">, </w:t>
      </w:r>
      <w:r w:rsidR="00715256">
        <w:rPr>
          <w:i/>
          <w:iCs/>
          <w:sz w:val="20"/>
          <w:szCs w:val="20"/>
        </w:rPr>
        <w:t>κατά περίπτωση</w:t>
      </w:r>
      <w:r w:rsidRPr="00B145AC">
        <w:rPr>
          <w:i/>
          <w:iCs/>
          <w:sz w:val="20"/>
          <w:szCs w:val="20"/>
        </w:rPr>
        <w:t xml:space="preserve">, δεν πρέπει να </w:t>
      </w:r>
      <w:r w:rsidR="0067596F">
        <w:rPr>
          <w:i/>
          <w:iCs/>
          <w:sz w:val="20"/>
          <w:szCs w:val="20"/>
        </w:rPr>
        <w:t>θ</w:t>
      </w:r>
      <w:r w:rsidR="008061B8">
        <w:rPr>
          <w:i/>
          <w:iCs/>
          <w:sz w:val="20"/>
          <w:szCs w:val="20"/>
        </w:rPr>
        <w:t>εωρηθούν</w:t>
      </w:r>
      <w:r w:rsidRPr="00B145AC">
        <w:rPr>
          <w:i/>
          <w:iCs/>
          <w:sz w:val="20"/>
          <w:szCs w:val="20"/>
        </w:rPr>
        <w:t xml:space="preserve"> ως έγκριση των Νέων Μετοχών που προσφέρονται ή εισάγονται προς διαπραγμάτευση σ</w:t>
      </w:r>
      <w:r w:rsidR="00A56E43">
        <w:rPr>
          <w:i/>
          <w:iCs/>
          <w:sz w:val="20"/>
          <w:szCs w:val="20"/>
        </w:rPr>
        <w:t>ε</w:t>
      </w:r>
      <w:r w:rsidRPr="00B145AC">
        <w:rPr>
          <w:i/>
          <w:iCs/>
          <w:sz w:val="20"/>
          <w:szCs w:val="20"/>
        </w:rPr>
        <w:t xml:space="preserve"> ρυθμιζόμενη αγορά. </w:t>
      </w:r>
    </w:p>
    <w:p w14:paraId="57726A36" w14:textId="125AA142" w:rsidR="004524B8" w:rsidRPr="00C3072F" w:rsidRDefault="009E5DF4" w:rsidP="00AA0DAB">
      <w:pPr>
        <w:spacing w:after="120" w:line="240" w:lineRule="auto"/>
        <w:jc w:val="both"/>
        <w:rPr>
          <w:i/>
          <w:iCs/>
          <w:sz w:val="20"/>
          <w:szCs w:val="20"/>
        </w:rPr>
      </w:pPr>
      <w:r w:rsidRPr="009E5DF4">
        <w:rPr>
          <w:i/>
          <w:iCs/>
          <w:sz w:val="20"/>
          <w:szCs w:val="20"/>
        </w:rPr>
        <w:t>Οι πληροφορίες που περιέχονται σε αυτό το έγγραφο σχετικά με τις Νέες Μετοχές απευθύνονται και αφορούν αποκλειστικά (i) πρόσωπα που βρίσκονται στο Βέλγιο και την Ελλάδα ή (ii) σε κράτη μέλη του Ευρωπαϊκού Οικονομικού Χώρου (πλην του Βελγίου και της Ελλάδας) και το Ηνωμένο Βασίλειο (το καθένα από αυτά καλείται «Σχετικό Κράτος») που είναι «ειδικ</w:t>
      </w:r>
      <w:r>
        <w:rPr>
          <w:i/>
          <w:iCs/>
          <w:sz w:val="20"/>
          <w:szCs w:val="20"/>
        </w:rPr>
        <w:t>οί</w:t>
      </w:r>
      <w:r w:rsidRPr="009E5DF4">
        <w:rPr>
          <w:i/>
          <w:iCs/>
          <w:sz w:val="20"/>
          <w:szCs w:val="20"/>
        </w:rPr>
        <w:t xml:space="preserve"> επενδυτές» κατά την έννοια του άρθρου 2(ε) του Κανονισμού (ΕΕ) 2017/1129 (όπως τροποποιήθηκε) («Κανονισμός για το Ενημερωτικό Δελτίο»), στην περίπτωση του Ηνωμένου Βασιλείου, όπως ο Κανονισμός για το Ενημερωτικό Δελτίο αποτελεί μέρος της διατηρηθείσας νομοθεσίας της ΕΕ δυνάμει του Νόμου για την Αποχώρηση από την Ευρωπαϊκή Ένωση του 2018 («Ειδικ</w:t>
      </w:r>
      <w:r>
        <w:rPr>
          <w:i/>
          <w:iCs/>
          <w:sz w:val="20"/>
          <w:szCs w:val="20"/>
        </w:rPr>
        <w:t>οί</w:t>
      </w:r>
      <w:r w:rsidRPr="009E5DF4">
        <w:rPr>
          <w:i/>
          <w:iCs/>
          <w:sz w:val="20"/>
          <w:szCs w:val="20"/>
        </w:rPr>
        <w:t xml:space="preserve"> Επενδυτές»). Επιπλέον, στο Ηνωμένο Βασίλειο, οι πληροφορίες σε αυτό το έγγραφο σχετικά με τις Νέες Μετοχές διανέμονται μόνο σε, και απευθύνονται αποκλειστικά σε, </w:t>
      </w:r>
      <w:r>
        <w:rPr>
          <w:i/>
          <w:iCs/>
          <w:sz w:val="20"/>
          <w:szCs w:val="20"/>
        </w:rPr>
        <w:t>Ειδικούς</w:t>
      </w:r>
      <w:r w:rsidRPr="009E5DF4">
        <w:rPr>
          <w:i/>
          <w:iCs/>
          <w:sz w:val="20"/>
          <w:szCs w:val="20"/>
        </w:rPr>
        <w:t xml:space="preserve"> Επενδυτές που είναι πρόσωπα (i) με επαγγελματική εμπειρία σε θέματα που σχετίζονται με επενδύσεις που εμπίπτουν στο άρθρο 19(5) του Financial Services and </w:t>
      </w:r>
      <w:r w:rsidRPr="00C3072F">
        <w:rPr>
          <w:i/>
          <w:iCs/>
          <w:sz w:val="20"/>
          <w:szCs w:val="20"/>
          <w:lang w:val="en-GB"/>
        </w:rPr>
        <w:t>Markets</w:t>
      </w:r>
      <w:r w:rsidRPr="002A589F">
        <w:rPr>
          <w:i/>
          <w:iCs/>
          <w:sz w:val="20"/>
          <w:szCs w:val="20"/>
        </w:rPr>
        <w:t xml:space="preserve"> </w:t>
      </w:r>
      <w:r w:rsidRPr="00C3072F">
        <w:rPr>
          <w:i/>
          <w:iCs/>
          <w:sz w:val="20"/>
          <w:szCs w:val="20"/>
          <w:lang w:val="en-GB"/>
        </w:rPr>
        <w:t>Act</w:t>
      </w:r>
      <w:r w:rsidRPr="002A589F">
        <w:rPr>
          <w:i/>
          <w:iCs/>
          <w:sz w:val="20"/>
          <w:szCs w:val="20"/>
        </w:rPr>
        <w:t xml:space="preserve"> 2000 (</w:t>
      </w:r>
      <w:r w:rsidRPr="00C3072F">
        <w:rPr>
          <w:i/>
          <w:iCs/>
          <w:sz w:val="20"/>
          <w:szCs w:val="20"/>
          <w:lang w:val="en-GB"/>
        </w:rPr>
        <w:t>Financial</w:t>
      </w:r>
      <w:r w:rsidRPr="002A589F">
        <w:rPr>
          <w:i/>
          <w:iCs/>
          <w:sz w:val="20"/>
          <w:szCs w:val="20"/>
        </w:rPr>
        <w:t xml:space="preserve"> </w:t>
      </w:r>
      <w:r w:rsidRPr="00C3072F">
        <w:rPr>
          <w:i/>
          <w:iCs/>
          <w:sz w:val="20"/>
          <w:szCs w:val="20"/>
          <w:lang w:val="en-GB"/>
        </w:rPr>
        <w:t>Promotion</w:t>
      </w:r>
      <w:r w:rsidRPr="002A589F">
        <w:rPr>
          <w:i/>
          <w:iCs/>
          <w:sz w:val="20"/>
          <w:szCs w:val="20"/>
        </w:rPr>
        <w:t xml:space="preserve">) </w:t>
      </w:r>
      <w:r w:rsidRPr="00C3072F">
        <w:rPr>
          <w:i/>
          <w:iCs/>
          <w:sz w:val="20"/>
          <w:szCs w:val="20"/>
          <w:lang w:val="en-GB"/>
        </w:rPr>
        <w:t>Order</w:t>
      </w:r>
      <w:r w:rsidRPr="002A589F">
        <w:rPr>
          <w:i/>
          <w:iCs/>
          <w:sz w:val="20"/>
          <w:szCs w:val="20"/>
        </w:rPr>
        <w:t xml:space="preserve"> 2005</w:t>
      </w:r>
      <w:r w:rsidRPr="009E5DF4">
        <w:rPr>
          <w:i/>
          <w:iCs/>
          <w:sz w:val="20"/>
          <w:szCs w:val="20"/>
        </w:rPr>
        <w:t xml:space="preserve"> («Διάταγμα»), (ii) που εμπίπτουν στο άρθρο 49(2)(α) έως (δ) του Διατάγματος, ή (iii) προς τους οποίους επιτρέπεται νόμιμα να κοινοποιηθούν με άλλο τρόπο (όλα αυτά τα πρόσωπα καλούνται συνολικά «Σχετικά Πρόσωπα»</w:t>
      </w:r>
      <w:r>
        <w:rPr>
          <w:i/>
          <w:iCs/>
          <w:sz w:val="20"/>
          <w:szCs w:val="20"/>
        </w:rPr>
        <w:t>)</w:t>
      </w:r>
      <w:r w:rsidRPr="009E5DF4">
        <w:rPr>
          <w:i/>
          <w:iCs/>
          <w:sz w:val="20"/>
          <w:szCs w:val="20"/>
        </w:rPr>
        <w:t>. Τέτοιες πληροφορίες δεν πρέπει να λαμβάνονται υπόψη ή να αποτελούν βάση (i) στο Ηνωμένο Βασίλειο, από πρόσωπα που δεν είναι Σχετικά Πρόσωπα, και (ii) σε οποιοδήποτε Σχετικό Κράτος, από πρόσωπα που δεν είναι Ειδικ</w:t>
      </w:r>
      <w:r>
        <w:rPr>
          <w:i/>
          <w:iCs/>
          <w:sz w:val="20"/>
          <w:szCs w:val="20"/>
        </w:rPr>
        <w:t>οί</w:t>
      </w:r>
      <w:r w:rsidRPr="009E5DF4">
        <w:rPr>
          <w:i/>
          <w:iCs/>
          <w:sz w:val="20"/>
          <w:szCs w:val="20"/>
        </w:rPr>
        <w:t xml:space="preserve"> Επενδυτές. Οποιαδήποτε επένδυση ή επενδυτική δραστηριότητα στην οποία αφορούν οι πληροφορίες αυτού του εγγράφου σχετικά με τις Νέες Μετοχές διατίθεται μόνο σε ή θα υλοποιείται μόνο με (i) πρόσωπα που διαμένουν ή βρίσκονται στο Βέλγιο και την Ελλάδα, (ii) Σχετικά Πρόσωπα στο Ηνωμένο Βασίλειο, και (iii) Ειδικ</w:t>
      </w:r>
      <w:r>
        <w:rPr>
          <w:i/>
          <w:iCs/>
          <w:sz w:val="20"/>
          <w:szCs w:val="20"/>
        </w:rPr>
        <w:t>ού</w:t>
      </w:r>
      <w:r w:rsidRPr="009E5DF4">
        <w:rPr>
          <w:i/>
          <w:iCs/>
          <w:sz w:val="20"/>
          <w:szCs w:val="20"/>
        </w:rPr>
        <w:t>ς Επενδυτές σε οποιοδήποτε Σχετικό Κράτος.</w:t>
      </w:r>
    </w:p>
    <w:p w14:paraId="07FAEBFD" w14:textId="77777777" w:rsidR="007C3572" w:rsidRPr="00DC6011" w:rsidRDefault="007C3572" w:rsidP="007C3572">
      <w:pPr>
        <w:keepNext/>
        <w:keepLines/>
        <w:spacing w:after="120" w:line="240" w:lineRule="auto"/>
        <w:jc w:val="both"/>
        <w:outlineLvl w:val="1"/>
        <w:rPr>
          <w:rFonts w:eastAsia="SimSun" w:cs="Calibri"/>
          <w:b/>
          <w:bCs/>
          <w:color w:val="4F6228"/>
          <w:sz w:val="24"/>
          <w:szCs w:val="24"/>
        </w:rPr>
      </w:pPr>
      <w:r w:rsidRPr="00136629">
        <w:rPr>
          <w:rFonts w:eastAsia="SimSun" w:cs="Calibri"/>
          <w:b/>
          <w:bCs/>
          <w:color w:val="4F6228"/>
          <w:sz w:val="24"/>
          <w:szCs w:val="24"/>
        </w:rPr>
        <w:t>Σχετικά</w:t>
      </w:r>
      <w:r w:rsidRPr="00DC6011">
        <w:rPr>
          <w:rFonts w:eastAsia="SimSun" w:cs="Calibri"/>
          <w:b/>
          <w:bCs/>
          <w:color w:val="4F6228"/>
          <w:sz w:val="24"/>
          <w:szCs w:val="24"/>
        </w:rPr>
        <w:t xml:space="preserve"> </w:t>
      </w:r>
      <w:r w:rsidRPr="00136629">
        <w:rPr>
          <w:rFonts w:eastAsia="SimSun" w:cs="Calibri"/>
          <w:b/>
          <w:bCs/>
          <w:color w:val="4F6228"/>
          <w:sz w:val="24"/>
          <w:szCs w:val="24"/>
        </w:rPr>
        <w:t>με</w:t>
      </w:r>
      <w:r w:rsidRPr="00DC6011">
        <w:rPr>
          <w:rFonts w:eastAsia="SimSun" w:cs="Calibri"/>
          <w:b/>
          <w:bCs/>
          <w:color w:val="4F6228"/>
          <w:sz w:val="24"/>
          <w:szCs w:val="24"/>
        </w:rPr>
        <w:t xml:space="preserve"> </w:t>
      </w:r>
      <w:r w:rsidRPr="00136629">
        <w:rPr>
          <w:rFonts w:eastAsia="SimSun" w:cs="Calibri"/>
          <w:b/>
          <w:bCs/>
          <w:color w:val="4F6228"/>
          <w:sz w:val="24"/>
          <w:szCs w:val="24"/>
        </w:rPr>
        <w:t>τη</w:t>
      </w:r>
      <w:r w:rsidRPr="00DC6011">
        <w:rPr>
          <w:rFonts w:eastAsia="SimSun" w:cs="Calibri"/>
          <w:b/>
          <w:bCs/>
          <w:color w:val="4F6228"/>
          <w:sz w:val="24"/>
          <w:szCs w:val="24"/>
        </w:rPr>
        <w:t xml:space="preserve"> </w:t>
      </w:r>
      <w:r w:rsidRPr="00136629">
        <w:rPr>
          <w:rFonts w:eastAsia="SimSun" w:cs="Calibri"/>
          <w:b/>
          <w:bCs/>
          <w:color w:val="4F6228"/>
          <w:sz w:val="24"/>
          <w:szCs w:val="24"/>
          <w:lang w:val="en-GB"/>
        </w:rPr>
        <w:t>Cenergy</w:t>
      </w:r>
      <w:r w:rsidRPr="00DC6011">
        <w:rPr>
          <w:rFonts w:eastAsia="SimSun" w:cs="Calibri"/>
          <w:b/>
          <w:bCs/>
          <w:color w:val="4F6228"/>
          <w:sz w:val="24"/>
          <w:szCs w:val="24"/>
        </w:rPr>
        <w:t xml:space="preserve"> </w:t>
      </w:r>
      <w:r w:rsidRPr="00136629">
        <w:rPr>
          <w:rFonts w:eastAsia="SimSun" w:cs="Calibri"/>
          <w:b/>
          <w:bCs/>
          <w:color w:val="4F6228"/>
          <w:sz w:val="24"/>
          <w:szCs w:val="24"/>
          <w:lang w:val="en-GB"/>
        </w:rPr>
        <w:t>Holdings</w:t>
      </w:r>
    </w:p>
    <w:p w14:paraId="483421CB" w14:textId="77777777" w:rsidR="00AA0DAB" w:rsidRPr="0093527F" w:rsidRDefault="00AA0DAB" w:rsidP="00AA0DAB">
      <w:pPr>
        <w:spacing w:after="120" w:line="240" w:lineRule="auto"/>
        <w:jc w:val="both"/>
        <w:rPr>
          <w:i/>
          <w:iCs/>
          <w:sz w:val="20"/>
          <w:szCs w:val="20"/>
        </w:rPr>
      </w:pPr>
      <w:r w:rsidRPr="009A4F93">
        <w:rPr>
          <w:i/>
          <w:iCs/>
          <w:sz w:val="20"/>
          <w:szCs w:val="20"/>
        </w:rPr>
        <w:t xml:space="preserve">Η </w:t>
      </w:r>
      <w:r w:rsidRPr="009A4F93">
        <w:rPr>
          <w:i/>
          <w:iCs/>
          <w:sz w:val="20"/>
          <w:szCs w:val="20"/>
          <w:lang w:val="en-GB"/>
        </w:rPr>
        <w:t>Cenergy</w:t>
      </w:r>
      <w:r w:rsidRPr="009A4F93">
        <w:rPr>
          <w:i/>
          <w:iCs/>
          <w:sz w:val="20"/>
          <w:szCs w:val="20"/>
        </w:rPr>
        <w:t xml:space="preserve"> </w:t>
      </w:r>
      <w:r w:rsidRPr="009A4F93">
        <w:rPr>
          <w:i/>
          <w:iCs/>
          <w:sz w:val="20"/>
          <w:szCs w:val="20"/>
          <w:lang w:val="en-GB"/>
        </w:rPr>
        <w:t>Holdings</w:t>
      </w:r>
      <w:r w:rsidRPr="009A4F93">
        <w:rPr>
          <w:i/>
          <w:iCs/>
          <w:sz w:val="20"/>
          <w:szCs w:val="20"/>
        </w:rPr>
        <w:t xml:space="preserve"> είναι μια Βέλγικη εταιρεία συμμετοχών εισηγμένη τόσο στο Χρηματιστήριο των Βρυξελλών όσο και στο Χρηματιστήριο των Αθηνών, επενδύοντας σε κορυφαίες βιομηχανικές εταιρείες, εστιάζοντας στην αυξανόμενη παγκόσμια ζήτηση μεταφοράς ενέργειας, ανανεώσιμων πηγών ενέργειας και μετάδοσης δεδομένων.  Το χαρτοφυλάκιο της </w:t>
      </w:r>
      <w:r w:rsidRPr="009A4F93">
        <w:rPr>
          <w:i/>
          <w:iCs/>
          <w:sz w:val="20"/>
          <w:szCs w:val="20"/>
          <w:lang w:val="en-GB"/>
        </w:rPr>
        <w:t>Cenergy</w:t>
      </w:r>
      <w:r w:rsidRPr="009A4F93">
        <w:rPr>
          <w:i/>
          <w:iCs/>
          <w:sz w:val="20"/>
          <w:szCs w:val="20"/>
        </w:rPr>
        <w:t xml:space="preserve"> </w:t>
      </w:r>
      <w:r w:rsidRPr="009A4F93">
        <w:rPr>
          <w:i/>
          <w:iCs/>
          <w:sz w:val="20"/>
          <w:szCs w:val="20"/>
          <w:lang w:val="en-GB"/>
        </w:rPr>
        <w:t>Holdings</w:t>
      </w:r>
      <w:r w:rsidRPr="009A4F93">
        <w:rPr>
          <w:i/>
          <w:iCs/>
          <w:sz w:val="20"/>
          <w:szCs w:val="20"/>
        </w:rPr>
        <w:t xml:space="preserve"> αποτελείται από τη Σωληνουργεία Κορίνθου</w:t>
      </w:r>
      <w:r>
        <w:rPr>
          <w:i/>
          <w:iCs/>
          <w:sz w:val="20"/>
          <w:szCs w:val="20"/>
        </w:rPr>
        <w:t xml:space="preserve"> και </w:t>
      </w:r>
      <w:r w:rsidRPr="009A4F93">
        <w:rPr>
          <w:i/>
          <w:iCs/>
          <w:sz w:val="20"/>
          <w:szCs w:val="20"/>
        </w:rPr>
        <w:t xml:space="preserve">τη </w:t>
      </w:r>
      <w:r w:rsidRPr="009A4F93">
        <w:rPr>
          <w:i/>
          <w:iCs/>
          <w:sz w:val="20"/>
          <w:szCs w:val="20"/>
          <w:lang w:val="en-GB"/>
        </w:rPr>
        <w:t>Hellenic</w:t>
      </w:r>
      <w:r w:rsidRPr="009A4F93">
        <w:rPr>
          <w:i/>
          <w:iCs/>
          <w:sz w:val="20"/>
          <w:szCs w:val="20"/>
        </w:rPr>
        <w:t xml:space="preserve"> </w:t>
      </w:r>
      <w:r w:rsidRPr="009A4F93">
        <w:rPr>
          <w:i/>
          <w:iCs/>
          <w:sz w:val="20"/>
          <w:szCs w:val="20"/>
          <w:lang w:val="en-GB"/>
        </w:rPr>
        <w:t>Cables</w:t>
      </w:r>
      <w:r w:rsidRPr="009A4F93">
        <w:rPr>
          <w:i/>
          <w:iCs/>
          <w:sz w:val="20"/>
          <w:szCs w:val="20"/>
        </w:rPr>
        <w:t xml:space="preserve">, εταιρείες που βρίσκονται στην πρώτη γραμμή των αντίστοιχων τομέων ανάπτυξης. Η </w:t>
      </w:r>
      <w:r w:rsidRPr="009A4F93">
        <w:rPr>
          <w:i/>
          <w:iCs/>
          <w:sz w:val="20"/>
          <w:szCs w:val="20"/>
          <w:lang w:val="en-GB"/>
        </w:rPr>
        <w:t>Hellenic</w:t>
      </w:r>
      <w:r w:rsidRPr="009A4F93">
        <w:rPr>
          <w:i/>
          <w:iCs/>
          <w:sz w:val="20"/>
          <w:szCs w:val="20"/>
        </w:rPr>
        <w:t xml:space="preserve"> </w:t>
      </w:r>
      <w:r w:rsidRPr="009A4F93">
        <w:rPr>
          <w:i/>
          <w:iCs/>
          <w:sz w:val="20"/>
          <w:szCs w:val="20"/>
          <w:lang w:val="en-GB"/>
        </w:rPr>
        <w:t>Cables</w:t>
      </w:r>
      <w:r w:rsidRPr="009A4F93">
        <w:rPr>
          <w:i/>
          <w:iCs/>
          <w:sz w:val="20"/>
          <w:szCs w:val="20"/>
        </w:rPr>
        <w:t xml:space="preserve"> είναι ένας από τους μεγαλύτερους παραγωγούς καλωδίων στην Ευρώπη, κατασκευάζοντας καλώδια ισχύος και τηλεπικοινωνιών καθώς και υποβρύχια καλώδια. Η Σωληνουργεία Κορίνθου είναι παγκόσμιος ηγέτης στην κατασκευή σωλήνων χάλυβα για τον τομέα </w:t>
      </w:r>
      <w:r>
        <w:rPr>
          <w:i/>
          <w:iCs/>
          <w:sz w:val="20"/>
          <w:szCs w:val="20"/>
        </w:rPr>
        <w:t>ενέργειας</w:t>
      </w:r>
      <w:r w:rsidRPr="009A4F93">
        <w:rPr>
          <w:i/>
          <w:iCs/>
          <w:sz w:val="20"/>
          <w:szCs w:val="20"/>
        </w:rPr>
        <w:t xml:space="preserve"> και σημαντικός παραγωγός κοίλων τμημάτων χάλυβα για τον κατασκευαστικό τομέα.  Για περισσότερες πληροφορίες σχετικά με την εταιρεία μας, παρακαλώ επισκεφθείτε την ιστοσελίδα μας </w:t>
      </w:r>
      <w:hyperlink r:id="rId16" w:history="1">
        <w:r w:rsidRPr="005B6F0C">
          <w:rPr>
            <w:rStyle w:val="-"/>
            <w:i/>
            <w:iCs/>
            <w:sz w:val="20"/>
            <w:szCs w:val="20"/>
            <w:lang w:val="en-GB"/>
          </w:rPr>
          <w:t>www</w:t>
        </w:r>
        <w:r w:rsidRPr="005B6F0C">
          <w:rPr>
            <w:rStyle w:val="-"/>
            <w:i/>
            <w:iCs/>
            <w:sz w:val="20"/>
            <w:szCs w:val="20"/>
          </w:rPr>
          <w:t>.</w:t>
        </w:r>
        <w:r w:rsidRPr="005B6F0C">
          <w:rPr>
            <w:rStyle w:val="-"/>
            <w:i/>
            <w:iCs/>
            <w:sz w:val="20"/>
            <w:szCs w:val="20"/>
            <w:lang w:val="en-GB"/>
          </w:rPr>
          <w:t>cenergyholdings</w:t>
        </w:r>
        <w:r w:rsidRPr="005B6F0C">
          <w:rPr>
            <w:rStyle w:val="-"/>
            <w:i/>
            <w:iCs/>
            <w:sz w:val="20"/>
            <w:szCs w:val="20"/>
          </w:rPr>
          <w:t>.</w:t>
        </w:r>
        <w:r w:rsidRPr="005B6F0C">
          <w:rPr>
            <w:rStyle w:val="-"/>
            <w:i/>
            <w:iCs/>
            <w:sz w:val="20"/>
            <w:szCs w:val="20"/>
            <w:lang w:val="en-GB"/>
          </w:rPr>
          <w:t>com</w:t>
        </w:r>
      </w:hyperlink>
      <w:r w:rsidRPr="00B670E3">
        <w:rPr>
          <w:i/>
          <w:iCs/>
          <w:sz w:val="20"/>
          <w:szCs w:val="20"/>
        </w:rPr>
        <w:t>.</w:t>
      </w:r>
    </w:p>
    <w:p w14:paraId="7DA2BAFD" w14:textId="77777777" w:rsidR="007C3572" w:rsidRDefault="007C3572" w:rsidP="007C3572">
      <w:pPr>
        <w:keepNext/>
        <w:keepLines/>
        <w:spacing w:after="120" w:line="240" w:lineRule="auto"/>
        <w:jc w:val="both"/>
        <w:outlineLvl w:val="1"/>
        <w:rPr>
          <w:rFonts w:eastAsia="SimSun" w:cs="Calibri"/>
          <w:b/>
          <w:bCs/>
          <w:color w:val="4F6228"/>
          <w:sz w:val="24"/>
          <w:szCs w:val="24"/>
        </w:rPr>
      </w:pPr>
      <w:r w:rsidRPr="002B5B1B">
        <w:rPr>
          <w:rFonts w:eastAsia="SimSun" w:cs="Calibri"/>
          <w:b/>
          <w:bCs/>
          <w:color w:val="4F6228"/>
          <w:sz w:val="24"/>
          <w:szCs w:val="24"/>
        </w:rPr>
        <w:t>Επικοινωνία</w:t>
      </w:r>
    </w:p>
    <w:p w14:paraId="66EC6C73" w14:textId="77777777" w:rsidR="007C3572" w:rsidRPr="00B715E1" w:rsidRDefault="007C3572" w:rsidP="007C3572">
      <w:pPr>
        <w:spacing w:after="120" w:line="240" w:lineRule="auto"/>
        <w:jc w:val="both"/>
        <w:rPr>
          <w:sz w:val="20"/>
          <w:szCs w:val="20"/>
        </w:rPr>
      </w:pPr>
      <w:r w:rsidRPr="00B715E1">
        <w:rPr>
          <w:sz w:val="20"/>
          <w:szCs w:val="20"/>
        </w:rPr>
        <w:t xml:space="preserve">Για περισσότερες πληροφορίες, </w:t>
      </w:r>
      <w:bookmarkStart w:id="26" w:name="_Hlk145690048"/>
      <w:r w:rsidRPr="00B715E1">
        <w:rPr>
          <w:sz w:val="20"/>
          <w:szCs w:val="20"/>
        </w:rPr>
        <w:t>μπορείτε να επικοινωνείτε</w:t>
      </w:r>
      <w:bookmarkEnd w:id="26"/>
      <w:r w:rsidRPr="00B715E1">
        <w:rPr>
          <w:sz w:val="20"/>
          <w:szCs w:val="20"/>
        </w:rPr>
        <w:t>:</w:t>
      </w:r>
    </w:p>
    <w:p w14:paraId="17097164" w14:textId="77777777" w:rsidR="007C3572" w:rsidRPr="00771AE5" w:rsidRDefault="007C3572" w:rsidP="007C3572">
      <w:pPr>
        <w:spacing w:after="0" w:line="240" w:lineRule="auto"/>
        <w:jc w:val="both"/>
        <w:rPr>
          <w:rFonts w:cs="Calibri"/>
          <w:b/>
          <w:color w:val="000000"/>
          <w:sz w:val="20"/>
          <w:szCs w:val="20"/>
        </w:rPr>
      </w:pPr>
      <w:r w:rsidRPr="00B715E1">
        <w:rPr>
          <w:rFonts w:cs="Calibri"/>
          <w:b/>
          <w:color w:val="000000"/>
          <w:sz w:val="20"/>
          <w:szCs w:val="20"/>
        </w:rPr>
        <w:t>Σοφία</w:t>
      </w:r>
      <w:r w:rsidRPr="00771AE5">
        <w:rPr>
          <w:rFonts w:cs="Calibri"/>
          <w:b/>
          <w:color w:val="000000"/>
          <w:sz w:val="20"/>
          <w:szCs w:val="20"/>
        </w:rPr>
        <w:t xml:space="preserve"> </w:t>
      </w:r>
      <w:r w:rsidRPr="00B715E1">
        <w:rPr>
          <w:rFonts w:cs="Calibri"/>
          <w:b/>
          <w:color w:val="000000"/>
          <w:sz w:val="20"/>
          <w:szCs w:val="20"/>
        </w:rPr>
        <w:t>Ζαΐρη</w:t>
      </w:r>
    </w:p>
    <w:p w14:paraId="604FB53C" w14:textId="77777777" w:rsidR="007C3572" w:rsidRPr="00B715E1" w:rsidRDefault="007C3572" w:rsidP="007C3572">
      <w:pPr>
        <w:spacing w:after="0"/>
        <w:jc w:val="both"/>
        <w:rPr>
          <w:rFonts w:cs="Calibri"/>
          <w:b/>
          <w:color w:val="000000"/>
          <w:sz w:val="20"/>
          <w:szCs w:val="20"/>
        </w:rPr>
      </w:pPr>
      <w:r w:rsidRPr="00B715E1">
        <w:rPr>
          <w:b/>
          <w:color w:val="000000"/>
          <w:sz w:val="20"/>
        </w:rPr>
        <w:t>Διευθύντρια Επενδυτικών Σχέσεων</w:t>
      </w:r>
    </w:p>
    <w:p w14:paraId="6CE8A991" w14:textId="77777777" w:rsidR="007C3572" w:rsidRPr="00771AE5" w:rsidRDefault="007C3572" w:rsidP="007C3572">
      <w:pPr>
        <w:spacing w:after="0"/>
        <w:jc w:val="both"/>
        <w:rPr>
          <w:rFonts w:cs="Calibri"/>
          <w:color w:val="000000"/>
          <w:sz w:val="20"/>
          <w:szCs w:val="20"/>
        </w:rPr>
      </w:pPr>
      <w:r w:rsidRPr="00B715E1">
        <w:rPr>
          <w:color w:val="000000"/>
          <w:sz w:val="20"/>
        </w:rPr>
        <w:t>Τηλ</w:t>
      </w:r>
      <w:r w:rsidRPr="00771AE5">
        <w:rPr>
          <w:color w:val="000000"/>
          <w:sz w:val="20"/>
        </w:rPr>
        <w:t>: +30 210 678</w:t>
      </w:r>
      <w:r>
        <w:rPr>
          <w:color w:val="000000"/>
          <w:sz w:val="20"/>
        </w:rPr>
        <w:t xml:space="preserve"> </w:t>
      </w:r>
      <w:r w:rsidRPr="00771AE5">
        <w:rPr>
          <w:color w:val="000000"/>
          <w:sz w:val="20"/>
        </w:rPr>
        <w:t>7111</w:t>
      </w:r>
      <w:r w:rsidRPr="002B5B1B">
        <w:rPr>
          <w:color w:val="000000"/>
          <w:sz w:val="20"/>
        </w:rPr>
        <w:t>, +30 210 678</w:t>
      </w:r>
      <w:r>
        <w:rPr>
          <w:color w:val="000000"/>
          <w:sz w:val="20"/>
        </w:rPr>
        <w:t xml:space="preserve"> </w:t>
      </w:r>
      <w:r w:rsidRPr="002B5B1B">
        <w:rPr>
          <w:color w:val="000000"/>
          <w:sz w:val="20"/>
        </w:rPr>
        <w:t>7773</w:t>
      </w:r>
    </w:p>
    <w:p w14:paraId="34BE19A9" w14:textId="77777777" w:rsidR="007C3572" w:rsidRDefault="007C3572" w:rsidP="007C3572">
      <w:pPr>
        <w:spacing w:after="0"/>
        <w:jc w:val="both"/>
        <w:rPr>
          <w:rStyle w:val="-"/>
          <w:sz w:val="20"/>
        </w:rPr>
      </w:pPr>
      <w:r w:rsidRPr="00B715E1">
        <w:rPr>
          <w:color w:val="000000"/>
          <w:sz w:val="20"/>
          <w:lang w:val="en-US"/>
        </w:rPr>
        <w:t>Email</w:t>
      </w:r>
      <w:r w:rsidRPr="00771AE5">
        <w:rPr>
          <w:color w:val="000000"/>
          <w:sz w:val="20"/>
        </w:rPr>
        <w:t xml:space="preserve">: </w:t>
      </w:r>
      <w:hyperlink r:id="rId17" w:history="1">
        <w:r w:rsidRPr="00B715E1">
          <w:rPr>
            <w:rStyle w:val="-"/>
            <w:sz w:val="20"/>
            <w:lang w:val="en-US"/>
          </w:rPr>
          <w:t>ir</w:t>
        </w:r>
        <w:r w:rsidRPr="00771AE5">
          <w:rPr>
            <w:rStyle w:val="-"/>
            <w:sz w:val="20"/>
          </w:rPr>
          <w:t>@</w:t>
        </w:r>
        <w:r w:rsidRPr="00B715E1">
          <w:rPr>
            <w:rStyle w:val="-"/>
            <w:sz w:val="20"/>
            <w:lang w:val="en-US"/>
          </w:rPr>
          <w:t>cenergyholdings</w:t>
        </w:r>
        <w:r w:rsidRPr="00771AE5">
          <w:rPr>
            <w:rStyle w:val="-"/>
            <w:sz w:val="20"/>
          </w:rPr>
          <w:t>.</w:t>
        </w:r>
        <w:r w:rsidRPr="00B715E1">
          <w:rPr>
            <w:rStyle w:val="-"/>
            <w:sz w:val="20"/>
            <w:lang w:val="en-US"/>
          </w:rPr>
          <w:t>com</w:t>
        </w:r>
      </w:hyperlink>
    </w:p>
    <w:bookmarkEnd w:id="25"/>
    <w:p w14:paraId="29637D17" w14:textId="77777777" w:rsidR="007C3572" w:rsidRDefault="007C3572" w:rsidP="007C3572">
      <w:pPr>
        <w:spacing w:after="0"/>
        <w:jc w:val="both"/>
        <w:rPr>
          <w:rStyle w:val="-"/>
          <w:sz w:val="20"/>
        </w:rPr>
      </w:pPr>
    </w:p>
    <w:p w14:paraId="17EE1265" w14:textId="3FE902C5" w:rsidR="00C6411D" w:rsidRDefault="00C6411D">
      <w:pPr>
        <w:spacing w:after="0" w:line="240" w:lineRule="auto"/>
        <w:rPr>
          <w:rFonts w:eastAsia="SimSun" w:cs="Calibri"/>
          <w:b/>
          <w:bCs/>
          <w:color w:val="4F6228"/>
          <w:sz w:val="24"/>
          <w:szCs w:val="24"/>
        </w:rPr>
      </w:pPr>
    </w:p>
    <w:p w14:paraId="2A22F654" w14:textId="68C2E592" w:rsidR="004C01D1" w:rsidRPr="007C3572" w:rsidRDefault="007C3572" w:rsidP="006B321F">
      <w:pPr>
        <w:keepNext/>
        <w:keepLines/>
        <w:spacing w:after="120" w:line="240" w:lineRule="auto"/>
        <w:jc w:val="both"/>
        <w:outlineLvl w:val="1"/>
        <w:rPr>
          <w:rFonts w:eastAsia="SimSun" w:cs="Calibri"/>
          <w:b/>
          <w:bCs/>
          <w:color w:val="4F6228"/>
          <w:sz w:val="24"/>
          <w:szCs w:val="24"/>
        </w:rPr>
      </w:pPr>
      <w:r w:rsidRPr="00136629">
        <w:rPr>
          <w:rFonts w:eastAsia="SimSun" w:cs="Calibri"/>
          <w:b/>
          <w:bCs/>
          <w:color w:val="4F6228"/>
          <w:sz w:val="24"/>
          <w:szCs w:val="24"/>
        </w:rPr>
        <w:t xml:space="preserve">Παράρτημα </w:t>
      </w:r>
      <w:r w:rsidRPr="00136629">
        <w:rPr>
          <w:rFonts w:eastAsia="SimSun" w:cs="Calibri"/>
          <w:b/>
          <w:bCs/>
          <w:color w:val="4F6228"/>
          <w:sz w:val="24"/>
          <w:szCs w:val="24"/>
          <w:lang w:val="en-GB"/>
        </w:rPr>
        <w:t>A</w:t>
      </w:r>
      <w:r w:rsidRPr="00136629">
        <w:rPr>
          <w:rFonts w:eastAsia="SimSun" w:cs="Calibri"/>
          <w:b/>
          <w:bCs/>
          <w:color w:val="4F6228"/>
          <w:sz w:val="24"/>
          <w:szCs w:val="24"/>
        </w:rPr>
        <w:t xml:space="preserve"> – Συνοπτική Ενοποιημένη Κατάσταση Αποτελεσμάτων</w:t>
      </w:r>
    </w:p>
    <w:tbl>
      <w:tblPr>
        <w:tblW w:w="10133" w:type="dxa"/>
        <w:tblLook w:val="04A0" w:firstRow="1" w:lastRow="0" w:firstColumn="1" w:lastColumn="0" w:noHBand="0" w:noVBand="1"/>
      </w:tblPr>
      <w:tblGrid>
        <w:gridCol w:w="6292"/>
        <w:gridCol w:w="1850"/>
        <w:gridCol w:w="266"/>
        <w:gridCol w:w="1725"/>
      </w:tblGrid>
      <w:tr w:rsidR="004C01D1" w:rsidRPr="007C3572" w14:paraId="35891F9D" w14:textId="77777777" w:rsidTr="00BB65A0">
        <w:trPr>
          <w:trHeight w:val="300"/>
        </w:trPr>
        <w:tc>
          <w:tcPr>
            <w:tcW w:w="6292" w:type="dxa"/>
            <w:tcBorders>
              <w:top w:val="nil"/>
              <w:left w:val="nil"/>
              <w:bottom w:val="nil"/>
              <w:right w:val="nil"/>
            </w:tcBorders>
            <w:shd w:val="clear" w:color="auto" w:fill="auto"/>
            <w:noWrap/>
            <w:vAlign w:val="bottom"/>
            <w:hideMark/>
          </w:tcPr>
          <w:p w14:paraId="1A50C331" w14:textId="77777777" w:rsidR="004C01D1" w:rsidRPr="007C3572" w:rsidRDefault="004C01D1" w:rsidP="004C6AD8">
            <w:pPr>
              <w:spacing w:after="0" w:line="240" w:lineRule="auto"/>
              <w:jc w:val="both"/>
              <w:rPr>
                <w:rFonts w:eastAsia="Times New Roman"/>
                <w:color w:val="000000"/>
                <w:lang w:eastAsia="el-GR"/>
              </w:rPr>
            </w:pPr>
          </w:p>
        </w:tc>
        <w:tc>
          <w:tcPr>
            <w:tcW w:w="3841" w:type="dxa"/>
            <w:gridSpan w:val="3"/>
            <w:tcBorders>
              <w:top w:val="nil"/>
              <w:left w:val="nil"/>
              <w:bottom w:val="nil"/>
              <w:right w:val="nil"/>
            </w:tcBorders>
            <w:shd w:val="clear" w:color="000000" w:fill="FFFFFF"/>
            <w:vAlign w:val="center"/>
            <w:hideMark/>
          </w:tcPr>
          <w:p w14:paraId="275CFE00" w14:textId="45F477C7" w:rsidR="004C01D1" w:rsidRPr="007C3572" w:rsidRDefault="007C3572" w:rsidP="004C6AD8">
            <w:pPr>
              <w:spacing w:after="0" w:line="240" w:lineRule="auto"/>
              <w:jc w:val="right"/>
              <w:rPr>
                <w:rFonts w:eastAsia="Times New Roman"/>
                <w:b/>
                <w:bCs/>
                <w:color w:val="000000"/>
                <w:u w:val="single"/>
                <w:lang w:eastAsia="el-GR"/>
              </w:rPr>
            </w:pPr>
            <w:r w:rsidRPr="00734618">
              <w:rPr>
                <w:b/>
                <w:color w:val="000000"/>
                <w:sz w:val="20"/>
                <w:szCs w:val="20"/>
                <w:u w:val="single"/>
              </w:rPr>
              <w:t>Για το εξάμηνο που έληξε την 30ή Ιουνίου</w:t>
            </w:r>
          </w:p>
        </w:tc>
      </w:tr>
      <w:tr w:rsidR="007C3572" w:rsidRPr="008414D9" w14:paraId="029F8A55" w14:textId="77777777" w:rsidTr="00BB65A0">
        <w:trPr>
          <w:trHeight w:val="300"/>
        </w:trPr>
        <w:tc>
          <w:tcPr>
            <w:tcW w:w="6292" w:type="dxa"/>
            <w:tcBorders>
              <w:top w:val="nil"/>
              <w:left w:val="nil"/>
              <w:bottom w:val="nil"/>
              <w:right w:val="nil"/>
            </w:tcBorders>
            <w:shd w:val="clear" w:color="000000" w:fill="FFFFFF"/>
            <w:noWrap/>
            <w:vAlign w:val="center"/>
            <w:hideMark/>
          </w:tcPr>
          <w:p w14:paraId="688EAD2A" w14:textId="4F70ADAF" w:rsidR="007C3572" w:rsidRPr="008414D9" w:rsidRDefault="007C3572" w:rsidP="007C3572">
            <w:pPr>
              <w:spacing w:after="0" w:line="240" w:lineRule="auto"/>
              <w:jc w:val="both"/>
              <w:rPr>
                <w:rFonts w:eastAsia="Times New Roman"/>
                <w:i/>
                <w:iCs/>
                <w:color w:val="000000"/>
                <w:lang w:val="en-GB" w:eastAsia="el-GR"/>
              </w:rPr>
            </w:pPr>
            <w:r w:rsidRPr="00734618">
              <w:rPr>
                <w:i/>
                <w:color w:val="000000"/>
                <w:sz w:val="20"/>
                <w:szCs w:val="20"/>
              </w:rPr>
              <w:t>Ποσά σε χιλιάδες ευρώ</w:t>
            </w:r>
          </w:p>
        </w:tc>
        <w:tc>
          <w:tcPr>
            <w:tcW w:w="1850" w:type="dxa"/>
            <w:tcBorders>
              <w:top w:val="nil"/>
              <w:left w:val="nil"/>
              <w:bottom w:val="nil"/>
              <w:right w:val="nil"/>
            </w:tcBorders>
            <w:shd w:val="clear" w:color="000000" w:fill="FFFFFF"/>
            <w:noWrap/>
            <w:vAlign w:val="center"/>
            <w:hideMark/>
          </w:tcPr>
          <w:p w14:paraId="44960A03" w14:textId="242F3B1D" w:rsidR="007C3572" w:rsidRPr="008414D9" w:rsidRDefault="007C3572" w:rsidP="007C3572">
            <w:pPr>
              <w:spacing w:after="0" w:line="240" w:lineRule="auto"/>
              <w:jc w:val="right"/>
              <w:rPr>
                <w:rFonts w:eastAsia="Times New Roman"/>
                <w:b/>
                <w:bCs/>
                <w:color w:val="000000"/>
                <w:lang w:val="en-GB" w:eastAsia="el-GR"/>
              </w:rPr>
            </w:pPr>
            <w:r w:rsidRPr="008414D9">
              <w:rPr>
                <w:rFonts w:eastAsia="Times New Roman"/>
                <w:b/>
                <w:bCs/>
                <w:color w:val="000000"/>
                <w:lang w:val="en-GB" w:eastAsia="el-GR"/>
              </w:rPr>
              <w:t>202</w:t>
            </w:r>
            <w:r>
              <w:rPr>
                <w:rFonts w:eastAsia="Times New Roman"/>
                <w:b/>
                <w:bCs/>
                <w:color w:val="000000"/>
                <w:lang w:val="en-GB" w:eastAsia="el-GR"/>
              </w:rPr>
              <w:t>4</w:t>
            </w:r>
          </w:p>
        </w:tc>
        <w:tc>
          <w:tcPr>
            <w:tcW w:w="266" w:type="dxa"/>
            <w:tcBorders>
              <w:top w:val="nil"/>
              <w:left w:val="nil"/>
              <w:bottom w:val="nil"/>
              <w:right w:val="nil"/>
            </w:tcBorders>
            <w:shd w:val="clear" w:color="000000" w:fill="FFFFFF"/>
            <w:vAlign w:val="center"/>
            <w:hideMark/>
          </w:tcPr>
          <w:p w14:paraId="4B0AE231" w14:textId="77777777" w:rsidR="007C3572" w:rsidRPr="008414D9" w:rsidRDefault="007C3572" w:rsidP="007C3572">
            <w:pPr>
              <w:spacing w:after="0" w:line="240" w:lineRule="auto"/>
              <w:jc w:val="right"/>
              <w:rPr>
                <w:rFonts w:eastAsia="Times New Roman"/>
                <w:b/>
                <w:bCs/>
                <w:color w:val="000000"/>
                <w:lang w:val="en-GB" w:eastAsia="el-GR"/>
              </w:rPr>
            </w:pPr>
            <w:r w:rsidRPr="008414D9">
              <w:rPr>
                <w:rFonts w:eastAsia="Times New Roman"/>
                <w:b/>
                <w:bCs/>
                <w:color w:val="000000"/>
                <w:lang w:val="en-GB" w:eastAsia="el-GR"/>
              </w:rPr>
              <w:t> </w:t>
            </w:r>
          </w:p>
        </w:tc>
        <w:tc>
          <w:tcPr>
            <w:tcW w:w="1725" w:type="dxa"/>
            <w:tcBorders>
              <w:top w:val="nil"/>
              <w:left w:val="nil"/>
              <w:bottom w:val="nil"/>
              <w:right w:val="nil"/>
            </w:tcBorders>
            <w:shd w:val="clear" w:color="000000" w:fill="FFFFFF"/>
            <w:noWrap/>
            <w:vAlign w:val="center"/>
            <w:hideMark/>
          </w:tcPr>
          <w:p w14:paraId="7B94481D" w14:textId="0FE1F8FF" w:rsidR="007C3572" w:rsidRPr="008414D9" w:rsidRDefault="007C3572" w:rsidP="007C3572">
            <w:pPr>
              <w:spacing w:after="0" w:line="240" w:lineRule="auto"/>
              <w:jc w:val="right"/>
              <w:rPr>
                <w:rFonts w:eastAsia="Times New Roman"/>
                <w:b/>
                <w:bCs/>
                <w:color w:val="000000"/>
                <w:lang w:val="en-GB" w:eastAsia="el-GR"/>
              </w:rPr>
            </w:pPr>
            <w:r w:rsidRPr="008414D9">
              <w:rPr>
                <w:rFonts w:eastAsia="Times New Roman"/>
                <w:b/>
                <w:bCs/>
                <w:color w:val="000000"/>
                <w:lang w:val="en-GB" w:eastAsia="el-GR"/>
              </w:rPr>
              <w:t>202</w:t>
            </w:r>
            <w:r>
              <w:rPr>
                <w:rFonts w:eastAsia="Times New Roman"/>
                <w:b/>
                <w:bCs/>
                <w:color w:val="000000"/>
                <w:lang w:val="en-GB" w:eastAsia="el-GR"/>
              </w:rPr>
              <w:t>3</w:t>
            </w:r>
          </w:p>
        </w:tc>
      </w:tr>
      <w:tr w:rsidR="007C3572" w:rsidRPr="008414D9" w14:paraId="633A37CD" w14:textId="77777777" w:rsidTr="004A77C8">
        <w:trPr>
          <w:trHeight w:val="300"/>
        </w:trPr>
        <w:tc>
          <w:tcPr>
            <w:tcW w:w="6292" w:type="dxa"/>
            <w:tcBorders>
              <w:top w:val="nil"/>
              <w:left w:val="nil"/>
              <w:bottom w:val="nil"/>
              <w:right w:val="nil"/>
            </w:tcBorders>
            <w:shd w:val="clear" w:color="000000" w:fill="FFFFFF"/>
            <w:noWrap/>
            <w:vAlign w:val="center"/>
            <w:hideMark/>
          </w:tcPr>
          <w:p w14:paraId="3D8A93DB" w14:textId="65B0A2EE" w:rsidR="007C3572" w:rsidRPr="008414D9" w:rsidRDefault="007C3572" w:rsidP="007C3572">
            <w:pPr>
              <w:spacing w:after="0" w:line="240" w:lineRule="auto"/>
              <w:jc w:val="both"/>
              <w:rPr>
                <w:rFonts w:eastAsia="Times New Roman"/>
                <w:b/>
                <w:bCs/>
                <w:lang w:val="en-GB" w:eastAsia="el-GR"/>
              </w:rPr>
            </w:pPr>
            <w:r w:rsidRPr="00124F26">
              <w:rPr>
                <w:b/>
                <w:bCs/>
                <w:color w:val="000000"/>
                <w:sz w:val="20"/>
                <w:szCs w:val="20"/>
              </w:rPr>
              <w:t>Πωλήσεις</w:t>
            </w:r>
          </w:p>
        </w:tc>
        <w:tc>
          <w:tcPr>
            <w:tcW w:w="1850" w:type="dxa"/>
            <w:tcBorders>
              <w:top w:val="nil"/>
              <w:left w:val="nil"/>
              <w:bottom w:val="nil"/>
              <w:right w:val="nil"/>
            </w:tcBorders>
            <w:shd w:val="clear" w:color="auto" w:fill="E2EFD9"/>
            <w:noWrap/>
            <w:vAlign w:val="bottom"/>
          </w:tcPr>
          <w:p w14:paraId="0856FC26" w14:textId="1700D0FB" w:rsidR="007C3572" w:rsidRPr="001E40C9" w:rsidRDefault="007C3572" w:rsidP="007C3572">
            <w:pPr>
              <w:spacing w:after="0" w:line="240" w:lineRule="auto"/>
              <w:jc w:val="right"/>
              <w:rPr>
                <w:rFonts w:cs="Calibri"/>
                <w:color w:val="000000"/>
                <w:lang w:val="en-GB"/>
              </w:rPr>
            </w:pPr>
            <w:r w:rsidRPr="001E40C9">
              <w:rPr>
                <w:rFonts w:cs="Calibri"/>
                <w:color w:val="000000"/>
              </w:rPr>
              <w:t>812</w:t>
            </w:r>
            <w:r>
              <w:rPr>
                <w:rFonts w:cs="Calibri"/>
                <w:color w:val="000000"/>
              </w:rPr>
              <w:t>.</w:t>
            </w:r>
            <w:r w:rsidRPr="001E40C9">
              <w:rPr>
                <w:rFonts w:cs="Calibri"/>
                <w:color w:val="000000"/>
              </w:rPr>
              <w:t>157</w:t>
            </w:r>
          </w:p>
        </w:tc>
        <w:tc>
          <w:tcPr>
            <w:tcW w:w="266" w:type="dxa"/>
            <w:tcBorders>
              <w:top w:val="nil"/>
              <w:left w:val="nil"/>
              <w:bottom w:val="nil"/>
              <w:right w:val="nil"/>
            </w:tcBorders>
            <w:shd w:val="clear" w:color="000000" w:fill="FFFFFF"/>
            <w:noWrap/>
            <w:vAlign w:val="bottom"/>
            <w:hideMark/>
          </w:tcPr>
          <w:p w14:paraId="0C140225" w14:textId="6893D887" w:rsidR="007C3572" w:rsidRPr="00C213E7" w:rsidRDefault="007C3572" w:rsidP="007C3572">
            <w:pPr>
              <w:spacing w:after="0" w:line="240" w:lineRule="auto"/>
              <w:jc w:val="right"/>
              <w:rPr>
                <w:rFonts w:cs="Calibri"/>
                <w:color w:val="000000"/>
                <w:lang w:val="en-GB"/>
              </w:rPr>
            </w:pPr>
            <w:r w:rsidRPr="00C213E7">
              <w:rPr>
                <w:rFonts w:cs="Calibri"/>
                <w:color w:val="000000"/>
              </w:rPr>
              <w:t> </w:t>
            </w:r>
          </w:p>
        </w:tc>
        <w:tc>
          <w:tcPr>
            <w:tcW w:w="1725" w:type="dxa"/>
            <w:tcBorders>
              <w:top w:val="nil"/>
              <w:left w:val="nil"/>
              <w:bottom w:val="nil"/>
              <w:right w:val="nil"/>
            </w:tcBorders>
            <w:shd w:val="clear" w:color="000000" w:fill="FFFFFF"/>
            <w:noWrap/>
            <w:vAlign w:val="bottom"/>
            <w:hideMark/>
          </w:tcPr>
          <w:p w14:paraId="76A2EBBA" w14:textId="5ACE34C9" w:rsidR="007C3572" w:rsidRPr="00C213E7" w:rsidRDefault="007C3572" w:rsidP="007C3572">
            <w:pPr>
              <w:spacing w:after="0" w:line="240" w:lineRule="auto"/>
              <w:jc w:val="right"/>
              <w:rPr>
                <w:rFonts w:cs="Calibri"/>
                <w:color w:val="000000"/>
                <w:lang w:val="en-GB"/>
              </w:rPr>
            </w:pPr>
            <w:r w:rsidRPr="00C213E7">
              <w:rPr>
                <w:rFonts w:cs="Calibri"/>
                <w:color w:val="000000"/>
              </w:rPr>
              <w:t>798</w:t>
            </w:r>
            <w:r>
              <w:rPr>
                <w:rFonts w:cs="Calibri"/>
                <w:color w:val="000000"/>
              </w:rPr>
              <w:t>.</w:t>
            </w:r>
            <w:r w:rsidRPr="00C213E7">
              <w:rPr>
                <w:rFonts w:cs="Calibri"/>
                <w:color w:val="000000"/>
              </w:rPr>
              <w:t>272</w:t>
            </w:r>
          </w:p>
        </w:tc>
      </w:tr>
      <w:tr w:rsidR="007C3572" w:rsidRPr="008414D9" w14:paraId="3110DAC0" w14:textId="77777777" w:rsidTr="004A77C8">
        <w:trPr>
          <w:trHeight w:val="300"/>
        </w:trPr>
        <w:tc>
          <w:tcPr>
            <w:tcW w:w="6292" w:type="dxa"/>
            <w:tcBorders>
              <w:top w:val="nil"/>
              <w:left w:val="nil"/>
              <w:bottom w:val="nil"/>
              <w:right w:val="nil"/>
            </w:tcBorders>
            <w:shd w:val="clear" w:color="000000" w:fill="FFFFFF"/>
            <w:noWrap/>
            <w:vAlign w:val="center"/>
            <w:hideMark/>
          </w:tcPr>
          <w:p w14:paraId="4B7BAFC7" w14:textId="4FD83C45" w:rsidR="007C3572" w:rsidRPr="008414D9" w:rsidRDefault="007C3572" w:rsidP="007C3572">
            <w:pPr>
              <w:spacing w:after="0" w:line="240" w:lineRule="auto"/>
              <w:jc w:val="both"/>
              <w:rPr>
                <w:rFonts w:eastAsia="Times New Roman"/>
                <w:lang w:val="en-GB" w:eastAsia="el-GR"/>
              </w:rPr>
            </w:pPr>
            <w:r w:rsidRPr="00734618">
              <w:rPr>
                <w:color w:val="000000"/>
                <w:sz w:val="20"/>
                <w:szCs w:val="20"/>
              </w:rPr>
              <w:t>Κόστος πωληθέντων</w:t>
            </w:r>
          </w:p>
        </w:tc>
        <w:tc>
          <w:tcPr>
            <w:tcW w:w="1850" w:type="dxa"/>
            <w:tcBorders>
              <w:top w:val="nil"/>
              <w:left w:val="nil"/>
              <w:bottom w:val="nil"/>
              <w:right w:val="nil"/>
            </w:tcBorders>
            <w:shd w:val="clear" w:color="auto" w:fill="E2EFD9"/>
            <w:noWrap/>
            <w:vAlign w:val="bottom"/>
          </w:tcPr>
          <w:p w14:paraId="63134C3E" w14:textId="12F9D14C" w:rsidR="007C3572" w:rsidRPr="001E40C9" w:rsidRDefault="007C3572" w:rsidP="007C3572">
            <w:pPr>
              <w:spacing w:after="0" w:line="240" w:lineRule="auto"/>
              <w:jc w:val="right"/>
              <w:rPr>
                <w:rFonts w:cs="Calibri"/>
                <w:color w:val="000000"/>
                <w:lang w:val="en-GB"/>
              </w:rPr>
            </w:pPr>
            <w:r w:rsidRPr="001E40C9">
              <w:rPr>
                <w:rFonts w:cs="Calibri"/>
                <w:color w:val="000000"/>
              </w:rPr>
              <w:t>(679</w:t>
            </w:r>
            <w:r>
              <w:rPr>
                <w:rFonts w:cs="Calibri"/>
                <w:color w:val="000000"/>
              </w:rPr>
              <w:t>.</w:t>
            </w:r>
            <w:r w:rsidR="00DF6E79">
              <w:rPr>
                <w:rFonts w:cs="Calibri"/>
                <w:color w:val="000000"/>
              </w:rPr>
              <w:t>513</w:t>
            </w:r>
            <w:r w:rsidRPr="001E40C9">
              <w:rPr>
                <w:rFonts w:cs="Calibri"/>
                <w:color w:val="000000"/>
              </w:rPr>
              <w:t>)</w:t>
            </w:r>
          </w:p>
        </w:tc>
        <w:tc>
          <w:tcPr>
            <w:tcW w:w="266" w:type="dxa"/>
            <w:tcBorders>
              <w:top w:val="nil"/>
              <w:left w:val="nil"/>
              <w:bottom w:val="nil"/>
              <w:right w:val="nil"/>
            </w:tcBorders>
            <w:shd w:val="clear" w:color="000000" w:fill="FFFFFF"/>
            <w:noWrap/>
            <w:vAlign w:val="bottom"/>
            <w:hideMark/>
          </w:tcPr>
          <w:p w14:paraId="7660D663" w14:textId="32A4A2FC" w:rsidR="007C3572" w:rsidRPr="00C213E7" w:rsidRDefault="007C3572" w:rsidP="007C3572">
            <w:pPr>
              <w:spacing w:after="0" w:line="240" w:lineRule="auto"/>
              <w:jc w:val="right"/>
              <w:rPr>
                <w:rFonts w:cs="Calibri"/>
                <w:color w:val="000000"/>
                <w:lang w:val="en-GB"/>
              </w:rPr>
            </w:pPr>
            <w:r w:rsidRPr="00C213E7">
              <w:rPr>
                <w:rFonts w:cs="Calibri"/>
                <w:color w:val="000000"/>
              </w:rPr>
              <w:t> </w:t>
            </w:r>
          </w:p>
        </w:tc>
        <w:tc>
          <w:tcPr>
            <w:tcW w:w="1725" w:type="dxa"/>
            <w:tcBorders>
              <w:top w:val="nil"/>
              <w:left w:val="nil"/>
              <w:bottom w:val="nil"/>
              <w:right w:val="nil"/>
            </w:tcBorders>
            <w:shd w:val="clear" w:color="000000" w:fill="FFFFFF"/>
            <w:noWrap/>
            <w:vAlign w:val="bottom"/>
            <w:hideMark/>
          </w:tcPr>
          <w:p w14:paraId="7C0D9B6F" w14:textId="304365D1" w:rsidR="007C3572" w:rsidRPr="00C213E7" w:rsidRDefault="007C3572" w:rsidP="007C3572">
            <w:pPr>
              <w:spacing w:after="0" w:line="240" w:lineRule="auto"/>
              <w:jc w:val="right"/>
              <w:rPr>
                <w:rFonts w:cs="Calibri"/>
                <w:color w:val="000000"/>
                <w:lang w:val="en-GB"/>
              </w:rPr>
            </w:pPr>
            <w:r w:rsidRPr="00C213E7">
              <w:rPr>
                <w:rFonts w:cs="Calibri"/>
                <w:color w:val="000000"/>
              </w:rPr>
              <w:t>(706</w:t>
            </w:r>
            <w:r>
              <w:rPr>
                <w:rFonts w:cs="Calibri"/>
                <w:color w:val="000000"/>
              </w:rPr>
              <w:t>.</w:t>
            </w:r>
            <w:r w:rsidRPr="00C213E7">
              <w:rPr>
                <w:rFonts w:cs="Calibri"/>
                <w:color w:val="000000"/>
              </w:rPr>
              <w:t>591)</w:t>
            </w:r>
          </w:p>
        </w:tc>
      </w:tr>
      <w:tr w:rsidR="007C3572" w:rsidRPr="008414D9" w14:paraId="15EAEABB" w14:textId="77777777" w:rsidTr="004A77C8">
        <w:trPr>
          <w:trHeight w:val="300"/>
        </w:trPr>
        <w:tc>
          <w:tcPr>
            <w:tcW w:w="6292" w:type="dxa"/>
            <w:tcBorders>
              <w:top w:val="nil"/>
              <w:left w:val="nil"/>
              <w:bottom w:val="nil"/>
              <w:right w:val="nil"/>
            </w:tcBorders>
            <w:shd w:val="clear" w:color="000000" w:fill="FFFFFF"/>
            <w:noWrap/>
            <w:vAlign w:val="center"/>
            <w:hideMark/>
          </w:tcPr>
          <w:p w14:paraId="6EA4C11A" w14:textId="7C7BC5B3" w:rsidR="007C3572" w:rsidRPr="008414D9" w:rsidRDefault="007C3572" w:rsidP="007C3572">
            <w:pPr>
              <w:spacing w:after="0" w:line="240" w:lineRule="auto"/>
              <w:jc w:val="both"/>
              <w:rPr>
                <w:rFonts w:eastAsia="Times New Roman"/>
                <w:b/>
                <w:bCs/>
                <w:lang w:val="en-GB" w:eastAsia="el-GR"/>
              </w:rPr>
            </w:pPr>
            <w:r w:rsidRPr="00734618">
              <w:rPr>
                <w:b/>
                <w:color w:val="000000"/>
                <w:sz w:val="20"/>
                <w:szCs w:val="20"/>
              </w:rPr>
              <w:t>Μικτό κέρδος</w:t>
            </w:r>
          </w:p>
        </w:tc>
        <w:tc>
          <w:tcPr>
            <w:tcW w:w="1850" w:type="dxa"/>
            <w:tcBorders>
              <w:top w:val="single" w:sz="4" w:space="0" w:color="auto"/>
              <w:left w:val="nil"/>
              <w:bottom w:val="single" w:sz="4" w:space="0" w:color="auto"/>
              <w:right w:val="nil"/>
            </w:tcBorders>
            <w:shd w:val="clear" w:color="auto" w:fill="E2EFD9"/>
            <w:noWrap/>
            <w:vAlign w:val="bottom"/>
          </w:tcPr>
          <w:p w14:paraId="4190FBFB" w14:textId="28816506" w:rsidR="007C3572" w:rsidRPr="001E40C9" w:rsidRDefault="007C3572" w:rsidP="007C3572">
            <w:pPr>
              <w:spacing w:after="0" w:line="240" w:lineRule="auto"/>
              <w:jc w:val="right"/>
              <w:rPr>
                <w:rFonts w:cs="Calibri"/>
                <w:b/>
                <w:bCs/>
                <w:color w:val="000000"/>
                <w:lang w:val="en-GB"/>
              </w:rPr>
            </w:pPr>
            <w:r w:rsidRPr="001E40C9">
              <w:rPr>
                <w:rFonts w:cs="Calibri"/>
                <w:b/>
                <w:bCs/>
                <w:color w:val="000000"/>
              </w:rPr>
              <w:t>132</w:t>
            </w:r>
            <w:r>
              <w:rPr>
                <w:rFonts w:cs="Calibri"/>
                <w:b/>
                <w:bCs/>
                <w:color w:val="000000"/>
              </w:rPr>
              <w:t>.</w:t>
            </w:r>
            <w:r w:rsidR="00DF6E79">
              <w:rPr>
                <w:rFonts w:cs="Calibri"/>
                <w:b/>
                <w:bCs/>
                <w:color w:val="000000"/>
              </w:rPr>
              <w:t>644</w:t>
            </w:r>
          </w:p>
        </w:tc>
        <w:tc>
          <w:tcPr>
            <w:tcW w:w="266" w:type="dxa"/>
            <w:tcBorders>
              <w:top w:val="nil"/>
              <w:left w:val="nil"/>
              <w:bottom w:val="nil"/>
              <w:right w:val="nil"/>
            </w:tcBorders>
            <w:shd w:val="clear" w:color="000000" w:fill="FFFFFF"/>
            <w:noWrap/>
            <w:vAlign w:val="bottom"/>
            <w:hideMark/>
          </w:tcPr>
          <w:p w14:paraId="721F97A2" w14:textId="4DBB5470" w:rsidR="007C3572" w:rsidRPr="00C213E7" w:rsidRDefault="007C3572" w:rsidP="007C3572">
            <w:pPr>
              <w:spacing w:after="0" w:line="240" w:lineRule="auto"/>
              <w:jc w:val="right"/>
              <w:rPr>
                <w:rFonts w:cs="Calibri"/>
                <w:b/>
                <w:bCs/>
                <w:color w:val="000000"/>
                <w:lang w:val="en-GB"/>
              </w:rPr>
            </w:pPr>
            <w:r w:rsidRPr="00C213E7">
              <w:rPr>
                <w:rFonts w:cs="Calibri"/>
                <w:b/>
                <w:bCs/>
                <w:color w:val="000000"/>
              </w:rPr>
              <w:t> </w:t>
            </w:r>
          </w:p>
        </w:tc>
        <w:tc>
          <w:tcPr>
            <w:tcW w:w="1725" w:type="dxa"/>
            <w:tcBorders>
              <w:top w:val="single" w:sz="4" w:space="0" w:color="auto"/>
              <w:left w:val="nil"/>
              <w:bottom w:val="single" w:sz="4" w:space="0" w:color="auto"/>
              <w:right w:val="nil"/>
            </w:tcBorders>
            <w:shd w:val="clear" w:color="000000" w:fill="FFFFFF"/>
            <w:noWrap/>
            <w:vAlign w:val="bottom"/>
            <w:hideMark/>
          </w:tcPr>
          <w:p w14:paraId="41091EAF" w14:textId="0966A4A3" w:rsidR="007C3572" w:rsidRPr="00C213E7" w:rsidRDefault="007C3572" w:rsidP="007C3572">
            <w:pPr>
              <w:spacing w:after="0" w:line="240" w:lineRule="auto"/>
              <w:jc w:val="right"/>
              <w:rPr>
                <w:rFonts w:cs="Calibri"/>
                <w:b/>
                <w:bCs/>
                <w:color w:val="000000"/>
                <w:lang w:val="en-GB"/>
              </w:rPr>
            </w:pPr>
            <w:r w:rsidRPr="00C213E7">
              <w:rPr>
                <w:rFonts w:cs="Calibri"/>
                <w:b/>
                <w:bCs/>
                <w:color w:val="000000"/>
              </w:rPr>
              <w:t>91</w:t>
            </w:r>
            <w:r>
              <w:rPr>
                <w:rFonts w:cs="Calibri"/>
                <w:b/>
                <w:bCs/>
                <w:color w:val="000000"/>
              </w:rPr>
              <w:t>.</w:t>
            </w:r>
            <w:r w:rsidRPr="00C213E7">
              <w:rPr>
                <w:rFonts w:cs="Calibri"/>
                <w:b/>
                <w:bCs/>
                <w:color w:val="000000"/>
              </w:rPr>
              <w:t>681</w:t>
            </w:r>
          </w:p>
        </w:tc>
      </w:tr>
      <w:tr w:rsidR="007C3572" w:rsidRPr="008414D9" w14:paraId="2715E45E" w14:textId="77777777" w:rsidTr="004A77C8">
        <w:trPr>
          <w:trHeight w:val="300"/>
        </w:trPr>
        <w:tc>
          <w:tcPr>
            <w:tcW w:w="6292" w:type="dxa"/>
            <w:tcBorders>
              <w:top w:val="nil"/>
              <w:left w:val="nil"/>
              <w:bottom w:val="nil"/>
              <w:right w:val="nil"/>
            </w:tcBorders>
            <w:shd w:val="clear" w:color="000000" w:fill="FFFFFF"/>
            <w:noWrap/>
            <w:vAlign w:val="center"/>
            <w:hideMark/>
          </w:tcPr>
          <w:p w14:paraId="703BC286" w14:textId="7B16563F" w:rsidR="007C3572" w:rsidRPr="008414D9" w:rsidRDefault="007C3572" w:rsidP="007C3572">
            <w:pPr>
              <w:spacing w:after="0" w:line="240" w:lineRule="auto"/>
              <w:jc w:val="both"/>
              <w:rPr>
                <w:rFonts w:eastAsia="Times New Roman"/>
                <w:lang w:val="en-GB" w:eastAsia="el-GR"/>
              </w:rPr>
            </w:pPr>
            <w:r w:rsidRPr="00734618">
              <w:rPr>
                <w:color w:val="000000"/>
                <w:sz w:val="20"/>
                <w:szCs w:val="20"/>
              </w:rPr>
              <w:t>Λοιπά έσοδα</w:t>
            </w:r>
          </w:p>
        </w:tc>
        <w:tc>
          <w:tcPr>
            <w:tcW w:w="1850" w:type="dxa"/>
            <w:tcBorders>
              <w:top w:val="nil"/>
              <w:left w:val="nil"/>
              <w:bottom w:val="nil"/>
              <w:right w:val="nil"/>
            </w:tcBorders>
            <w:shd w:val="clear" w:color="auto" w:fill="E2EFD9"/>
            <w:noWrap/>
            <w:vAlign w:val="bottom"/>
          </w:tcPr>
          <w:p w14:paraId="3FA29088" w14:textId="2D32A422" w:rsidR="007C3572" w:rsidRPr="001E40C9" w:rsidRDefault="007C3572" w:rsidP="007C3572">
            <w:pPr>
              <w:spacing w:after="0" w:line="240" w:lineRule="auto"/>
              <w:jc w:val="right"/>
              <w:rPr>
                <w:rFonts w:cs="Calibri"/>
                <w:color w:val="000000"/>
                <w:lang w:val="en-GB"/>
              </w:rPr>
            </w:pPr>
            <w:r w:rsidRPr="001E40C9">
              <w:rPr>
                <w:rFonts w:cs="Calibri"/>
                <w:color w:val="000000"/>
              </w:rPr>
              <w:t>4</w:t>
            </w:r>
            <w:r>
              <w:rPr>
                <w:rFonts w:cs="Calibri"/>
                <w:color w:val="000000"/>
              </w:rPr>
              <w:t>.</w:t>
            </w:r>
            <w:r w:rsidRPr="001E40C9">
              <w:rPr>
                <w:rFonts w:cs="Calibri"/>
                <w:color w:val="000000"/>
              </w:rPr>
              <w:t>122</w:t>
            </w:r>
          </w:p>
        </w:tc>
        <w:tc>
          <w:tcPr>
            <w:tcW w:w="266" w:type="dxa"/>
            <w:tcBorders>
              <w:top w:val="nil"/>
              <w:left w:val="nil"/>
              <w:bottom w:val="nil"/>
              <w:right w:val="nil"/>
            </w:tcBorders>
            <w:shd w:val="clear" w:color="000000" w:fill="FFFFFF"/>
            <w:noWrap/>
            <w:vAlign w:val="bottom"/>
            <w:hideMark/>
          </w:tcPr>
          <w:p w14:paraId="5A8F8300" w14:textId="356A0F70" w:rsidR="007C3572" w:rsidRPr="00C213E7" w:rsidRDefault="007C3572" w:rsidP="007C3572">
            <w:pPr>
              <w:spacing w:after="0" w:line="240" w:lineRule="auto"/>
              <w:jc w:val="right"/>
              <w:rPr>
                <w:rFonts w:cs="Calibri"/>
                <w:color w:val="000000"/>
                <w:lang w:val="en-GB"/>
              </w:rPr>
            </w:pPr>
            <w:r w:rsidRPr="00C213E7">
              <w:rPr>
                <w:rFonts w:cs="Calibri"/>
                <w:color w:val="000000"/>
              </w:rPr>
              <w:t> </w:t>
            </w:r>
          </w:p>
        </w:tc>
        <w:tc>
          <w:tcPr>
            <w:tcW w:w="1725" w:type="dxa"/>
            <w:tcBorders>
              <w:top w:val="nil"/>
              <w:left w:val="nil"/>
              <w:bottom w:val="nil"/>
              <w:right w:val="nil"/>
            </w:tcBorders>
            <w:shd w:val="clear" w:color="000000" w:fill="FFFFFF"/>
            <w:noWrap/>
            <w:vAlign w:val="bottom"/>
            <w:hideMark/>
          </w:tcPr>
          <w:p w14:paraId="4EA18FC9" w14:textId="018CDF44" w:rsidR="007C3572" w:rsidRPr="00C213E7" w:rsidRDefault="007C3572" w:rsidP="007C3572">
            <w:pPr>
              <w:spacing w:after="0" w:line="240" w:lineRule="auto"/>
              <w:jc w:val="right"/>
              <w:rPr>
                <w:rFonts w:cs="Calibri"/>
                <w:color w:val="000000"/>
                <w:lang w:val="en-GB"/>
              </w:rPr>
            </w:pPr>
            <w:r w:rsidRPr="00C213E7">
              <w:rPr>
                <w:rFonts w:cs="Calibri"/>
                <w:color w:val="000000"/>
              </w:rPr>
              <w:t>2</w:t>
            </w:r>
            <w:r>
              <w:rPr>
                <w:rFonts w:cs="Calibri"/>
                <w:color w:val="000000"/>
              </w:rPr>
              <w:t>.</w:t>
            </w:r>
            <w:r w:rsidRPr="00C213E7">
              <w:rPr>
                <w:rFonts w:cs="Calibri"/>
                <w:color w:val="000000"/>
              </w:rPr>
              <w:t>103</w:t>
            </w:r>
          </w:p>
        </w:tc>
      </w:tr>
      <w:tr w:rsidR="007C3572" w:rsidRPr="008414D9" w14:paraId="0972BD09" w14:textId="77777777" w:rsidTr="004A77C8">
        <w:trPr>
          <w:trHeight w:val="300"/>
        </w:trPr>
        <w:tc>
          <w:tcPr>
            <w:tcW w:w="6292" w:type="dxa"/>
            <w:tcBorders>
              <w:top w:val="nil"/>
              <w:left w:val="nil"/>
              <w:bottom w:val="nil"/>
              <w:right w:val="nil"/>
            </w:tcBorders>
            <w:shd w:val="clear" w:color="000000" w:fill="FFFFFF"/>
            <w:noWrap/>
            <w:vAlign w:val="center"/>
            <w:hideMark/>
          </w:tcPr>
          <w:p w14:paraId="0DE6B588" w14:textId="14B6E3A7" w:rsidR="007C3572" w:rsidRPr="008414D9" w:rsidRDefault="007C3572" w:rsidP="007C3572">
            <w:pPr>
              <w:spacing w:after="0" w:line="240" w:lineRule="auto"/>
              <w:jc w:val="both"/>
              <w:rPr>
                <w:rFonts w:eastAsia="Times New Roman"/>
                <w:lang w:val="en-GB" w:eastAsia="el-GR"/>
              </w:rPr>
            </w:pPr>
            <w:r w:rsidRPr="00734618">
              <w:rPr>
                <w:color w:val="000000"/>
                <w:sz w:val="20"/>
                <w:szCs w:val="20"/>
              </w:rPr>
              <w:t>Έξοδα διάθεσης</w:t>
            </w:r>
          </w:p>
        </w:tc>
        <w:tc>
          <w:tcPr>
            <w:tcW w:w="1850" w:type="dxa"/>
            <w:tcBorders>
              <w:top w:val="nil"/>
              <w:left w:val="nil"/>
              <w:bottom w:val="nil"/>
              <w:right w:val="nil"/>
            </w:tcBorders>
            <w:shd w:val="clear" w:color="auto" w:fill="E2EFD9"/>
            <w:noWrap/>
            <w:vAlign w:val="bottom"/>
          </w:tcPr>
          <w:p w14:paraId="66CECB8A" w14:textId="2F1A204D" w:rsidR="007C3572" w:rsidRPr="001E40C9" w:rsidRDefault="007C3572" w:rsidP="007C3572">
            <w:pPr>
              <w:spacing w:after="0" w:line="240" w:lineRule="auto"/>
              <w:jc w:val="right"/>
              <w:rPr>
                <w:rFonts w:cs="Calibri"/>
                <w:color w:val="000000"/>
                <w:lang w:val="en-GB"/>
              </w:rPr>
            </w:pPr>
            <w:r w:rsidRPr="001E40C9">
              <w:rPr>
                <w:rFonts w:cs="Calibri"/>
                <w:color w:val="000000"/>
              </w:rPr>
              <w:t>(8</w:t>
            </w:r>
            <w:r>
              <w:rPr>
                <w:rFonts w:cs="Calibri"/>
                <w:color w:val="000000"/>
              </w:rPr>
              <w:t>.</w:t>
            </w:r>
            <w:r w:rsidR="00DF6E79">
              <w:rPr>
                <w:rFonts w:cs="Calibri"/>
                <w:color w:val="000000"/>
              </w:rPr>
              <w:t>817</w:t>
            </w:r>
            <w:r w:rsidRPr="001E40C9">
              <w:rPr>
                <w:rFonts w:cs="Calibri"/>
                <w:color w:val="000000"/>
              </w:rPr>
              <w:t>)</w:t>
            </w:r>
          </w:p>
        </w:tc>
        <w:tc>
          <w:tcPr>
            <w:tcW w:w="266" w:type="dxa"/>
            <w:tcBorders>
              <w:top w:val="nil"/>
              <w:left w:val="nil"/>
              <w:bottom w:val="nil"/>
              <w:right w:val="nil"/>
            </w:tcBorders>
            <w:shd w:val="clear" w:color="000000" w:fill="FFFFFF"/>
            <w:noWrap/>
            <w:vAlign w:val="bottom"/>
            <w:hideMark/>
          </w:tcPr>
          <w:p w14:paraId="2663629F" w14:textId="76F6B611" w:rsidR="007C3572" w:rsidRPr="00C213E7" w:rsidRDefault="007C3572" w:rsidP="007C3572">
            <w:pPr>
              <w:spacing w:after="0" w:line="240" w:lineRule="auto"/>
              <w:jc w:val="right"/>
              <w:rPr>
                <w:rFonts w:cs="Calibri"/>
                <w:color w:val="000000"/>
                <w:lang w:val="en-GB"/>
              </w:rPr>
            </w:pPr>
            <w:r w:rsidRPr="00C213E7">
              <w:rPr>
                <w:rFonts w:cs="Calibri"/>
                <w:color w:val="000000"/>
              </w:rPr>
              <w:t> </w:t>
            </w:r>
          </w:p>
        </w:tc>
        <w:tc>
          <w:tcPr>
            <w:tcW w:w="1725" w:type="dxa"/>
            <w:tcBorders>
              <w:top w:val="nil"/>
              <w:left w:val="nil"/>
              <w:bottom w:val="nil"/>
              <w:right w:val="nil"/>
            </w:tcBorders>
            <w:shd w:val="clear" w:color="000000" w:fill="FFFFFF"/>
            <w:noWrap/>
            <w:vAlign w:val="bottom"/>
            <w:hideMark/>
          </w:tcPr>
          <w:p w14:paraId="4DCB4068" w14:textId="72499812" w:rsidR="007C3572" w:rsidRPr="00C213E7" w:rsidRDefault="007C3572" w:rsidP="007C3572">
            <w:pPr>
              <w:spacing w:after="0" w:line="240" w:lineRule="auto"/>
              <w:jc w:val="right"/>
              <w:rPr>
                <w:rFonts w:cs="Calibri"/>
                <w:color w:val="000000"/>
                <w:lang w:val="en-GB"/>
              </w:rPr>
            </w:pPr>
            <w:r w:rsidRPr="00C213E7">
              <w:rPr>
                <w:rFonts w:cs="Calibri"/>
                <w:color w:val="000000"/>
              </w:rPr>
              <w:t>(9</w:t>
            </w:r>
            <w:r>
              <w:rPr>
                <w:rFonts w:cs="Calibri"/>
                <w:color w:val="000000"/>
              </w:rPr>
              <w:t>.</w:t>
            </w:r>
            <w:r w:rsidRPr="00C213E7">
              <w:rPr>
                <w:rFonts w:cs="Calibri"/>
                <w:color w:val="000000"/>
              </w:rPr>
              <w:t>659)</w:t>
            </w:r>
          </w:p>
        </w:tc>
      </w:tr>
      <w:tr w:rsidR="007C3572" w:rsidRPr="008414D9" w14:paraId="32141775" w14:textId="77777777" w:rsidTr="004A77C8">
        <w:trPr>
          <w:trHeight w:val="300"/>
        </w:trPr>
        <w:tc>
          <w:tcPr>
            <w:tcW w:w="6292" w:type="dxa"/>
            <w:tcBorders>
              <w:top w:val="nil"/>
              <w:left w:val="nil"/>
              <w:bottom w:val="nil"/>
              <w:right w:val="nil"/>
            </w:tcBorders>
            <w:shd w:val="clear" w:color="000000" w:fill="FFFFFF"/>
            <w:noWrap/>
            <w:vAlign w:val="center"/>
            <w:hideMark/>
          </w:tcPr>
          <w:p w14:paraId="11CAC14A" w14:textId="3852C173" w:rsidR="007C3572" w:rsidRPr="008414D9" w:rsidRDefault="007C3572" w:rsidP="007C3572">
            <w:pPr>
              <w:spacing w:after="0" w:line="240" w:lineRule="auto"/>
              <w:jc w:val="both"/>
              <w:rPr>
                <w:rFonts w:eastAsia="Times New Roman"/>
                <w:lang w:val="en-GB" w:eastAsia="el-GR"/>
              </w:rPr>
            </w:pPr>
            <w:r w:rsidRPr="00734618">
              <w:rPr>
                <w:color w:val="000000"/>
                <w:sz w:val="20"/>
                <w:szCs w:val="20"/>
              </w:rPr>
              <w:t>Έξοδα διοίκησης</w:t>
            </w:r>
          </w:p>
        </w:tc>
        <w:tc>
          <w:tcPr>
            <w:tcW w:w="1850" w:type="dxa"/>
            <w:tcBorders>
              <w:top w:val="nil"/>
              <w:left w:val="nil"/>
              <w:bottom w:val="nil"/>
              <w:right w:val="nil"/>
            </w:tcBorders>
            <w:shd w:val="clear" w:color="auto" w:fill="E2EFD9"/>
            <w:noWrap/>
            <w:vAlign w:val="bottom"/>
          </w:tcPr>
          <w:p w14:paraId="2A65DE25" w14:textId="08974096" w:rsidR="007C3572" w:rsidRPr="001E40C9" w:rsidRDefault="007C3572" w:rsidP="007C3572">
            <w:pPr>
              <w:spacing w:after="0" w:line="240" w:lineRule="auto"/>
              <w:jc w:val="right"/>
              <w:rPr>
                <w:rFonts w:cs="Calibri"/>
                <w:color w:val="000000"/>
                <w:lang w:val="en-GB"/>
              </w:rPr>
            </w:pPr>
            <w:r w:rsidRPr="001E40C9">
              <w:rPr>
                <w:rFonts w:cs="Calibri"/>
                <w:color w:val="000000"/>
              </w:rPr>
              <w:t>(20</w:t>
            </w:r>
            <w:r>
              <w:rPr>
                <w:rFonts w:cs="Calibri"/>
                <w:color w:val="000000"/>
              </w:rPr>
              <w:t>.</w:t>
            </w:r>
            <w:r w:rsidR="00DF6E79">
              <w:rPr>
                <w:rFonts w:cs="Calibri"/>
                <w:color w:val="000000"/>
              </w:rPr>
              <w:t>572</w:t>
            </w:r>
            <w:r w:rsidRPr="001E40C9">
              <w:rPr>
                <w:rFonts w:cs="Calibri"/>
                <w:color w:val="000000"/>
              </w:rPr>
              <w:t>)</w:t>
            </w:r>
          </w:p>
        </w:tc>
        <w:tc>
          <w:tcPr>
            <w:tcW w:w="266" w:type="dxa"/>
            <w:tcBorders>
              <w:top w:val="nil"/>
              <w:left w:val="nil"/>
              <w:bottom w:val="nil"/>
              <w:right w:val="nil"/>
            </w:tcBorders>
            <w:shd w:val="clear" w:color="000000" w:fill="FFFFFF"/>
            <w:noWrap/>
            <w:vAlign w:val="bottom"/>
            <w:hideMark/>
          </w:tcPr>
          <w:p w14:paraId="2107F601" w14:textId="4834DFB6" w:rsidR="007C3572" w:rsidRPr="00C213E7" w:rsidRDefault="007C3572" w:rsidP="007C3572">
            <w:pPr>
              <w:spacing w:after="0" w:line="240" w:lineRule="auto"/>
              <w:jc w:val="right"/>
              <w:rPr>
                <w:rFonts w:cs="Calibri"/>
                <w:color w:val="000000"/>
                <w:lang w:val="en-GB"/>
              </w:rPr>
            </w:pPr>
            <w:r w:rsidRPr="00C213E7">
              <w:rPr>
                <w:rFonts w:cs="Calibri"/>
                <w:color w:val="000000"/>
              </w:rPr>
              <w:t> </w:t>
            </w:r>
          </w:p>
        </w:tc>
        <w:tc>
          <w:tcPr>
            <w:tcW w:w="1725" w:type="dxa"/>
            <w:tcBorders>
              <w:top w:val="nil"/>
              <w:left w:val="nil"/>
              <w:bottom w:val="nil"/>
              <w:right w:val="nil"/>
            </w:tcBorders>
            <w:shd w:val="clear" w:color="000000" w:fill="FFFFFF"/>
            <w:noWrap/>
            <w:vAlign w:val="bottom"/>
            <w:hideMark/>
          </w:tcPr>
          <w:p w14:paraId="49753F8E" w14:textId="3AB87A5C" w:rsidR="007C3572" w:rsidRPr="00C213E7" w:rsidRDefault="007C3572" w:rsidP="007C3572">
            <w:pPr>
              <w:spacing w:after="0" w:line="240" w:lineRule="auto"/>
              <w:jc w:val="right"/>
              <w:rPr>
                <w:rFonts w:cs="Calibri"/>
                <w:color w:val="000000"/>
                <w:lang w:val="en-GB"/>
              </w:rPr>
            </w:pPr>
            <w:r w:rsidRPr="00C213E7">
              <w:rPr>
                <w:rFonts w:cs="Calibri"/>
                <w:color w:val="000000"/>
              </w:rPr>
              <w:t>(17</w:t>
            </w:r>
            <w:r>
              <w:rPr>
                <w:rFonts w:cs="Calibri"/>
                <w:color w:val="000000"/>
              </w:rPr>
              <w:t>.</w:t>
            </w:r>
            <w:r w:rsidRPr="00C213E7">
              <w:rPr>
                <w:rFonts w:cs="Calibri"/>
                <w:color w:val="000000"/>
              </w:rPr>
              <w:t>430)</w:t>
            </w:r>
          </w:p>
        </w:tc>
      </w:tr>
      <w:tr w:rsidR="007C3572" w:rsidRPr="008414D9" w14:paraId="71B07C39" w14:textId="77777777" w:rsidTr="00EF6466">
        <w:trPr>
          <w:trHeight w:val="300"/>
        </w:trPr>
        <w:tc>
          <w:tcPr>
            <w:tcW w:w="6292" w:type="dxa"/>
            <w:tcBorders>
              <w:top w:val="nil"/>
              <w:left w:val="nil"/>
              <w:bottom w:val="nil"/>
              <w:right w:val="nil"/>
            </w:tcBorders>
            <w:shd w:val="clear" w:color="000000" w:fill="FFFFFF"/>
            <w:noWrap/>
            <w:vAlign w:val="center"/>
          </w:tcPr>
          <w:p w14:paraId="47D4BA6C" w14:textId="582FFBDB" w:rsidR="007C3572" w:rsidRPr="007C3572" w:rsidRDefault="007C3572" w:rsidP="007C3572">
            <w:pPr>
              <w:spacing w:after="0" w:line="240" w:lineRule="auto"/>
              <w:jc w:val="both"/>
              <w:rPr>
                <w:rFonts w:eastAsia="Times New Roman"/>
                <w:lang w:eastAsia="el-GR"/>
              </w:rPr>
            </w:pPr>
            <w:r w:rsidRPr="007D523A">
              <w:rPr>
                <w:color w:val="000000"/>
                <w:sz w:val="20"/>
                <w:szCs w:val="20"/>
              </w:rPr>
              <w:t>Ζημία απομείωσης απαιτήσεων και συμβατικών περιουσιακών στοιχείων</w:t>
            </w:r>
          </w:p>
        </w:tc>
        <w:tc>
          <w:tcPr>
            <w:tcW w:w="1850" w:type="dxa"/>
            <w:tcBorders>
              <w:top w:val="nil"/>
              <w:left w:val="nil"/>
              <w:bottom w:val="nil"/>
              <w:right w:val="nil"/>
            </w:tcBorders>
            <w:shd w:val="clear" w:color="auto" w:fill="E2EFD9"/>
            <w:noWrap/>
            <w:vAlign w:val="bottom"/>
          </w:tcPr>
          <w:p w14:paraId="47008FAF" w14:textId="77011BA6" w:rsidR="007C3572" w:rsidRPr="001E40C9" w:rsidRDefault="007C3572" w:rsidP="007C3572">
            <w:pPr>
              <w:spacing w:after="0" w:line="240" w:lineRule="auto"/>
              <w:jc w:val="right"/>
              <w:rPr>
                <w:rFonts w:cs="Calibri"/>
                <w:color w:val="000000"/>
                <w:lang w:val="en-GB"/>
              </w:rPr>
            </w:pPr>
            <w:r w:rsidRPr="001E40C9">
              <w:rPr>
                <w:rFonts w:cs="Calibri"/>
                <w:color w:val="000000"/>
              </w:rPr>
              <w:t>(68)</w:t>
            </w:r>
          </w:p>
        </w:tc>
        <w:tc>
          <w:tcPr>
            <w:tcW w:w="266" w:type="dxa"/>
            <w:tcBorders>
              <w:top w:val="nil"/>
              <w:left w:val="nil"/>
              <w:bottom w:val="nil"/>
              <w:right w:val="nil"/>
            </w:tcBorders>
            <w:shd w:val="clear" w:color="000000" w:fill="FFFFFF"/>
            <w:noWrap/>
            <w:vAlign w:val="bottom"/>
          </w:tcPr>
          <w:p w14:paraId="7B950D3A" w14:textId="4C9D7218" w:rsidR="007C3572" w:rsidRPr="00C213E7" w:rsidRDefault="007C3572" w:rsidP="007C3572">
            <w:pPr>
              <w:spacing w:after="0" w:line="240" w:lineRule="auto"/>
              <w:jc w:val="right"/>
              <w:rPr>
                <w:rFonts w:cs="Calibri"/>
                <w:color w:val="000000"/>
                <w:lang w:val="en-GB"/>
              </w:rPr>
            </w:pPr>
            <w:r w:rsidRPr="00C213E7">
              <w:rPr>
                <w:rFonts w:cs="Calibri"/>
                <w:color w:val="000000"/>
              </w:rPr>
              <w:t> </w:t>
            </w:r>
          </w:p>
        </w:tc>
        <w:tc>
          <w:tcPr>
            <w:tcW w:w="1725" w:type="dxa"/>
            <w:tcBorders>
              <w:top w:val="nil"/>
              <w:left w:val="nil"/>
              <w:bottom w:val="nil"/>
              <w:right w:val="nil"/>
            </w:tcBorders>
            <w:shd w:val="clear" w:color="000000" w:fill="FFFFFF"/>
            <w:noWrap/>
            <w:vAlign w:val="bottom"/>
          </w:tcPr>
          <w:p w14:paraId="2029766A" w14:textId="5611F1A0" w:rsidR="007C3572" w:rsidRPr="00C213E7" w:rsidRDefault="007C3572" w:rsidP="007C3572">
            <w:pPr>
              <w:spacing w:after="0" w:line="240" w:lineRule="auto"/>
              <w:jc w:val="right"/>
              <w:rPr>
                <w:rFonts w:cs="Calibri"/>
                <w:color w:val="000000"/>
                <w:lang w:val="en-GB"/>
              </w:rPr>
            </w:pPr>
            <w:r w:rsidRPr="00C213E7">
              <w:rPr>
                <w:rFonts w:cs="Calibri"/>
                <w:color w:val="000000"/>
              </w:rPr>
              <w:t>(333)</w:t>
            </w:r>
          </w:p>
        </w:tc>
      </w:tr>
      <w:tr w:rsidR="007C3572" w:rsidRPr="008414D9" w14:paraId="201D2503" w14:textId="77777777" w:rsidTr="00626BE8">
        <w:trPr>
          <w:trHeight w:val="300"/>
        </w:trPr>
        <w:tc>
          <w:tcPr>
            <w:tcW w:w="6292" w:type="dxa"/>
            <w:tcBorders>
              <w:top w:val="nil"/>
              <w:left w:val="nil"/>
              <w:bottom w:val="nil"/>
              <w:right w:val="nil"/>
            </w:tcBorders>
            <w:shd w:val="clear" w:color="000000" w:fill="FFFFFF"/>
            <w:noWrap/>
            <w:vAlign w:val="center"/>
            <w:hideMark/>
          </w:tcPr>
          <w:p w14:paraId="1A9A8DFF" w14:textId="1000CEE4" w:rsidR="007C3572" w:rsidRPr="008414D9" w:rsidRDefault="007C3572" w:rsidP="007C3572">
            <w:pPr>
              <w:spacing w:after="0" w:line="240" w:lineRule="auto"/>
              <w:jc w:val="both"/>
              <w:rPr>
                <w:rFonts w:eastAsia="Times New Roman"/>
                <w:lang w:val="en-GB" w:eastAsia="el-GR"/>
              </w:rPr>
            </w:pPr>
            <w:r w:rsidRPr="00734618">
              <w:rPr>
                <w:color w:val="000000"/>
                <w:sz w:val="20"/>
                <w:szCs w:val="20"/>
              </w:rPr>
              <w:t>Λοιπά έξοδα</w:t>
            </w:r>
          </w:p>
        </w:tc>
        <w:tc>
          <w:tcPr>
            <w:tcW w:w="1850" w:type="dxa"/>
            <w:tcBorders>
              <w:top w:val="nil"/>
              <w:left w:val="nil"/>
              <w:bottom w:val="nil"/>
              <w:right w:val="nil"/>
            </w:tcBorders>
            <w:shd w:val="clear" w:color="auto" w:fill="E2EFD9"/>
            <w:noWrap/>
            <w:vAlign w:val="bottom"/>
          </w:tcPr>
          <w:p w14:paraId="364629B5" w14:textId="692739F5" w:rsidR="007C3572" w:rsidRPr="001E40C9" w:rsidRDefault="007C3572" w:rsidP="007C3572">
            <w:pPr>
              <w:spacing w:after="0" w:line="240" w:lineRule="auto"/>
              <w:jc w:val="right"/>
              <w:rPr>
                <w:rFonts w:cs="Calibri"/>
                <w:color w:val="000000"/>
                <w:lang w:val="en-GB"/>
              </w:rPr>
            </w:pPr>
            <w:r w:rsidRPr="001E40C9">
              <w:rPr>
                <w:rFonts w:cs="Calibri"/>
                <w:color w:val="000000"/>
              </w:rPr>
              <w:t>(3</w:t>
            </w:r>
            <w:r>
              <w:rPr>
                <w:rFonts w:cs="Calibri"/>
                <w:color w:val="000000"/>
              </w:rPr>
              <w:t>.</w:t>
            </w:r>
            <w:r w:rsidRPr="001E40C9">
              <w:rPr>
                <w:rFonts w:cs="Calibri"/>
                <w:color w:val="000000"/>
              </w:rPr>
              <w:t>090)</w:t>
            </w:r>
          </w:p>
        </w:tc>
        <w:tc>
          <w:tcPr>
            <w:tcW w:w="266" w:type="dxa"/>
            <w:tcBorders>
              <w:top w:val="nil"/>
              <w:left w:val="nil"/>
              <w:bottom w:val="nil"/>
              <w:right w:val="nil"/>
            </w:tcBorders>
            <w:shd w:val="clear" w:color="000000" w:fill="FFFFFF"/>
            <w:noWrap/>
            <w:vAlign w:val="bottom"/>
            <w:hideMark/>
          </w:tcPr>
          <w:p w14:paraId="3CBAD5D4" w14:textId="2633B196" w:rsidR="007C3572" w:rsidRPr="00C213E7" w:rsidRDefault="007C3572" w:rsidP="007C3572">
            <w:pPr>
              <w:spacing w:after="0" w:line="240" w:lineRule="auto"/>
              <w:jc w:val="right"/>
              <w:rPr>
                <w:rFonts w:cs="Calibri"/>
                <w:color w:val="000000"/>
                <w:lang w:val="en-GB"/>
              </w:rPr>
            </w:pPr>
            <w:r w:rsidRPr="00C213E7">
              <w:rPr>
                <w:rFonts w:cs="Calibri"/>
                <w:color w:val="000000"/>
              </w:rPr>
              <w:t> </w:t>
            </w:r>
          </w:p>
        </w:tc>
        <w:tc>
          <w:tcPr>
            <w:tcW w:w="1725" w:type="dxa"/>
            <w:tcBorders>
              <w:top w:val="nil"/>
              <w:left w:val="nil"/>
              <w:bottom w:val="nil"/>
              <w:right w:val="nil"/>
            </w:tcBorders>
            <w:shd w:val="clear" w:color="000000" w:fill="FFFFFF"/>
            <w:noWrap/>
            <w:vAlign w:val="bottom"/>
            <w:hideMark/>
          </w:tcPr>
          <w:p w14:paraId="66A9EE05" w14:textId="39C349D1" w:rsidR="007C3572" w:rsidRPr="00C213E7" w:rsidRDefault="007C3572" w:rsidP="007C3572">
            <w:pPr>
              <w:spacing w:after="0" w:line="240" w:lineRule="auto"/>
              <w:jc w:val="right"/>
              <w:rPr>
                <w:rFonts w:cs="Calibri"/>
                <w:color w:val="000000"/>
                <w:lang w:val="en-GB"/>
              </w:rPr>
            </w:pPr>
            <w:r w:rsidRPr="00C213E7">
              <w:rPr>
                <w:rFonts w:cs="Calibri"/>
                <w:color w:val="000000"/>
              </w:rPr>
              <w:t>(2</w:t>
            </w:r>
            <w:r>
              <w:rPr>
                <w:rFonts w:cs="Calibri"/>
                <w:color w:val="000000"/>
              </w:rPr>
              <w:t>.</w:t>
            </w:r>
            <w:r w:rsidRPr="00C213E7">
              <w:rPr>
                <w:rFonts w:cs="Calibri"/>
                <w:color w:val="000000"/>
              </w:rPr>
              <w:t>096)</w:t>
            </w:r>
          </w:p>
        </w:tc>
      </w:tr>
      <w:tr w:rsidR="007C3572" w:rsidRPr="008414D9" w14:paraId="55CB4FDF" w14:textId="77777777" w:rsidTr="00626BE8">
        <w:trPr>
          <w:trHeight w:val="300"/>
        </w:trPr>
        <w:tc>
          <w:tcPr>
            <w:tcW w:w="6292" w:type="dxa"/>
            <w:tcBorders>
              <w:top w:val="nil"/>
              <w:left w:val="nil"/>
              <w:bottom w:val="nil"/>
              <w:right w:val="nil"/>
            </w:tcBorders>
            <w:shd w:val="clear" w:color="000000" w:fill="FFFFFF"/>
            <w:noWrap/>
            <w:vAlign w:val="center"/>
            <w:hideMark/>
          </w:tcPr>
          <w:p w14:paraId="1921ACD9" w14:textId="4D7FA6D7" w:rsidR="007C3572" w:rsidRPr="008414D9" w:rsidRDefault="007C3572" w:rsidP="007C3572">
            <w:pPr>
              <w:spacing w:after="0" w:line="240" w:lineRule="auto"/>
              <w:jc w:val="both"/>
              <w:rPr>
                <w:rFonts w:eastAsia="Times New Roman"/>
                <w:b/>
                <w:bCs/>
                <w:lang w:val="en-GB" w:eastAsia="el-GR"/>
              </w:rPr>
            </w:pPr>
            <w:r w:rsidRPr="00734618">
              <w:rPr>
                <w:b/>
                <w:color w:val="000000"/>
                <w:sz w:val="20"/>
                <w:szCs w:val="20"/>
              </w:rPr>
              <w:t>Λειτουργικά κέρδη</w:t>
            </w:r>
          </w:p>
        </w:tc>
        <w:tc>
          <w:tcPr>
            <w:tcW w:w="1850" w:type="dxa"/>
            <w:tcBorders>
              <w:top w:val="single" w:sz="4" w:space="0" w:color="auto"/>
              <w:left w:val="nil"/>
              <w:bottom w:val="single" w:sz="4" w:space="0" w:color="auto"/>
              <w:right w:val="nil"/>
            </w:tcBorders>
            <w:shd w:val="clear" w:color="auto" w:fill="E2EFD9"/>
            <w:noWrap/>
            <w:vAlign w:val="bottom"/>
          </w:tcPr>
          <w:p w14:paraId="3BF0C29F" w14:textId="47AB1B1D" w:rsidR="007C3572" w:rsidRPr="001E40C9" w:rsidRDefault="007C3572" w:rsidP="007C3572">
            <w:pPr>
              <w:spacing w:after="0" w:line="240" w:lineRule="auto"/>
              <w:jc w:val="right"/>
              <w:rPr>
                <w:rFonts w:cs="Calibri"/>
                <w:b/>
                <w:bCs/>
                <w:color w:val="000000"/>
                <w:lang w:val="en-GB"/>
              </w:rPr>
            </w:pPr>
            <w:r w:rsidRPr="001E40C9">
              <w:rPr>
                <w:rFonts w:cs="Calibri"/>
                <w:b/>
                <w:bCs/>
                <w:color w:val="000000"/>
              </w:rPr>
              <w:t>104</w:t>
            </w:r>
            <w:r>
              <w:rPr>
                <w:rFonts w:cs="Calibri"/>
                <w:b/>
                <w:bCs/>
                <w:color w:val="000000"/>
              </w:rPr>
              <w:t>.</w:t>
            </w:r>
            <w:r w:rsidR="00DF6E79">
              <w:rPr>
                <w:rFonts w:cs="Calibri"/>
                <w:b/>
                <w:bCs/>
                <w:color w:val="000000"/>
              </w:rPr>
              <w:t>220</w:t>
            </w:r>
          </w:p>
        </w:tc>
        <w:tc>
          <w:tcPr>
            <w:tcW w:w="266" w:type="dxa"/>
            <w:tcBorders>
              <w:top w:val="nil"/>
              <w:left w:val="nil"/>
              <w:bottom w:val="nil"/>
              <w:right w:val="nil"/>
            </w:tcBorders>
            <w:shd w:val="clear" w:color="000000" w:fill="FFFFFF"/>
            <w:noWrap/>
            <w:vAlign w:val="bottom"/>
            <w:hideMark/>
          </w:tcPr>
          <w:p w14:paraId="1E6713AC" w14:textId="3D3B79CA" w:rsidR="007C3572" w:rsidRPr="00C213E7" w:rsidRDefault="007C3572" w:rsidP="007C3572">
            <w:pPr>
              <w:spacing w:after="0" w:line="240" w:lineRule="auto"/>
              <w:jc w:val="right"/>
              <w:rPr>
                <w:rFonts w:cs="Calibri"/>
                <w:color w:val="000000"/>
                <w:lang w:val="en-GB"/>
              </w:rPr>
            </w:pPr>
            <w:r w:rsidRPr="00C213E7">
              <w:rPr>
                <w:rFonts w:cs="Calibri"/>
                <w:color w:val="000000"/>
              </w:rPr>
              <w:t> </w:t>
            </w:r>
          </w:p>
        </w:tc>
        <w:tc>
          <w:tcPr>
            <w:tcW w:w="1725" w:type="dxa"/>
            <w:tcBorders>
              <w:top w:val="single" w:sz="4" w:space="0" w:color="auto"/>
              <w:left w:val="nil"/>
              <w:bottom w:val="single" w:sz="4" w:space="0" w:color="auto"/>
              <w:right w:val="nil"/>
            </w:tcBorders>
            <w:shd w:val="clear" w:color="000000" w:fill="FFFFFF"/>
            <w:noWrap/>
            <w:vAlign w:val="bottom"/>
            <w:hideMark/>
          </w:tcPr>
          <w:p w14:paraId="736A7304" w14:textId="04A659D7" w:rsidR="007C3572" w:rsidRPr="00C213E7" w:rsidRDefault="007C3572" w:rsidP="007C3572">
            <w:pPr>
              <w:spacing w:after="0" w:line="240" w:lineRule="auto"/>
              <w:jc w:val="right"/>
              <w:rPr>
                <w:rFonts w:cs="Calibri"/>
                <w:b/>
                <w:bCs/>
                <w:color w:val="000000"/>
                <w:lang w:val="en-GB"/>
              </w:rPr>
            </w:pPr>
            <w:r w:rsidRPr="00C213E7">
              <w:rPr>
                <w:rFonts w:cs="Calibri"/>
                <w:b/>
                <w:bCs/>
                <w:color w:val="000000"/>
              </w:rPr>
              <w:t>64</w:t>
            </w:r>
            <w:r>
              <w:rPr>
                <w:rFonts w:cs="Calibri"/>
                <w:b/>
                <w:bCs/>
                <w:color w:val="000000"/>
              </w:rPr>
              <w:t>.</w:t>
            </w:r>
            <w:r w:rsidRPr="00C213E7">
              <w:rPr>
                <w:rFonts w:cs="Calibri"/>
                <w:b/>
                <w:bCs/>
                <w:color w:val="000000"/>
              </w:rPr>
              <w:t>266</w:t>
            </w:r>
          </w:p>
        </w:tc>
      </w:tr>
      <w:tr w:rsidR="007C3572" w:rsidRPr="008414D9" w14:paraId="0982F0CC" w14:textId="77777777" w:rsidTr="00626BE8">
        <w:trPr>
          <w:trHeight w:val="300"/>
        </w:trPr>
        <w:tc>
          <w:tcPr>
            <w:tcW w:w="6292" w:type="dxa"/>
            <w:tcBorders>
              <w:top w:val="nil"/>
              <w:left w:val="nil"/>
              <w:bottom w:val="nil"/>
              <w:right w:val="nil"/>
            </w:tcBorders>
            <w:shd w:val="clear" w:color="000000" w:fill="FFFFFF"/>
            <w:noWrap/>
            <w:vAlign w:val="center"/>
            <w:hideMark/>
          </w:tcPr>
          <w:p w14:paraId="73C3FBBF" w14:textId="1C7031FE" w:rsidR="007C3572" w:rsidRPr="008414D9" w:rsidRDefault="007C3572" w:rsidP="007C3572">
            <w:pPr>
              <w:spacing w:after="0" w:line="240" w:lineRule="auto"/>
              <w:jc w:val="both"/>
              <w:rPr>
                <w:rFonts w:eastAsia="Times New Roman"/>
                <w:lang w:val="en-GB" w:eastAsia="el-GR"/>
              </w:rPr>
            </w:pPr>
            <w:r w:rsidRPr="00734618">
              <w:rPr>
                <w:color w:val="000000"/>
                <w:sz w:val="20"/>
                <w:szCs w:val="20"/>
              </w:rPr>
              <w:t>Χρηματοοικονομικά έσοδα</w:t>
            </w:r>
          </w:p>
        </w:tc>
        <w:tc>
          <w:tcPr>
            <w:tcW w:w="1850" w:type="dxa"/>
            <w:tcBorders>
              <w:top w:val="nil"/>
              <w:left w:val="nil"/>
              <w:bottom w:val="nil"/>
              <w:right w:val="nil"/>
            </w:tcBorders>
            <w:shd w:val="clear" w:color="auto" w:fill="E2EFD9"/>
            <w:noWrap/>
            <w:vAlign w:val="bottom"/>
          </w:tcPr>
          <w:p w14:paraId="409DB124" w14:textId="209A1879" w:rsidR="007C3572" w:rsidRPr="001E40C9" w:rsidRDefault="007C3572" w:rsidP="007C3572">
            <w:pPr>
              <w:spacing w:after="0" w:line="240" w:lineRule="auto"/>
              <w:jc w:val="right"/>
              <w:rPr>
                <w:rFonts w:cs="Calibri"/>
                <w:color w:val="000000"/>
                <w:lang w:val="en-GB"/>
              </w:rPr>
            </w:pPr>
            <w:r w:rsidRPr="001E40C9">
              <w:rPr>
                <w:rFonts w:cs="Calibri"/>
                <w:color w:val="000000"/>
              </w:rPr>
              <w:t>595</w:t>
            </w:r>
          </w:p>
        </w:tc>
        <w:tc>
          <w:tcPr>
            <w:tcW w:w="266" w:type="dxa"/>
            <w:tcBorders>
              <w:top w:val="nil"/>
              <w:left w:val="nil"/>
              <w:bottom w:val="nil"/>
              <w:right w:val="nil"/>
            </w:tcBorders>
            <w:shd w:val="clear" w:color="000000" w:fill="FFFFFF"/>
            <w:noWrap/>
            <w:vAlign w:val="bottom"/>
            <w:hideMark/>
          </w:tcPr>
          <w:p w14:paraId="7CA19B80" w14:textId="0EA29252" w:rsidR="007C3572" w:rsidRPr="00C213E7" w:rsidRDefault="007C3572" w:rsidP="007C3572">
            <w:pPr>
              <w:spacing w:after="0" w:line="240" w:lineRule="auto"/>
              <w:jc w:val="right"/>
              <w:rPr>
                <w:rFonts w:cs="Calibri"/>
                <w:color w:val="000000"/>
                <w:lang w:val="en-GB"/>
              </w:rPr>
            </w:pPr>
            <w:r w:rsidRPr="00C213E7">
              <w:rPr>
                <w:rFonts w:cs="Calibri"/>
                <w:color w:val="000000"/>
              </w:rPr>
              <w:t> </w:t>
            </w:r>
          </w:p>
        </w:tc>
        <w:tc>
          <w:tcPr>
            <w:tcW w:w="1725" w:type="dxa"/>
            <w:tcBorders>
              <w:top w:val="nil"/>
              <w:left w:val="nil"/>
              <w:bottom w:val="nil"/>
              <w:right w:val="nil"/>
            </w:tcBorders>
            <w:shd w:val="clear" w:color="000000" w:fill="FFFFFF"/>
            <w:noWrap/>
            <w:vAlign w:val="bottom"/>
            <w:hideMark/>
          </w:tcPr>
          <w:p w14:paraId="5ED76D24" w14:textId="1D5508C7" w:rsidR="007C3572" w:rsidRPr="00C213E7" w:rsidRDefault="007C3572" w:rsidP="007C3572">
            <w:pPr>
              <w:spacing w:after="0" w:line="240" w:lineRule="auto"/>
              <w:jc w:val="right"/>
              <w:rPr>
                <w:rFonts w:cs="Calibri"/>
                <w:color w:val="000000"/>
                <w:lang w:val="en-GB"/>
              </w:rPr>
            </w:pPr>
            <w:r w:rsidRPr="00C213E7">
              <w:rPr>
                <w:rFonts w:cs="Calibri"/>
                <w:color w:val="000000"/>
              </w:rPr>
              <w:t>467</w:t>
            </w:r>
          </w:p>
        </w:tc>
      </w:tr>
      <w:tr w:rsidR="007C3572" w:rsidRPr="008414D9" w14:paraId="01AD9C66" w14:textId="77777777" w:rsidTr="00626BE8">
        <w:trPr>
          <w:trHeight w:val="300"/>
        </w:trPr>
        <w:tc>
          <w:tcPr>
            <w:tcW w:w="6292" w:type="dxa"/>
            <w:tcBorders>
              <w:top w:val="nil"/>
              <w:left w:val="nil"/>
              <w:bottom w:val="nil"/>
              <w:right w:val="nil"/>
            </w:tcBorders>
            <w:shd w:val="clear" w:color="000000" w:fill="FFFFFF"/>
            <w:noWrap/>
            <w:vAlign w:val="center"/>
            <w:hideMark/>
          </w:tcPr>
          <w:p w14:paraId="7F5C791A" w14:textId="3FBE25AB" w:rsidR="007C3572" w:rsidRPr="008414D9" w:rsidRDefault="007C3572" w:rsidP="007C3572">
            <w:pPr>
              <w:spacing w:after="0" w:line="240" w:lineRule="auto"/>
              <w:jc w:val="both"/>
              <w:rPr>
                <w:rFonts w:eastAsia="Times New Roman"/>
                <w:lang w:val="en-GB" w:eastAsia="el-GR"/>
              </w:rPr>
            </w:pPr>
            <w:r w:rsidRPr="00734618">
              <w:rPr>
                <w:color w:val="000000"/>
                <w:sz w:val="20"/>
                <w:szCs w:val="20"/>
              </w:rPr>
              <w:t>Χρηματοοικονομικά έξοδα</w:t>
            </w:r>
          </w:p>
        </w:tc>
        <w:tc>
          <w:tcPr>
            <w:tcW w:w="1850" w:type="dxa"/>
            <w:tcBorders>
              <w:top w:val="nil"/>
              <w:left w:val="nil"/>
              <w:bottom w:val="nil"/>
              <w:right w:val="nil"/>
            </w:tcBorders>
            <w:shd w:val="clear" w:color="auto" w:fill="E2EFD9"/>
            <w:noWrap/>
            <w:vAlign w:val="bottom"/>
          </w:tcPr>
          <w:p w14:paraId="199EE717" w14:textId="3E25BD64" w:rsidR="007C3572" w:rsidRPr="001E40C9" w:rsidRDefault="007C3572" w:rsidP="007C3572">
            <w:pPr>
              <w:spacing w:after="0" w:line="240" w:lineRule="auto"/>
              <w:jc w:val="right"/>
              <w:rPr>
                <w:rFonts w:cs="Calibri"/>
                <w:color w:val="000000"/>
                <w:lang w:val="en-GB"/>
              </w:rPr>
            </w:pPr>
            <w:r w:rsidRPr="001E40C9">
              <w:rPr>
                <w:rFonts w:cs="Calibri"/>
                <w:color w:val="000000"/>
              </w:rPr>
              <w:t>(32</w:t>
            </w:r>
            <w:r>
              <w:rPr>
                <w:rFonts w:cs="Calibri"/>
                <w:color w:val="000000"/>
              </w:rPr>
              <w:t>.</w:t>
            </w:r>
            <w:r w:rsidRPr="001E40C9">
              <w:rPr>
                <w:rFonts w:cs="Calibri"/>
                <w:color w:val="000000"/>
              </w:rPr>
              <w:t>341)</w:t>
            </w:r>
          </w:p>
        </w:tc>
        <w:tc>
          <w:tcPr>
            <w:tcW w:w="266" w:type="dxa"/>
            <w:tcBorders>
              <w:top w:val="nil"/>
              <w:left w:val="nil"/>
              <w:bottom w:val="nil"/>
              <w:right w:val="nil"/>
            </w:tcBorders>
            <w:shd w:val="clear" w:color="000000" w:fill="FFFFFF"/>
            <w:noWrap/>
            <w:vAlign w:val="bottom"/>
            <w:hideMark/>
          </w:tcPr>
          <w:p w14:paraId="00140E96" w14:textId="1D40957C" w:rsidR="007C3572" w:rsidRPr="00C213E7" w:rsidRDefault="007C3572" w:rsidP="007C3572">
            <w:pPr>
              <w:spacing w:after="0" w:line="240" w:lineRule="auto"/>
              <w:jc w:val="right"/>
              <w:rPr>
                <w:rFonts w:cs="Calibri"/>
                <w:color w:val="000000"/>
                <w:lang w:val="en-GB"/>
              </w:rPr>
            </w:pPr>
            <w:r w:rsidRPr="00C213E7">
              <w:rPr>
                <w:rFonts w:cs="Calibri"/>
                <w:color w:val="000000"/>
              </w:rPr>
              <w:t> </w:t>
            </w:r>
          </w:p>
        </w:tc>
        <w:tc>
          <w:tcPr>
            <w:tcW w:w="1725" w:type="dxa"/>
            <w:tcBorders>
              <w:top w:val="nil"/>
              <w:left w:val="nil"/>
              <w:bottom w:val="nil"/>
              <w:right w:val="nil"/>
            </w:tcBorders>
            <w:shd w:val="clear" w:color="000000" w:fill="FFFFFF"/>
            <w:noWrap/>
            <w:vAlign w:val="bottom"/>
            <w:hideMark/>
          </w:tcPr>
          <w:p w14:paraId="1C8050EF" w14:textId="010C584C" w:rsidR="007C3572" w:rsidRPr="00C213E7" w:rsidRDefault="007C3572" w:rsidP="007C3572">
            <w:pPr>
              <w:spacing w:after="0" w:line="240" w:lineRule="auto"/>
              <w:jc w:val="right"/>
              <w:rPr>
                <w:rFonts w:cs="Calibri"/>
                <w:color w:val="000000"/>
                <w:lang w:val="en-GB"/>
              </w:rPr>
            </w:pPr>
            <w:r w:rsidRPr="00C213E7">
              <w:rPr>
                <w:rFonts w:cs="Calibri"/>
                <w:color w:val="000000"/>
              </w:rPr>
              <w:t>(34</w:t>
            </w:r>
            <w:r>
              <w:rPr>
                <w:rFonts w:cs="Calibri"/>
                <w:color w:val="000000"/>
              </w:rPr>
              <w:t>.</w:t>
            </w:r>
            <w:r w:rsidRPr="00C213E7">
              <w:rPr>
                <w:rFonts w:cs="Calibri"/>
                <w:color w:val="000000"/>
              </w:rPr>
              <w:t>361)</w:t>
            </w:r>
          </w:p>
        </w:tc>
      </w:tr>
      <w:tr w:rsidR="007C3572" w:rsidRPr="008414D9" w14:paraId="3D3DFFA6" w14:textId="77777777" w:rsidTr="00626BE8">
        <w:trPr>
          <w:trHeight w:val="300"/>
        </w:trPr>
        <w:tc>
          <w:tcPr>
            <w:tcW w:w="6292" w:type="dxa"/>
            <w:tcBorders>
              <w:top w:val="nil"/>
              <w:left w:val="nil"/>
              <w:bottom w:val="nil"/>
              <w:right w:val="nil"/>
            </w:tcBorders>
            <w:shd w:val="clear" w:color="000000" w:fill="FFFFFF"/>
            <w:noWrap/>
            <w:vAlign w:val="center"/>
            <w:hideMark/>
          </w:tcPr>
          <w:p w14:paraId="7C559F50" w14:textId="3675D446" w:rsidR="007C3572" w:rsidRPr="008414D9" w:rsidRDefault="007C3572" w:rsidP="007C3572">
            <w:pPr>
              <w:spacing w:after="0" w:line="240" w:lineRule="auto"/>
              <w:jc w:val="both"/>
              <w:rPr>
                <w:rFonts w:eastAsia="Times New Roman"/>
                <w:b/>
                <w:bCs/>
                <w:lang w:val="en-GB" w:eastAsia="el-GR"/>
              </w:rPr>
            </w:pPr>
            <w:r w:rsidRPr="00734618">
              <w:rPr>
                <w:b/>
                <w:color w:val="000000"/>
                <w:sz w:val="20"/>
                <w:szCs w:val="20"/>
              </w:rPr>
              <w:t>Καθαρά χρηματοοικονομικά έξοδα</w:t>
            </w:r>
          </w:p>
        </w:tc>
        <w:tc>
          <w:tcPr>
            <w:tcW w:w="1850" w:type="dxa"/>
            <w:tcBorders>
              <w:top w:val="single" w:sz="4" w:space="0" w:color="auto"/>
              <w:left w:val="nil"/>
              <w:bottom w:val="single" w:sz="4" w:space="0" w:color="auto"/>
              <w:right w:val="nil"/>
            </w:tcBorders>
            <w:shd w:val="clear" w:color="auto" w:fill="E2EFD9"/>
            <w:noWrap/>
            <w:vAlign w:val="bottom"/>
          </w:tcPr>
          <w:p w14:paraId="7BCDAAFC" w14:textId="41B3DF91" w:rsidR="007C3572" w:rsidRPr="001E40C9" w:rsidRDefault="007C3572" w:rsidP="007C3572">
            <w:pPr>
              <w:spacing w:after="0" w:line="240" w:lineRule="auto"/>
              <w:jc w:val="right"/>
              <w:rPr>
                <w:rFonts w:cs="Calibri"/>
                <w:b/>
                <w:bCs/>
                <w:color w:val="000000"/>
                <w:lang w:val="en-GB"/>
              </w:rPr>
            </w:pPr>
            <w:r w:rsidRPr="001E40C9">
              <w:rPr>
                <w:rFonts w:cs="Calibri"/>
                <w:b/>
                <w:bCs/>
                <w:color w:val="000000"/>
              </w:rPr>
              <w:t>(31</w:t>
            </w:r>
            <w:r>
              <w:rPr>
                <w:rFonts w:cs="Calibri"/>
                <w:b/>
                <w:bCs/>
                <w:color w:val="000000"/>
              </w:rPr>
              <w:t>.</w:t>
            </w:r>
            <w:r w:rsidRPr="001E40C9">
              <w:rPr>
                <w:rFonts w:cs="Calibri"/>
                <w:b/>
                <w:bCs/>
                <w:color w:val="000000"/>
              </w:rPr>
              <w:t>747)</w:t>
            </w:r>
          </w:p>
        </w:tc>
        <w:tc>
          <w:tcPr>
            <w:tcW w:w="266" w:type="dxa"/>
            <w:tcBorders>
              <w:top w:val="nil"/>
              <w:left w:val="nil"/>
              <w:bottom w:val="nil"/>
              <w:right w:val="nil"/>
            </w:tcBorders>
            <w:shd w:val="clear" w:color="000000" w:fill="FFFFFF"/>
            <w:noWrap/>
            <w:vAlign w:val="bottom"/>
            <w:hideMark/>
          </w:tcPr>
          <w:p w14:paraId="1C257E1C" w14:textId="0019FDC4" w:rsidR="007C3572" w:rsidRPr="00C213E7" w:rsidRDefault="007C3572" w:rsidP="007C3572">
            <w:pPr>
              <w:spacing w:after="0" w:line="240" w:lineRule="auto"/>
              <w:jc w:val="right"/>
              <w:rPr>
                <w:rFonts w:cs="Calibri"/>
                <w:color w:val="000000"/>
                <w:lang w:val="en-GB"/>
              </w:rPr>
            </w:pPr>
            <w:r w:rsidRPr="00C213E7">
              <w:rPr>
                <w:rFonts w:cs="Calibri"/>
                <w:color w:val="000000"/>
              </w:rPr>
              <w:t> </w:t>
            </w:r>
          </w:p>
        </w:tc>
        <w:tc>
          <w:tcPr>
            <w:tcW w:w="1725" w:type="dxa"/>
            <w:tcBorders>
              <w:top w:val="single" w:sz="4" w:space="0" w:color="auto"/>
              <w:left w:val="nil"/>
              <w:bottom w:val="single" w:sz="4" w:space="0" w:color="auto"/>
              <w:right w:val="nil"/>
            </w:tcBorders>
            <w:shd w:val="clear" w:color="000000" w:fill="FFFFFF"/>
            <w:noWrap/>
            <w:vAlign w:val="bottom"/>
            <w:hideMark/>
          </w:tcPr>
          <w:p w14:paraId="6563B5B0" w14:textId="1FE8F964" w:rsidR="007C3572" w:rsidRPr="00C213E7" w:rsidRDefault="007C3572" w:rsidP="007C3572">
            <w:pPr>
              <w:spacing w:after="0" w:line="240" w:lineRule="auto"/>
              <w:jc w:val="right"/>
              <w:rPr>
                <w:rFonts w:cs="Calibri"/>
                <w:b/>
                <w:bCs/>
                <w:color w:val="000000"/>
                <w:lang w:val="en-GB"/>
              </w:rPr>
            </w:pPr>
            <w:r w:rsidRPr="00C213E7">
              <w:rPr>
                <w:rFonts w:cs="Calibri"/>
                <w:b/>
                <w:bCs/>
                <w:color w:val="000000"/>
              </w:rPr>
              <w:t>(33</w:t>
            </w:r>
            <w:r>
              <w:rPr>
                <w:rFonts w:cs="Calibri"/>
                <w:b/>
                <w:bCs/>
                <w:color w:val="000000"/>
              </w:rPr>
              <w:t>.</w:t>
            </w:r>
            <w:r w:rsidRPr="00C213E7">
              <w:rPr>
                <w:rFonts w:cs="Calibri"/>
                <w:b/>
                <w:bCs/>
                <w:color w:val="000000"/>
              </w:rPr>
              <w:t>894)</w:t>
            </w:r>
          </w:p>
        </w:tc>
      </w:tr>
      <w:tr w:rsidR="007C3572" w:rsidRPr="008414D9" w14:paraId="70204027" w14:textId="77777777" w:rsidTr="00626BE8">
        <w:trPr>
          <w:trHeight w:val="300"/>
        </w:trPr>
        <w:tc>
          <w:tcPr>
            <w:tcW w:w="6292" w:type="dxa"/>
            <w:tcBorders>
              <w:top w:val="nil"/>
              <w:left w:val="nil"/>
              <w:bottom w:val="nil"/>
              <w:right w:val="nil"/>
            </w:tcBorders>
            <w:shd w:val="clear" w:color="000000" w:fill="FFFFFF"/>
            <w:noWrap/>
            <w:vAlign w:val="center"/>
            <w:hideMark/>
          </w:tcPr>
          <w:p w14:paraId="0E854D90" w14:textId="53A60D35" w:rsidR="007C3572" w:rsidRPr="007C3572" w:rsidRDefault="007C3572" w:rsidP="007C3572">
            <w:pPr>
              <w:spacing w:after="0" w:line="240" w:lineRule="auto"/>
              <w:jc w:val="both"/>
              <w:rPr>
                <w:rFonts w:eastAsia="Times New Roman"/>
                <w:lang w:eastAsia="el-GR"/>
              </w:rPr>
            </w:pPr>
            <w:r w:rsidRPr="00734618">
              <w:rPr>
                <w:color w:val="000000"/>
                <w:sz w:val="20"/>
                <w:szCs w:val="20"/>
              </w:rPr>
              <w:t>Κέρδη από συγγενείς επιχειρήσεις, καθαρά από φόρους</w:t>
            </w:r>
          </w:p>
        </w:tc>
        <w:tc>
          <w:tcPr>
            <w:tcW w:w="1850" w:type="dxa"/>
            <w:tcBorders>
              <w:top w:val="nil"/>
              <w:left w:val="nil"/>
              <w:bottom w:val="nil"/>
              <w:right w:val="nil"/>
            </w:tcBorders>
            <w:shd w:val="clear" w:color="auto" w:fill="E2EFD9"/>
            <w:noWrap/>
            <w:vAlign w:val="bottom"/>
          </w:tcPr>
          <w:p w14:paraId="2AFD4104" w14:textId="3CEF53E6" w:rsidR="007C3572" w:rsidRPr="001E40C9" w:rsidRDefault="007C3572" w:rsidP="007C3572">
            <w:pPr>
              <w:spacing w:after="0" w:line="240" w:lineRule="auto"/>
              <w:jc w:val="right"/>
              <w:rPr>
                <w:rFonts w:cs="Calibri"/>
                <w:color w:val="000000"/>
                <w:lang w:val="en-GB"/>
              </w:rPr>
            </w:pPr>
            <w:r w:rsidRPr="001E40C9">
              <w:rPr>
                <w:rFonts w:cs="Calibri"/>
                <w:color w:val="000000"/>
              </w:rPr>
              <w:t>410</w:t>
            </w:r>
          </w:p>
        </w:tc>
        <w:tc>
          <w:tcPr>
            <w:tcW w:w="266" w:type="dxa"/>
            <w:tcBorders>
              <w:top w:val="nil"/>
              <w:left w:val="nil"/>
              <w:bottom w:val="nil"/>
              <w:right w:val="nil"/>
            </w:tcBorders>
            <w:shd w:val="clear" w:color="000000" w:fill="FFFFFF"/>
            <w:noWrap/>
            <w:vAlign w:val="bottom"/>
            <w:hideMark/>
          </w:tcPr>
          <w:p w14:paraId="50B3F6AA" w14:textId="0209773A" w:rsidR="007C3572" w:rsidRPr="00C213E7" w:rsidRDefault="007C3572" w:rsidP="007C3572">
            <w:pPr>
              <w:spacing w:after="0" w:line="240" w:lineRule="auto"/>
              <w:jc w:val="right"/>
              <w:rPr>
                <w:rFonts w:cs="Calibri"/>
                <w:color w:val="000000"/>
                <w:lang w:val="en-GB"/>
              </w:rPr>
            </w:pPr>
            <w:r w:rsidRPr="00C213E7">
              <w:rPr>
                <w:rFonts w:cs="Calibri"/>
                <w:color w:val="000000"/>
              </w:rPr>
              <w:t> </w:t>
            </w:r>
          </w:p>
        </w:tc>
        <w:tc>
          <w:tcPr>
            <w:tcW w:w="1725" w:type="dxa"/>
            <w:tcBorders>
              <w:top w:val="nil"/>
              <w:left w:val="nil"/>
              <w:bottom w:val="nil"/>
              <w:right w:val="nil"/>
            </w:tcBorders>
            <w:shd w:val="clear" w:color="000000" w:fill="FFFFFF"/>
            <w:noWrap/>
            <w:vAlign w:val="bottom"/>
            <w:hideMark/>
          </w:tcPr>
          <w:p w14:paraId="230ACB26" w14:textId="7E9E08CE" w:rsidR="007C3572" w:rsidRPr="00C213E7" w:rsidRDefault="007C3572" w:rsidP="007C3572">
            <w:pPr>
              <w:spacing w:after="0" w:line="240" w:lineRule="auto"/>
              <w:jc w:val="right"/>
              <w:rPr>
                <w:rFonts w:cs="Calibri"/>
                <w:color w:val="000000"/>
                <w:lang w:val="en-GB"/>
              </w:rPr>
            </w:pPr>
            <w:r w:rsidRPr="00C213E7">
              <w:rPr>
                <w:rFonts w:cs="Calibri"/>
                <w:color w:val="000000"/>
              </w:rPr>
              <w:t>480</w:t>
            </w:r>
          </w:p>
        </w:tc>
      </w:tr>
      <w:tr w:rsidR="007C3572" w:rsidRPr="008414D9" w14:paraId="71E44542" w14:textId="77777777" w:rsidTr="00626BE8">
        <w:trPr>
          <w:trHeight w:val="300"/>
        </w:trPr>
        <w:tc>
          <w:tcPr>
            <w:tcW w:w="6292" w:type="dxa"/>
            <w:tcBorders>
              <w:top w:val="nil"/>
              <w:left w:val="nil"/>
              <w:bottom w:val="nil"/>
              <w:right w:val="nil"/>
            </w:tcBorders>
            <w:shd w:val="clear" w:color="000000" w:fill="FFFFFF"/>
            <w:noWrap/>
            <w:vAlign w:val="center"/>
            <w:hideMark/>
          </w:tcPr>
          <w:p w14:paraId="2049FFB9" w14:textId="7EB0EA49" w:rsidR="007C3572" w:rsidRPr="008414D9" w:rsidRDefault="007C3572" w:rsidP="007C3572">
            <w:pPr>
              <w:spacing w:after="0" w:line="240" w:lineRule="auto"/>
              <w:jc w:val="both"/>
              <w:rPr>
                <w:rFonts w:eastAsia="Times New Roman"/>
                <w:b/>
                <w:bCs/>
                <w:lang w:val="en-GB" w:eastAsia="el-GR"/>
              </w:rPr>
            </w:pPr>
            <w:r w:rsidRPr="00734618">
              <w:rPr>
                <w:b/>
                <w:color w:val="000000"/>
                <w:sz w:val="20"/>
                <w:szCs w:val="20"/>
              </w:rPr>
              <w:t>Κέρδη προ φόρων</w:t>
            </w:r>
          </w:p>
        </w:tc>
        <w:tc>
          <w:tcPr>
            <w:tcW w:w="1850" w:type="dxa"/>
            <w:tcBorders>
              <w:top w:val="single" w:sz="4" w:space="0" w:color="auto"/>
              <w:left w:val="nil"/>
              <w:bottom w:val="single" w:sz="4" w:space="0" w:color="auto"/>
              <w:right w:val="nil"/>
            </w:tcBorders>
            <w:shd w:val="clear" w:color="auto" w:fill="E2EFD9"/>
            <w:noWrap/>
            <w:vAlign w:val="bottom"/>
          </w:tcPr>
          <w:p w14:paraId="51E410E1" w14:textId="46241382" w:rsidR="007C3572" w:rsidRPr="001E40C9" w:rsidRDefault="007C3572" w:rsidP="007C3572">
            <w:pPr>
              <w:spacing w:after="0" w:line="240" w:lineRule="auto"/>
              <w:jc w:val="right"/>
              <w:rPr>
                <w:rFonts w:cs="Calibri"/>
                <w:b/>
                <w:bCs/>
                <w:color w:val="000000"/>
                <w:lang w:val="en-GB"/>
              </w:rPr>
            </w:pPr>
            <w:r w:rsidRPr="001E40C9">
              <w:rPr>
                <w:rFonts w:cs="Calibri"/>
                <w:b/>
                <w:bCs/>
                <w:color w:val="000000"/>
              </w:rPr>
              <w:t>7</w:t>
            </w:r>
            <w:r w:rsidR="00DF6E79">
              <w:rPr>
                <w:rFonts w:cs="Calibri"/>
                <w:b/>
                <w:bCs/>
                <w:color w:val="000000"/>
              </w:rPr>
              <w:t>2</w:t>
            </w:r>
            <w:r>
              <w:rPr>
                <w:rFonts w:cs="Calibri"/>
                <w:b/>
                <w:bCs/>
                <w:color w:val="000000"/>
              </w:rPr>
              <w:t>.</w:t>
            </w:r>
            <w:r w:rsidR="00DF6E79">
              <w:rPr>
                <w:rFonts w:cs="Calibri"/>
                <w:b/>
                <w:bCs/>
                <w:color w:val="000000"/>
              </w:rPr>
              <w:t>883</w:t>
            </w:r>
          </w:p>
        </w:tc>
        <w:tc>
          <w:tcPr>
            <w:tcW w:w="266" w:type="dxa"/>
            <w:tcBorders>
              <w:top w:val="nil"/>
              <w:left w:val="nil"/>
              <w:bottom w:val="nil"/>
              <w:right w:val="nil"/>
            </w:tcBorders>
            <w:shd w:val="clear" w:color="000000" w:fill="FFFFFF"/>
            <w:noWrap/>
            <w:vAlign w:val="bottom"/>
            <w:hideMark/>
          </w:tcPr>
          <w:p w14:paraId="35687C2E" w14:textId="690F3EFF" w:rsidR="007C3572" w:rsidRPr="00C213E7" w:rsidRDefault="007C3572" w:rsidP="007C3572">
            <w:pPr>
              <w:spacing w:after="0" w:line="240" w:lineRule="auto"/>
              <w:jc w:val="right"/>
              <w:rPr>
                <w:rFonts w:cs="Calibri"/>
                <w:color w:val="000000"/>
                <w:lang w:val="en-GB"/>
              </w:rPr>
            </w:pPr>
            <w:r w:rsidRPr="00C213E7">
              <w:rPr>
                <w:rFonts w:cs="Calibri"/>
                <w:color w:val="000000"/>
              </w:rPr>
              <w:t> </w:t>
            </w:r>
          </w:p>
        </w:tc>
        <w:tc>
          <w:tcPr>
            <w:tcW w:w="1725" w:type="dxa"/>
            <w:tcBorders>
              <w:top w:val="single" w:sz="4" w:space="0" w:color="auto"/>
              <w:left w:val="nil"/>
              <w:bottom w:val="single" w:sz="4" w:space="0" w:color="auto"/>
              <w:right w:val="nil"/>
            </w:tcBorders>
            <w:shd w:val="clear" w:color="000000" w:fill="FFFFFF"/>
            <w:noWrap/>
            <w:vAlign w:val="bottom"/>
            <w:hideMark/>
          </w:tcPr>
          <w:p w14:paraId="0470AE88" w14:textId="64ACE7BD" w:rsidR="007C3572" w:rsidRPr="00C213E7" w:rsidRDefault="007C3572" w:rsidP="007C3572">
            <w:pPr>
              <w:spacing w:after="0" w:line="240" w:lineRule="auto"/>
              <w:jc w:val="right"/>
              <w:rPr>
                <w:rFonts w:cs="Calibri"/>
                <w:b/>
                <w:bCs/>
                <w:color w:val="000000"/>
                <w:lang w:val="en-GB"/>
              </w:rPr>
            </w:pPr>
            <w:r w:rsidRPr="00C213E7">
              <w:rPr>
                <w:rFonts w:cs="Calibri"/>
                <w:b/>
                <w:bCs/>
                <w:color w:val="000000"/>
              </w:rPr>
              <w:t>30</w:t>
            </w:r>
            <w:r>
              <w:rPr>
                <w:rFonts w:cs="Calibri"/>
                <w:b/>
                <w:bCs/>
                <w:color w:val="000000"/>
              </w:rPr>
              <w:t>.</w:t>
            </w:r>
            <w:r w:rsidRPr="00C213E7">
              <w:rPr>
                <w:rFonts w:cs="Calibri"/>
                <w:b/>
                <w:bCs/>
                <w:color w:val="000000"/>
              </w:rPr>
              <w:t>852</w:t>
            </w:r>
          </w:p>
        </w:tc>
      </w:tr>
      <w:tr w:rsidR="007C3572" w:rsidRPr="008414D9" w14:paraId="09A5F674" w14:textId="77777777" w:rsidTr="00626BE8">
        <w:trPr>
          <w:trHeight w:val="300"/>
        </w:trPr>
        <w:tc>
          <w:tcPr>
            <w:tcW w:w="6292" w:type="dxa"/>
            <w:tcBorders>
              <w:top w:val="nil"/>
              <w:left w:val="nil"/>
              <w:bottom w:val="nil"/>
              <w:right w:val="nil"/>
            </w:tcBorders>
            <w:shd w:val="clear" w:color="000000" w:fill="FFFFFF"/>
            <w:noWrap/>
            <w:vAlign w:val="center"/>
            <w:hideMark/>
          </w:tcPr>
          <w:p w14:paraId="5D41FB79" w14:textId="2B66BD7E" w:rsidR="007C3572" w:rsidRPr="008414D9" w:rsidRDefault="007C3572" w:rsidP="007C3572">
            <w:pPr>
              <w:spacing w:after="0" w:line="240" w:lineRule="auto"/>
              <w:jc w:val="both"/>
              <w:rPr>
                <w:rFonts w:eastAsia="Times New Roman"/>
                <w:lang w:val="en-GB" w:eastAsia="el-GR"/>
              </w:rPr>
            </w:pPr>
            <w:r w:rsidRPr="00734618">
              <w:rPr>
                <w:color w:val="000000"/>
                <w:sz w:val="20"/>
                <w:szCs w:val="20"/>
              </w:rPr>
              <w:t xml:space="preserve">Φόρος εισοδήματος </w:t>
            </w:r>
          </w:p>
        </w:tc>
        <w:tc>
          <w:tcPr>
            <w:tcW w:w="1850" w:type="dxa"/>
            <w:tcBorders>
              <w:top w:val="nil"/>
              <w:left w:val="nil"/>
              <w:bottom w:val="nil"/>
              <w:right w:val="nil"/>
            </w:tcBorders>
            <w:shd w:val="clear" w:color="auto" w:fill="E2EFD9"/>
            <w:noWrap/>
            <w:vAlign w:val="bottom"/>
          </w:tcPr>
          <w:p w14:paraId="47592C98" w14:textId="04A7DAF4" w:rsidR="007C3572" w:rsidRPr="001E40C9" w:rsidRDefault="007C3572" w:rsidP="007C3572">
            <w:pPr>
              <w:spacing w:after="0" w:line="240" w:lineRule="auto"/>
              <w:jc w:val="right"/>
              <w:rPr>
                <w:rFonts w:cs="Calibri"/>
                <w:color w:val="000000"/>
                <w:lang w:val="en-GB"/>
              </w:rPr>
            </w:pPr>
            <w:r w:rsidRPr="001E40C9">
              <w:rPr>
                <w:rFonts w:cs="Calibri"/>
                <w:color w:val="000000"/>
              </w:rPr>
              <w:t>(16</w:t>
            </w:r>
            <w:r>
              <w:rPr>
                <w:rFonts w:cs="Calibri"/>
                <w:color w:val="000000"/>
              </w:rPr>
              <w:t>.</w:t>
            </w:r>
            <w:r w:rsidRPr="001E40C9">
              <w:rPr>
                <w:rFonts w:cs="Calibri"/>
                <w:color w:val="000000"/>
              </w:rPr>
              <w:t>421)</w:t>
            </w:r>
          </w:p>
        </w:tc>
        <w:tc>
          <w:tcPr>
            <w:tcW w:w="266" w:type="dxa"/>
            <w:tcBorders>
              <w:top w:val="nil"/>
              <w:left w:val="nil"/>
              <w:bottom w:val="nil"/>
              <w:right w:val="nil"/>
            </w:tcBorders>
            <w:shd w:val="clear" w:color="000000" w:fill="FFFFFF"/>
            <w:noWrap/>
            <w:vAlign w:val="bottom"/>
            <w:hideMark/>
          </w:tcPr>
          <w:p w14:paraId="4310A2AD" w14:textId="6A2E20E7" w:rsidR="007C3572" w:rsidRPr="00C213E7" w:rsidRDefault="007C3572" w:rsidP="007C3572">
            <w:pPr>
              <w:spacing w:after="0" w:line="240" w:lineRule="auto"/>
              <w:jc w:val="right"/>
              <w:rPr>
                <w:rFonts w:cs="Calibri"/>
                <w:color w:val="000000"/>
                <w:lang w:val="en-GB"/>
              </w:rPr>
            </w:pPr>
            <w:r w:rsidRPr="00C213E7">
              <w:rPr>
                <w:rFonts w:cs="Calibri"/>
                <w:color w:val="000000"/>
              </w:rPr>
              <w:t> </w:t>
            </w:r>
          </w:p>
        </w:tc>
        <w:tc>
          <w:tcPr>
            <w:tcW w:w="1725" w:type="dxa"/>
            <w:tcBorders>
              <w:top w:val="nil"/>
              <w:left w:val="nil"/>
              <w:bottom w:val="nil"/>
              <w:right w:val="nil"/>
            </w:tcBorders>
            <w:shd w:val="clear" w:color="000000" w:fill="FFFFFF"/>
            <w:noWrap/>
            <w:vAlign w:val="bottom"/>
            <w:hideMark/>
          </w:tcPr>
          <w:p w14:paraId="703DB06B" w14:textId="24C90E8E" w:rsidR="007C3572" w:rsidRPr="00C213E7" w:rsidRDefault="007C3572" w:rsidP="007C3572">
            <w:pPr>
              <w:spacing w:after="0" w:line="240" w:lineRule="auto"/>
              <w:jc w:val="right"/>
              <w:rPr>
                <w:rFonts w:cs="Calibri"/>
                <w:color w:val="000000"/>
                <w:lang w:val="en-GB"/>
              </w:rPr>
            </w:pPr>
            <w:r w:rsidRPr="00C213E7">
              <w:rPr>
                <w:rFonts w:cs="Calibri"/>
                <w:color w:val="000000"/>
              </w:rPr>
              <w:t>(7</w:t>
            </w:r>
            <w:r>
              <w:rPr>
                <w:rFonts w:cs="Calibri"/>
                <w:color w:val="000000"/>
              </w:rPr>
              <w:t>.</w:t>
            </w:r>
            <w:r w:rsidRPr="00C213E7">
              <w:rPr>
                <w:rFonts w:cs="Calibri"/>
                <w:color w:val="000000"/>
              </w:rPr>
              <w:t>221)</w:t>
            </w:r>
          </w:p>
        </w:tc>
      </w:tr>
      <w:tr w:rsidR="007C3572" w:rsidRPr="008414D9" w14:paraId="66DC59DE" w14:textId="77777777" w:rsidTr="00626BE8">
        <w:trPr>
          <w:trHeight w:val="315"/>
        </w:trPr>
        <w:tc>
          <w:tcPr>
            <w:tcW w:w="6292" w:type="dxa"/>
            <w:tcBorders>
              <w:top w:val="nil"/>
              <w:left w:val="nil"/>
              <w:bottom w:val="nil"/>
              <w:right w:val="nil"/>
            </w:tcBorders>
            <w:shd w:val="clear" w:color="000000" w:fill="FFFFFF"/>
            <w:vAlign w:val="center"/>
            <w:hideMark/>
          </w:tcPr>
          <w:p w14:paraId="3EEC841A" w14:textId="175F3DB9" w:rsidR="007C3572" w:rsidRPr="008414D9" w:rsidRDefault="007C3572" w:rsidP="007C3572">
            <w:pPr>
              <w:spacing w:after="0" w:line="240" w:lineRule="auto"/>
              <w:jc w:val="both"/>
              <w:rPr>
                <w:rFonts w:eastAsia="Times New Roman"/>
                <w:b/>
                <w:bCs/>
                <w:lang w:val="en-GB" w:eastAsia="el-GR"/>
              </w:rPr>
            </w:pPr>
            <w:r w:rsidRPr="00734618">
              <w:rPr>
                <w:b/>
                <w:color w:val="000000"/>
                <w:sz w:val="20"/>
                <w:szCs w:val="20"/>
              </w:rPr>
              <w:t>Κέρδη περιόδου</w:t>
            </w:r>
          </w:p>
        </w:tc>
        <w:tc>
          <w:tcPr>
            <w:tcW w:w="1850" w:type="dxa"/>
            <w:tcBorders>
              <w:top w:val="single" w:sz="4" w:space="0" w:color="auto"/>
              <w:left w:val="nil"/>
              <w:bottom w:val="single" w:sz="8" w:space="0" w:color="auto"/>
              <w:right w:val="nil"/>
            </w:tcBorders>
            <w:shd w:val="clear" w:color="auto" w:fill="E2EFD9"/>
            <w:noWrap/>
            <w:vAlign w:val="bottom"/>
          </w:tcPr>
          <w:p w14:paraId="1294A99F" w14:textId="4C8E82AC" w:rsidR="007C3572" w:rsidRPr="001E40C9" w:rsidRDefault="007C3572" w:rsidP="007C3572">
            <w:pPr>
              <w:spacing w:after="0" w:line="240" w:lineRule="auto"/>
              <w:jc w:val="right"/>
              <w:rPr>
                <w:rFonts w:cs="Calibri"/>
                <w:b/>
                <w:bCs/>
                <w:color w:val="000000"/>
                <w:lang w:val="en-GB"/>
              </w:rPr>
            </w:pPr>
            <w:r w:rsidRPr="001E40C9">
              <w:rPr>
                <w:rFonts w:cs="Calibri"/>
                <w:b/>
                <w:bCs/>
                <w:color w:val="000000"/>
              </w:rPr>
              <w:t>56</w:t>
            </w:r>
            <w:r>
              <w:rPr>
                <w:rFonts w:cs="Calibri"/>
                <w:b/>
                <w:bCs/>
                <w:color w:val="000000"/>
              </w:rPr>
              <w:t>.</w:t>
            </w:r>
            <w:r w:rsidR="00DF6E79">
              <w:rPr>
                <w:rFonts w:cs="Calibri"/>
                <w:b/>
                <w:bCs/>
                <w:color w:val="000000"/>
              </w:rPr>
              <w:t>463</w:t>
            </w:r>
          </w:p>
        </w:tc>
        <w:tc>
          <w:tcPr>
            <w:tcW w:w="266" w:type="dxa"/>
            <w:tcBorders>
              <w:top w:val="nil"/>
              <w:left w:val="nil"/>
              <w:bottom w:val="nil"/>
              <w:right w:val="nil"/>
            </w:tcBorders>
            <w:shd w:val="clear" w:color="000000" w:fill="FFFFFF"/>
            <w:noWrap/>
            <w:vAlign w:val="bottom"/>
            <w:hideMark/>
          </w:tcPr>
          <w:p w14:paraId="6C3BF9DF" w14:textId="1FA5EADE" w:rsidR="007C3572" w:rsidRPr="00C213E7" w:rsidRDefault="007C3572" w:rsidP="007C3572">
            <w:pPr>
              <w:spacing w:after="0" w:line="240" w:lineRule="auto"/>
              <w:jc w:val="right"/>
              <w:rPr>
                <w:rFonts w:cs="Calibri"/>
                <w:b/>
                <w:bCs/>
                <w:color w:val="000000"/>
                <w:lang w:val="en-GB"/>
              </w:rPr>
            </w:pPr>
            <w:r w:rsidRPr="00C213E7">
              <w:rPr>
                <w:rFonts w:cs="Calibri"/>
                <w:b/>
                <w:bCs/>
                <w:color w:val="000000"/>
              </w:rPr>
              <w:t> </w:t>
            </w:r>
          </w:p>
        </w:tc>
        <w:tc>
          <w:tcPr>
            <w:tcW w:w="1725" w:type="dxa"/>
            <w:tcBorders>
              <w:top w:val="single" w:sz="4" w:space="0" w:color="auto"/>
              <w:left w:val="nil"/>
              <w:bottom w:val="single" w:sz="8" w:space="0" w:color="auto"/>
              <w:right w:val="nil"/>
            </w:tcBorders>
            <w:shd w:val="clear" w:color="000000" w:fill="FFFFFF"/>
            <w:noWrap/>
            <w:vAlign w:val="bottom"/>
            <w:hideMark/>
          </w:tcPr>
          <w:p w14:paraId="53EDDA4B" w14:textId="4A30C70E" w:rsidR="007C3572" w:rsidRPr="00C213E7" w:rsidRDefault="007C3572" w:rsidP="007C3572">
            <w:pPr>
              <w:spacing w:after="0" w:line="240" w:lineRule="auto"/>
              <w:jc w:val="right"/>
              <w:rPr>
                <w:rFonts w:cs="Calibri"/>
                <w:b/>
                <w:bCs/>
                <w:color w:val="000000"/>
                <w:lang w:val="en-GB"/>
              </w:rPr>
            </w:pPr>
            <w:r w:rsidRPr="00C213E7">
              <w:rPr>
                <w:rFonts w:cs="Calibri"/>
                <w:b/>
                <w:bCs/>
                <w:color w:val="000000"/>
              </w:rPr>
              <w:t>23</w:t>
            </w:r>
            <w:r>
              <w:rPr>
                <w:rFonts w:cs="Calibri"/>
                <w:b/>
                <w:bCs/>
                <w:color w:val="000000"/>
              </w:rPr>
              <w:t>.</w:t>
            </w:r>
            <w:r w:rsidRPr="00C213E7">
              <w:rPr>
                <w:rFonts w:cs="Calibri"/>
                <w:b/>
                <w:bCs/>
                <w:color w:val="000000"/>
              </w:rPr>
              <w:t>631</w:t>
            </w:r>
          </w:p>
        </w:tc>
      </w:tr>
      <w:tr w:rsidR="007C3572" w:rsidRPr="008414D9" w14:paraId="36F83095" w14:textId="77777777" w:rsidTr="001A12E5">
        <w:trPr>
          <w:trHeight w:val="300"/>
        </w:trPr>
        <w:tc>
          <w:tcPr>
            <w:tcW w:w="6292" w:type="dxa"/>
            <w:tcBorders>
              <w:top w:val="nil"/>
              <w:left w:val="nil"/>
              <w:bottom w:val="nil"/>
              <w:right w:val="nil"/>
            </w:tcBorders>
            <w:shd w:val="clear" w:color="000000" w:fill="FFFFFF"/>
            <w:vAlign w:val="center"/>
          </w:tcPr>
          <w:p w14:paraId="61EB0434" w14:textId="07875099" w:rsidR="007C3572" w:rsidRPr="008414D9" w:rsidRDefault="007C3572" w:rsidP="007C3572">
            <w:pPr>
              <w:spacing w:after="0" w:line="240" w:lineRule="auto"/>
              <w:jc w:val="both"/>
              <w:rPr>
                <w:rFonts w:eastAsia="Times New Roman"/>
                <w:b/>
                <w:bCs/>
                <w:color w:val="000000"/>
                <w:lang w:val="en-GB" w:eastAsia="el-GR"/>
              </w:rPr>
            </w:pPr>
          </w:p>
        </w:tc>
        <w:tc>
          <w:tcPr>
            <w:tcW w:w="1850" w:type="dxa"/>
            <w:tcBorders>
              <w:top w:val="nil"/>
              <w:left w:val="nil"/>
              <w:bottom w:val="nil"/>
              <w:right w:val="nil"/>
            </w:tcBorders>
            <w:shd w:val="clear" w:color="auto" w:fill="E2EFD9"/>
            <w:noWrap/>
            <w:vAlign w:val="bottom"/>
          </w:tcPr>
          <w:p w14:paraId="100D3CB3" w14:textId="1EDE5BBB" w:rsidR="007C3572" w:rsidRPr="001E40C9" w:rsidRDefault="007C3572" w:rsidP="007C3572">
            <w:pPr>
              <w:spacing w:after="0" w:line="240" w:lineRule="auto"/>
              <w:rPr>
                <w:rFonts w:cs="Calibri"/>
                <w:color w:val="000000"/>
                <w:lang w:val="en-GB"/>
              </w:rPr>
            </w:pPr>
            <w:r w:rsidRPr="001E40C9">
              <w:rPr>
                <w:rFonts w:cs="Calibri"/>
                <w:b/>
                <w:bCs/>
                <w:color w:val="000000"/>
              </w:rPr>
              <w:t> </w:t>
            </w:r>
          </w:p>
        </w:tc>
        <w:tc>
          <w:tcPr>
            <w:tcW w:w="266" w:type="dxa"/>
            <w:tcBorders>
              <w:top w:val="nil"/>
              <w:left w:val="nil"/>
              <w:bottom w:val="nil"/>
              <w:right w:val="nil"/>
            </w:tcBorders>
            <w:shd w:val="clear" w:color="auto" w:fill="auto"/>
            <w:noWrap/>
            <w:vAlign w:val="bottom"/>
          </w:tcPr>
          <w:p w14:paraId="66DE5187" w14:textId="70308834" w:rsidR="007C3572" w:rsidRPr="00C213E7" w:rsidRDefault="007C3572" w:rsidP="007C3572">
            <w:pPr>
              <w:spacing w:after="0" w:line="240" w:lineRule="auto"/>
              <w:jc w:val="right"/>
              <w:rPr>
                <w:rFonts w:cs="Calibri"/>
                <w:color w:val="000000"/>
                <w:lang w:val="en-GB"/>
              </w:rPr>
            </w:pPr>
            <w:r w:rsidRPr="00C213E7">
              <w:rPr>
                <w:rFonts w:cs="Calibri"/>
                <w:b/>
                <w:bCs/>
                <w:color w:val="000000"/>
              </w:rPr>
              <w:t> </w:t>
            </w:r>
          </w:p>
        </w:tc>
        <w:tc>
          <w:tcPr>
            <w:tcW w:w="1725" w:type="dxa"/>
            <w:tcBorders>
              <w:top w:val="nil"/>
              <w:left w:val="nil"/>
              <w:bottom w:val="nil"/>
              <w:right w:val="nil"/>
            </w:tcBorders>
            <w:shd w:val="clear" w:color="000000" w:fill="FFFFFF"/>
            <w:noWrap/>
            <w:vAlign w:val="bottom"/>
          </w:tcPr>
          <w:p w14:paraId="79EA9237" w14:textId="6723D56B" w:rsidR="007C3572" w:rsidRPr="00C213E7" w:rsidRDefault="007C3572" w:rsidP="007C3572">
            <w:pPr>
              <w:spacing w:after="0" w:line="240" w:lineRule="auto"/>
              <w:jc w:val="right"/>
              <w:rPr>
                <w:rFonts w:cs="Calibri"/>
                <w:color w:val="000000"/>
                <w:lang w:val="en-GB"/>
              </w:rPr>
            </w:pPr>
            <w:r w:rsidRPr="00C213E7">
              <w:rPr>
                <w:rFonts w:cs="Calibri"/>
                <w:b/>
                <w:bCs/>
                <w:color w:val="000000"/>
              </w:rPr>
              <w:t> </w:t>
            </w:r>
          </w:p>
        </w:tc>
      </w:tr>
      <w:tr w:rsidR="00B406DE" w:rsidRPr="008414D9" w14:paraId="79665169" w14:textId="77777777" w:rsidTr="00B406DE">
        <w:trPr>
          <w:trHeight w:val="300"/>
        </w:trPr>
        <w:tc>
          <w:tcPr>
            <w:tcW w:w="6292" w:type="dxa"/>
            <w:tcBorders>
              <w:top w:val="nil"/>
              <w:left w:val="nil"/>
              <w:bottom w:val="nil"/>
              <w:right w:val="nil"/>
            </w:tcBorders>
            <w:shd w:val="clear" w:color="000000" w:fill="FFFFFF"/>
            <w:vAlign w:val="center"/>
          </w:tcPr>
          <w:p w14:paraId="2E7085B2" w14:textId="7C06F138" w:rsidR="00B406DE" w:rsidRPr="008414D9" w:rsidRDefault="00B406DE" w:rsidP="00B406DE">
            <w:pPr>
              <w:spacing w:after="0" w:line="240" w:lineRule="auto"/>
              <w:jc w:val="both"/>
              <w:rPr>
                <w:rFonts w:eastAsia="Times New Roman"/>
                <w:b/>
                <w:bCs/>
                <w:color w:val="000000"/>
                <w:lang w:val="en-GB" w:eastAsia="el-GR"/>
              </w:rPr>
            </w:pPr>
            <w:r w:rsidRPr="00734618">
              <w:rPr>
                <w:b/>
                <w:color w:val="000000"/>
                <w:sz w:val="20"/>
                <w:szCs w:val="20"/>
              </w:rPr>
              <w:t>Κέρδη</w:t>
            </w:r>
            <w:r>
              <w:rPr>
                <w:b/>
                <w:color w:val="000000"/>
                <w:sz w:val="20"/>
                <w:szCs w:val="20"/>
                <w:lang w:val="en-US"/>
              </w:rPr>
              <w:t xml:space="preserve"> </w:t>
            </w:r>
            <w:r w:rsidRPr="00734618">
              <w:rPr>
                <w:b/>
                <w:color w:val="000000"/>
                <w:sz w:val="20"/>
                <w:szCs w:val="20"/>
              </w:rPr>
              <w:t>αποδιδόμενα σε:</w:t>
            </w:r>
          </w:p>
        </w:tc>
        <w:tc>
          <w:tcPr>
            <w:tcW w:w="1850" w:type="dxa"/>
            <w:tcBorders>
              <w:top w:val="nil"/>
              <w:left w:val="nil"/>
              <w:bottom w:val="nil"/>
              <w:right w:val="nil"/>
            </w:tcBorders>
            <w:shd w:val="clear" w:color="auto" w:fill="E2EFD9"/>
            <w:noWrap/>
            <w:vAlign w:val="bottom"/>
          </w:tcPr>
          <w:p w14:paraId="2DC5D4A8" w14:textId="543E1AF9" w:rsidR="00B406DE" w:rsidRPr="001E40C9" w:rsidRDefault="00B406DE" w:rsidP="00B406DE">
            <w:pPr>
              <w:spacing w:after="0" w:line="240" w:lineRule="auto"/>
              <w:rPr>
                <w:rFonts w:cs="Calibri"/>
                <w:color w:val="000000"/>
                <w:lang w:val="en-GB"/>
              </w:rPr>
            </w:pPr>
            <w:r w:rsidRPr="001E40C9">
              <w:rPr>
                <w:rFonts w:cs="Calibri"/>
                <w:color w:val="000000"/>
              </w:rPr>
              <w:t> </w:t>
            </w:r>
          </w:p>
        </w:tc>
        <w:tc>
          <w:tcPr>
            <w:tcW w:w="266" w:type="dxa"/>
            <w:tcBorders>
              <w:top w:val="nil"/>
              <w:left w:val="nil"/>
              <w:bottom w:val="nil"/>
              <w:right w:val="nil"/>
            </w:tcBorders>
            <w:shd w:val="clear" w:color="auto" w:fill="auto"/>
            <w:noWrap/>
            <w:vAlign w:val="bottom"/>
            <w:hideMark/>
          </w:tcPr>
          <w:p w14:paraId="197C0674" w14:textId="49E3119A" w:rsidR="00B406DE" w:rsidRPr="00C213E7" w:rsidRDefault="00B406DE" w:rsidP="00B406DE">
            <w:pPr>
              <w:spacing w:after="0" w:line="240" w:lineRule="auto"/>
              <w:jc w:val="right"/>
              <w:rPr>
                <w:rFonts w:cs="Calibri"/>
                <w:color w:val="000000"/>
                <w:lang w:val="en-GB"/>
              </w:rPr>
            </w:pPr>
            <w:r w:rsidRPr="00C213E7">
              <w:rPr>
                <w:rFonts w:cs="Calibri"/>
                <w:color w:val="000000"/>
              </w:rPr>
              <w:t> </w:t>
            </w:r>
          </w:p>
        </w:tc>
        <w:tc>
          <w:tcPr>
            <w:tcW w:w="1725" w:type="dxa"/>
            <w:tcBorders>
              <w:top w:val="nil"/>
              <w:left w:val="nil"/>
              <w:bottom w:val="nil"/>
              <w:right w:val="nil"/>
            </w:tcBorders>
            <w:shd w:val="clear" w:color="000000" w:fill="FFFFFF"/>
            <w:noWrap/>
            <w:vAlign w:val="bottom"/>
            <w:hideMark/>
          </w:tcPr>
          <w:p w14:paraId="46104650" w14:textId="22A5BDE9" w:rsidR="00B406DE" w:rsidRPr="00C213E7" w:rsidRDefault="00B406DE" w:rsidP="00B406DE">
            <w:pPr>
              <w:spacing w:after="0" w:line="240" w:lineRule="auto"/>
              <w:jc w:val="right"/>
              <w:rPr>
                <w:rFonts w:cs="Calibri"/>
                <w:color w:val="000000"/>
                <w:lang w:val="en-GB"/>
              </w:rPr>
            </w:pPr>
            <w:r w:rsidRPr="00C213E7">
              <w:rPr>
                <w:rFonts w:cs="Calibri"/>
                <w:color w:val="000000"/>
              </w:rPr>
              <w:t> </w:t>
            </w:r>
          </w:p>
        </w:tc>
      </w:tr>
      <w:tr w:rsidR="00B406DE" w:rsidRPr="008414D9" w14:paraId="15A76F72" w14:textId="77777777" w:rsidTr="00B406DE">
        <w:trPr>
          <w:trHeight w:val="300"/>
        </w:trPr>
        <w:tc>
          <w:tcPr>
            <w:tcW w:w="6292" w:type="dxa"/>
            <w:tcBorders>
              <w:top w:val="nil"/>
              <w:left w:val="nil"/>
              <w:bottom w:val="nil"/>
              <w:right w:val="nil"/>
            </w:tcBorders>
            <w:shd w:val="clear" w:color="000000" w:fill="FFFFFF"/>
            <w:vAlign w:val="center"/>
          </w:tcPr>
          <w:p w14:paraId="654E2DFE" w14:textId="3160E6FB" w:rsidR="00B406DE" w:rsidRPr="008414D9" w:rsidRDefault="00B406DE" w:rsidP="00B406DE">
            <w:pPr>
              <w:spacing w:after="0" w:line="240" w:lineRule="auto"/>
              <w:jc w:val="both"/>
              <w:rPr>
                <w:rFonts w:eastAsia="Times New Roman"/>
                <w:color w:val="000000"/>
                <w:lang w:val="en-GB" w:eastAsia="el-GR"/>
              </w:rPr>
            </w:pPr>
            <w:r w:rsidRPr="00734618">
              <w:rPr>
                <w:color w:val="000000"/>
                <w:sz w:val="20"/>
                <w:szCs w:val="20"/>
              </w:rPr>
              <w:t>Μετόχους της Εταιρείας</w:t>
            </w:r>
          </w:p>
        </w:tc>
        <w:tc>
          <w:tcPr>
            <w:tcW w:w="1850" w:type="dxa"/>
            <w:tcBorders>
              <w:top w:val="nil"/>
              <w:left w:val="nil"/>
              <w:bottom w:val="nil"/>
              <w:right w:val="nil"/>
            </w:tcBorders>
            <w:shd w:val="clear" w:color="auto" w:fill="E2EFD9"/>
            <w:noWrap/>
            <w:vAlign w:val="bottom"/>
          </w:tcPr>
          <w:p w14:paraId="03474511" w14:textId="6186B78E" w:rsidR="00B406DE" w:rsidRPr="001E40C9" w:rsidRDefault="00B406DE" w:rsidP="00B406DE">
            <w:pPr>
              <w:spacing w:after="0" w:line="240" w:lineRule="auto"/>
              <w:jc w:val="right"/>
              <w:rPr>
                <w:rFonts w:cs="Calibri"/>
                <w:color w:val="000000"/>
                <w:lang w:val="en-GB"/>
              </w:rPr>
            </w:pPr>
            <w:r w:rsidRPr="001E40C9">
              <w:rPr>
                <w:rFonts w:cs="Calibri"/>
                <w:color w:val="000000"/>
              </w:rPr>
              <w:t>56</w:t>
            </w:r>
            <w:r>
              <w:rPr>
                <w:rFonts w:cs="Calibri"/>
                <w:color w:val="000000"/>
              </w:rPr>
              <w:t>.459</w:t>
            </w:r>
          </w:p>
        </w:tc>
        <w:tc>
          <w:tcPr>
            <w:tcW w:w="266" w:type="dxa"/>
            <w:tcBorders>
              <w:top w:val="nil"/>
              <w:left w:val="nil"/>
              <w:bottom w:val="nil"/>
              <w:right w:val="nil"/>
            </w:tcBorders>
            <w:shd w:val="clear" w:color="auto" w:fill="auto"/>
            <w:noWrap/>
            <w:vAlign w:val="bottom"/>
            <w:hideMark/>
          </w:tcPr>
          <w:p w14:paraId="60313DD8" w14:textId="08A108A1" w:rsidR="00B406DE" w:rsidRPr="00C213E7" w:rsidRDefault="00B406DE" w:rsidP="00B406DE">
            <w:pPr>
              <w:spacing w:after="0" w:line="240" w:lineRule="auto"/>
              <w:rPr>
                <w:rFonts w:cs="Calibri"/>
                <w:color w:val="000000"/>
                <w:lang w:val="en-GB"/>
              </w:rPr>
            </w:pPr>
            <w:r w:rsidRPr="00C213E7">
              <w:rPr>
                <w:rFonts w:cs="Calibri"/>
                <w:color w:val="000000"/>
              </w:rPr>
              <w:t> </w:t>
            </w:r>
          </w:p>
        </w:tc>
        <w:tc>
          <w:tcPr>
            <w:tcW w:w="1725" w:type="dxa"/>
            <w:tcBorders>
              <w:top w:val="nil"/>
              <w:left w:val="nil"/>
              <w:bottom w:val="nil"/>
              <w:right w:val="nil"/>
            </w:tcBorders>
            <w:shd w:val="clear" w:color="000000" w:fill="FFFFFF"/>
            <w:noWrap/>
            <w:vAlign w:val="bottom"/>
            <w:hideMark/>
          </w:tcPr>
          <w:p w14:paraId="5C1E68CD" w14:textId="6EA3B0D7" w:rsidR="00B406DE" w:rsidRPr="00C213E7" w:rsidRDefault="00E25D86" w:rsidP="00B406DE">
            <w:pPr>
              <w:spacing w:after="0" w:line="240" w:lineRule="auto"/>
              <w:jc w:val="right"/>
              <w:rPr>
                <w:rFonts w:cs="Calibri"/>
                <w:color w:val="000000"/>
                <w:lang w:val="en-GB"/>
              </w:rPr>
            </w:pPr>
            <w:r>
              <w:rPr>
                <w:rFonts w:cs="Calibri"/>
                <w:color w:val="000000"/>
                <w:lang w:val="en-US"/>
              </w:rPr>
              <w:t>23.634</w:t>
            </w:r>
          </w:p>
        </w:tc>
      </w:tr>
      <w:tr w:rsidR="00B406DE" w:rsidRPr="008414D9" w14:paraId="42A304AF" w14:textId="77777777" w:rsidTr="00B406DE">
        <w:trPr>
          <w:trHeight w:val="300"/>
        </w:trPr>
        <w:tc>
          <w:tcPr>
            <w:tcW w:w="6292" w:type="dxa"/>
            <w:tcBorders>
              <w:top w:val="nil"/>
              <w:left w:val="nil"/>
              <w:bottom w:val="nil"/>
              <w:right w:val="nil"/>
            </w:tcBorders>
            <w:shd w:val="clear" w:color="000000" w:fill="FFFFFF"/>
            <w:vAlign w:val="center"/>
          </w:tcPr>
          <w:p w14:paraId="536B1C43" w14:textId="6D8A0BEA" w:rsidR="00B406DE" w:rsidRPr="008414D9" w:rsidRDefault="00B406DE" w:rsidP="00B406DE">
            <w:pPr>
              <w:spacing w:after="0" w:line="240" w:lineRule="auto"/>
              <w:jc w:val="both"/>
              <w:rPr>
                <w:rFonts w:eastAsia="Times New Roman"/>
                <w:color w:val="000000"/>
                <w:lang w:val="en-GB" w:eastAsia="el-GR"/>
              </w:rPr>
            </w:pPr>
            <w:r w:rsidRPr="00734618">
              <w:rPr>
                <w:color w:val="000000"/>
                <w:sz w:val="20"/>
                <w:szCs w:val="20"/>
              </w:rPr>
              <w:t>Δικαιώματα μειοψηφίας</w:t>
            </w:r>
          </w:p>
        </w:tc>
        <w:tc>
          <w:tcPr>
            <w:tcW w:w="1850" w:type="dxa"/>
            <w:tcBorders>
              <w:top w:val="nil"/>
              <w:left w:val="nil"/>
              <w:bottom w:val="nil"/>
              <w:right w:val="nil"/>
            </w:tcBorders>
            <w:shd w:val="clear" w:color="auto" w:fill="E2EFD9"/>
            <w:noWrap/>
            <w:vAlign w:val="bottom"/>
          </w:tcPr>
          <w:p w14:paraId="4F282ADA" w14:textId="3B016483" w:rsidR="00B406DE" w:rsidRPr="001E40C9" w:rsidRDefault="00B406DE" w:rsidP="00B406DE">
            <w:pPr>
              <w:spacing w:after="0" w:line="240" w:lineRule="auto"/>
              <w:jc w:val="right"/>
              <w:rPr>
                <w:rFonts w:cs="Calibri"/>
                <w:color w:val="000000"/>
                <w:lang w:val="en-GB"/>
              </w:rPr>
            </w:pPr>
            <w:r w:rsidRPr="001E40C9">
              <w:rPr>
                <w:rFonts w:cs="Calibri"/>
                <w:color w:val="000000"/>
              </w:rPr>
              <w:t>4</w:t>
            </w:r>
          </w:p>
        </w:tc>
        <w:tc>
          <w:tcPr>
            <w:tcW w:w="266" w:type="dxa"/>
            <w:tcBorders>
              <w:top w:val="nil"/>
              <w:left w:val="nil"/>
              <w:bottom w:val="nil"/>
              <w:right w:val="nil"/>
            </w:tcBorders>
            <w:shd w:val="clear" w:color="auto" w:fill="auto"/>
            <w:noWrap/>
            <w:vAlign w:val="bottom"/>
            <w:hideMark/>
          </w:tcPr>
          <w:p w14:paraId="5300D858" w14:textId="3F3A0E24" w:rsidR="00B406DE" w:rsidRPr="00C213E7" w:rsidRDefault="00B406DE" w:rsidP="00B406DE">
            <w:pPr>
              <w:spacing w:after="0" w:line="240" w:lineRule="auto"/>
              <w:rPr>
                <w:rFonts w:cs="Calibri"/>
                <w:color w:val="000000"/>
                <w:lang w:val="en-GB"/>
              </w:rPr>
            </w:pPr>
            <w:r w:rsidRPr="00C213E7">
              <w:rPr>
                <w:rFonts w:cs="Calibri"/>
                <w:color w:val="000000"/>
              </w:rPr>
              <w:t> </w:t>
            </w:r>
          </w:p>
        </w:tc>
        <w:tc>
          <w:tcPr>
            <w:tcW w:w="1725" w:type="dxa"/>
            <w:tcBorders>
              <w:top w:val="nil"/>
              <w:left w:val="nil"/>
              <w:bottom w:val="nil"/>
              <w:right w:val="nil"/>
            </w:tcBorders>
            <w:shd w:val="clear" w:color="000000" w:fill="FFFFFF"/>
            <w:noWrap/>
            <w:vAlign w:val="bottom"/>
            <w:hideMark/>
          </w:tcPr>
          <w:p w14:paraId="62787811" w14:textId="4AD2CDDA" w:rsidR="00B406DE" w:rsidRPr="00E25D86" w:rsidRDefault="00E25D86" w:rsidP="00B406DE">
            <w:pPr>
              <w:spacing w:after="0" w:line="240" w:lineRule="auto"/>
              <w:jc w:val="right"/>
              <w:rPr>
                <w:rFonts w:cs="Calibri"/>
                <w:color w:val="000000"/>
                <w:lang w:val="en-US"/>
              </w:rPr>
            </w:pPr>
            <w:r>
              <w:rPr>
                <w:rFonts w:cs="Calibri"/>
                <w:color w:val="000000"/>
                <w:lang w:val="en-US"/>
              </w:rPr>
              <w:t>(3)</w:t>
            </w:r>
          </w:p>
        </w:tc>
      </w:tr>
      <w:tr w:rsidR="00B406DE" w:rsidRPr="008414D9" w14:paraId="1A83C9AE" w14:textId="77777777" w:rsidTr="007A236B">
        <w:trPr>
          <w:trHeight w:val="315"/>
        </w:trPr>
        <w:tc>
          <w:tcPr>
            <w:tcW w:w="6292" w:type="dxa"/>
            <w:tcBorders>
              <w:top w:val="nil"/>
              <w:left w:val="nil"/>
              <w:bottom w:val="nil"/>
              <w:right w:val="nil"/>
            </w:tcBorders>
            <w:shd w:val="clear" w:color="000000" w:fill="FFFFFF"/>
            <w:vAlign w:val="center"/>
            <w:hideMark/>
          </w:tcPr>
          <w:p w14:paraId="02F7859E" w14:textId="37D695D9" w:rsidR="00B406DE" w:rsidRPr="008414D9" w:rsidRDefault="00B406DE" w:rsidP="00B406DE">
            <w:pPr>
              <w:spacing w:after="0" w:line="240" w:lineRule="auto"/>
              <w:jc w:val="both"/>
              <w:rPr>
                <w:rFonts w:ascii="Times New Roman" w:eastAsia="Times New Roman" w:hAnsi="Times New Roman"/>
                <w:color w:val="000000"/>
                <w:lang w:val="en-GB" w:eastAsia="el-GR"/>
              </w:rPr>
            </w:pPr>
          </w:p>
        </w:tc>
        <w:tc>
          <w:tcPr>
            <w:tcW w:w="1850" w:type="dxa"/>
            <w:tcBorders>
              <w:top w:val="single" w:sz="4" w:space="0" w:color="auto"/>
              <w:left w:val="nil"/>
              <w:bottom w:val="single" w:sz="8" w:space="0" w:color="auto"/>
              <w:right w:val="nil"/>
            </w:tcBorders>
            <w:shd w:val="clear" w:color="auto" w:fill="E2EFD9"/>
            <w:noWrap/>
            <w:vAlign w:val="bottom"/>
          </w:tcPr>
          <w:p w14:paraId="6CCDC248" w14:textId="7766804C" w:rsidR="00B406DE" w:rsidRPr="001E40C9" w:rsidRDefault="00B406DE" w:rsidP="00B406DE">
            <w:pPr>
              <w:spacing w:after="0" w:line="240" w:lineRule="auto"/>
              <w:jc w:val="right"/>
              <w:rPr>
                <w:rFonts w:cs="Calibri"/>
                <w:b/>
                <w:bCs/>
                <w:color w:val="000000"/>
                <w:lang w:val="en-GB"/>
              </w:rPr>
            </w:pPr>
            <w:r w:rsidRPr="001E40C9">
              <w:rPr>
                <w:rFonts w:cs="Calibri"/>
                <w:b/>
                <w:bCs/>
                <w:color w:val="000000"/>
              </w:rPr>
              <w:t>56</w:t>
            </w:r>
            <w:r>
              <w:rPr>
                <w:rFonts w:cs="Calibri"/>
                <w:b/>
                <w:bCs/>
                <w:color w:val="000000"/>
              </w:rPr>
              <w:t>.463</w:t>
            </w:r>
          </w:p>
        </w:tc>
        <w:tc>
          <w:tcPr>
            <w:tcW w:w="266" w:type="dxa"/>
            <w:tcBorders>
              <w:top w:val="nil"/>
              <w:left w:val="nil"/>
              <w:bottom w:val="nil"/>
              <w:right w:val="nil"/>
            </w:tcBorders>
            <w:shd w:val="clear" w:color="auto" w:fill="auto"/>
            <w:noWrap/>
            <w:vAlign w:val="bottom"/>
            <w:hideMark/>
          </w:tcPr>
          <w:p w14:paraId="2CA333BA" w14:textId="1BD80C77" w:rsidR="00B406DE" w:rsidRPr="00C213E7" w:rsidRDefault="00B406DE" w:rsidP="00B406DE">
            <w:pPr>
              <w:spacing w:after="0" w:line="240" w:lineRule="auto"/>
              <w:rPr>
                <w:rFonts w:cs="Calibri"/>
                <w:color w:val="000000"/>
                <w:lang w:val="en-GB"/>
              </w:rPr>
            </w:pPr>
            <w:r w:rsidRPr="00C213E7">
              <w:rPr>
                <w:rFonts w:cs="Calibri"/>
                <w:color w:val="000000"/>
              </w:rPr>
              <w:t> </w:t>
            </w:r>
          </w:p>
        </w:tc>
        <w:tc>
          <w:tcPr>
            <w:tcW w:w="1725" w:type="dxa"/>
            <w:tcBorders>
              <w:top w:val="single" w:sz="4" w:space="0" w:color="auto"/>
              <w:left w:val="nil"/>
              <w:bottom w:val="single" w:sz="8" w:space="0" w:color="auto"/>
              <w:right w:val="nil"/>
            </w:tcBorders>
            <w:shd w:val="clear" w:color="000000" w:fill="FFFFFF"/>
            <w:noWrap/>
            <w:vAlign w:val="bottom"/>
            <w:hideMark/>
          </w:tcPr>
          <w:p w14:paraId="0C0442CF" w14:textId="33D1A561" w:rsidR="00B406DE" w:rsidRPr="00C213E7" w:rsidRDefault="00B406DE" w:rsidP="00B406DE">
            <w:pPr>
              <w:spacing w:after="0" w:line="240" w:lineRule="auto"/>
              <w:jc w:val="right"/>
              <w:rPr>
                <w:rFonts w:cs="Calibri"/>
                <w:b/>
                <w:bCs/>
                <w:color w:val="000000"/>
                <w:lang w:val="en-GB"/>
              </w:rPr>
            </w:pPr>
            <w:r w:rsidRPr="00C213E7">
              <w:rPr>
                <w:rFonts w:cs="Calibri"/>
                <w:b/>
                <w:bCs/>
                <w:color w:val="000000"/>
              </w:rPr>
              <w:t>23</w:t>
            </w:r>
            <w:r>
              <w:rPr>
                <w:rFonts w:cs="Calibri"/>
                <w:b/>
                <w:bCs/>
                <w:color w:val="000000"/>
              </w:rPr>
              <w:t>.</w:t>
            </w:r>
            <w:r w:rsidRPr="00C213E7">
              <w:rPr>
                <w:rFonts w:cs="Calibri"/>
                <w:b/>
                <w:bCs/>
                <w:color w:val="000000"/>
              </w:rPr>
              <w:t>631</w:t>
            </w:r>
          </w:p>
        </w:tc>
      </w:tr>
    </w:tbl>
    <w:p w14:paraId="4CDCE0D1" w14:textId="77777777" w:rsidR="005657FD" w:rsidRDefault="005657FD" w:rsidP="005657FD">
      <w:pPr>
        <w:autoSpaceDE w:val="0"/>
        <w:autoSpaceDN w:val="0"/>
        <w:adjustRightInd w:val="0"/>
        <w:spacing w:after="240" w:line="240" w:lineRule="auto"/>
        <w:contextualSpacing/>
        <w:jc w:val="both"/>
        <w:rPr>
          <w:sz w:val="20"/>
          <w:szCs w:val="20"/>
          <w:lang w:val="en-GB"/>
        </w:rPr>
      </w:pPr>
    </w:p>
    <w:p w14:paraId="3E5FDFB5" w14:textId="77777777" w:rsidR="007C3572" w:rsidRPr="00305B1F" w:rsidRDefault="007C3572" w:rsidP="007C3572">
      <w:pPr>
        <w:keepNext/>
        <w:keepLines/>
        <w:spacing w:after="120" w:line="240" w:lineRule="auto"/>
        <w:jc w:val="both"/>
        <w:outlineLvl w:val="1"/>
        <w:rPr>
          <w:rFonts w:eastAsia="SimSun" w:cs="Calibri"/>
          <w:b/>
          <w:bCs/>
          <w:color w:val="4F6228"/>
          <w:sz w:val="24"/>
          <w:szCs w:val="24"/>
        </w:rPr>
      </w:pPr>
      <w:r w:rsidRPr="00305B1F">
        <w:rPr>
          <w:rFonts w:eastAsia="SimSun" w:cs="Calibri"/>
          <w:b/>
          <w:bCs/>
          <w:color w:val="4F6228"/>
          <w:sz w:val="24"/>
          <w:szCs w:val="24"/>
        </w:rPr>
        <w:t>Παράτημα Β - Χρηματοοικονομική Πληροφόρηση ανά κλάδο</w:t>
      </w:r>
    </w:p>
    <w:tbl>
      <w:tblPr>
        <w:tblW w:w="11192" w:type="dxa"/>
        <w:tblInd w:w="-702" w:type="dxa"/>
        <w:tblLayout w:type="fixed"/>
        <w:tblLook w:val="04A0" w:firstRow="1" w:lastRow="0" w:firstColumn="1" w:lastColumn="0" w:noHBand="0" w:noVBand="1"/>
      </w:tblPr>
      <w:tblGrid>
        <w:gridCol w:w="2829"/>
        <w:gridCol w:w="1134"/>
        <w:gridCol w:w="926"/>
        <w:gridCol w:w="1030"/>
        <w:gridCol w:w="1030"/>
        <w:gridCol w:w="983"/>
        <w:gridCol w:w="992"/>
        <w:gridCol w:w="1134"/>
        <w:gridCol w:w="1134"/>
      </w:tblGrid>
      <w:tr w:rsidR="007C3572" w:rsidRPr="008414D9" w14:paraId="42D65A10" w14:textId="77777777" w:rsidTr="00527AD3">
        <w:trPr>
          <w:trHeight w:val="495"/>
        </w:trPr>
        <w:tc>
          <w:tcPr>
            <w:tcW w:w="2829" w:type="dxa"/>
            <w:tcBorders>
              <w:top w:val="nil"/>
              <w:left w:val="nil"/>
              <w:bottom w:val="nil"/>
              <w:right w:val="nil"/>
            </w:tcBorders>
            <w:shd w:val="clear" w:color="000000" w:fill="FFFFFF"/>
            <w:noWrap/>
            <w:vAlign w:val="bottom"/>
            <w:hideMark/>
          </w:tcPr>
          <w:p w14:paraId="038D87AF" w14:textId="7FEE57A8" w:rsidR="007C3572" w:rsidRPr="008414D9" w:rsidRDefault="007C3572" w:rsidP="007C3572">
            <w:pPr>
              <w:spacing w:after="0" w:line="240" w:lineRule="auto"/>
              <w:jc w:val="both"/>
              <w:rPr>
                <w:rFonts w:eastAsia="Times New Roman"/>
                <w:i/>
                <w:sz w:val="20"/>
                <w:szCs w:val="20"/>
                <w:lang w:val="en-GB" w:eastAsia="el-GR"/>
              </w:rPr>
            </w:pPr>
            <w:r w:rsidRPr="00734618">
              <w:rPr>
                <w:i/>
                <w:color w:val="000000"/>
                <w:sz w:val="20"/>
                <w:szCs w:val="20"/>
              </w:rPr>
              <w:t>Ποσά σε χιλιάδες ευρώ</w:t>
            </w:r>
          </w:p>
        </w:tc>
        <w:tc>
          <w:tcPr>
            <w:tcW w:w="2060" w:type="dxa"/>
            <w:gridSpan w:val="2"/>
            <w:tcBorders>
              <w:top w:val="nil"/>
              <w:left w:val="nil"/>
              <w:bottom w:val="nil"/>
              <w:right w:val="nil"/>
            </w:tcBorders>
            <w:shd w:val="clear" w:color="000000" w:fill="FFFFFF"/>
            <w:vAlign w:val="center"/>
            <w:hideMark/>
          </w:tcPr>
          <w:p w14:paraId="679B08BF" w14:textId="3992D29D" w:rsidR="007C3572" w:rsidRPr="008414D9" w:rsidRDefault="007C3572" w:rsidP="007C3572">
            <w:pPr>
              <w:spacing w:after="0" w:line="240" w:lineRule="auto"/>
              <w:jc w:val="center"/>
              <w:rPr>
                <w:rFonts w:eastAsia="Times New Roman"/>
                <w:b/>
                <w:bCs/>
                <w:color w:val="000000"/>
                <w:sz w:val="20"/>
                <w:szCs w:val="20"/>
                <w:u w:val="single"/>
                <w:lang w:val="en-GB" w:eastAsia="el-GR"/>
              </w:rPr>
            </w:pPr>
            <w:r w:rsidRPr="008B7319">
              <w:rPr>
                <w:rFonts w:eastAsia="Times New Roman"/>
                <w:b/>
                <w:bCs/>
                <w:color w:val="000000"/>
                <w:sz w:val="20"/>
                <w:szCs w:val="20"/>
                <w:u w:val="single"/>
                <w:lang w:eastAsia="el-GR"/>
              </w:rPr>
              <w:t>Καλώδια</w:t>
            </w:r>
          </w:p>
        </w:tc>
        <w:tc>
          <w:tcPr>
            <w:tcW w:w="2060" w:type="dxa"/>
            <w:gridSpan w:val="2"/>
            <w:tcBorders>
              <w:top w:val="nil"/>
              <w:left w:val="nil"/>
              <w:bottom w:val="nil"/>
              <w:right w:val="nil"/>
            </w:tcBorders>
            <w:shd w:val="clear" w:color="000000" w:fill="FFFFFF"/>
            <w:vAlign w:val="center"/>
            <w:hideMark/>
          </w:tcPr>
          <w:p w14:paraId="41AB8392" w14:textId="24CB06FD" w:rsidR="007C3572" w:rsidRPr="008414D9" w:rsidRDefault="007C3572" w:rsidP="007C3572">
            <w:pPr>
              <w:spacing w:after="0" w:line="240" w:lineRule="auto"/>
              <w:jc w:val="center"/>
              <w:rPr>
                <w:rFonts w:eastAsia="Times New Roman"/>
                <w:b/>
                <w:bCs/>
                <w:color w:val="000000"/>
                <w:sz w:val="20"/>
                <w:szCs w:val="20"/>
                <w:u w:val="single"/>
                <w:lang w:val="en-GB" w:eastAsia="el-GR"/>
              </w:rPr>
            </w:pPr>
            <w:r w:rsidRPr="008B7319">
              <w:rPr>
                <w:rFonts w:eastAsia="Times New Roman"/>
                <w:b/>
                <w:bCs/>
                <w:color w:val="000000"/>
                <w:sz w:val="20"/>
                <w:szCs w:val="20"/>
                <w:u w:val="single"/>
                <w:lang w:eastAsia="el-GR"/>
              </w:rPr>
              <w:t>Σωλήνες Χάλυβα</w:t>
            </w:r>
          </w:p>
        </w:tc>
        <w:tc>
          <w:tcPr>
            <w:tcW w:w="1975" w:type="dxa"/>
            <w:gridSpan w:val="2"/>
            <w:tcBorders>
              <w:top w:val="nil"/>
              <w:left w:val="nil"/>
              <w:bottom w:val="nil"/>
              <w:right w:val="nil"/>
            </w:tcBorders>
            <w:shd w:val="clear" w:color="000000" w:fill="FFFFFF"/>
            <w:vAlign w:val="center"/>
            <w:hideMark/>
          </w:tcPr>
          <w:p w14:paraId="6BE35878" w14:textId="4414DEEF" w:rsidR="007C3572" w:rsidRPr="008414D9" w:rsidRDefault="007C3572" w:rsidP="007C3572">
            <w:pPr>
              <w:spacing w:after="0" w:line="240" w:lineRule="auto"/>
              <w:jc w:val="center"/>
              <w:rPr>
                <w:rFonts w:eastAsia="Times New Roman"/>
                <w:b/>
                <w:bCs/>
                <w:color w:val="000000"/>
                <w:sz w:val="20"/>
                <w:szCs w:val="20"/>
                <w:u w:val="single"/>
                <w:lang w:val="en-GB" w:eastAsia="el-GR"/>
              </w:rPr>
            </w:pPr>
            <w:r w:rsidRPr="008B7319">
              <w:rPr>
                <w:rFonts w:eastAsia="Times New Roman"/>
                <w:b/>
                <w:bCs/>
                <w:color w:val="000000"/>
                <w:sz w:val="20"/>
                <w:szCs w:val="20"/>
                <w:u w:val="single"/>
                <w:lang w:eastAsia="el-GR"/>
              </w:rPr>
              <w:t>Λοιπές δραστηριότητες</w:t>
            </w:r>
          </w:p>
        </w:tc>
        <w:tc>
          <w:tcPr>
            <w:tcW w:w="2268" w:type="dxa"/>
            <w:gridSpan w:val="2"/>
            <w:tcBorders>
              <w:top w:val="nil"/>
              <w:left w:val="nil"/>
              <w:bottom w:val="nil"/>
              <w:right w:val="nil"/>
            </w:tcBorders>
            <w:shd w:val="clear" w:color="000000" w:fill="FFFFFF"/>
            <w:vAlign w:val="center"/>
            <w:hideMark/>
          </w:tcPr>
          <w:p w14:paraId="0BC5EB08" w14:textId="3366BAC9" w:rsidR="007C3572" w:rsidRPr="008414D9" w:rsidRDefault="007C3572" w:rsidP="007C3572">
            <w:pPr>
              <w:spacing w:after="0" w:line="240" w:lineRule="auto"/>
              <w:jc w:val="center"/>
              <w:rPr>
                <w:rFonts w:eastAsia="Times New Roman"/>
                <w:b/>
                <w:bCs/>
                <w:color w:val="000000"/>
                <w:sz w:val="20"/>
                <w:szCs w:val="20"/>
                <w:u w:val="single"/>
                <w:lang w:val="en-GB" w:eastAsia="el-GR"/>
              </w:rPr>
            </w:pPr>
            <w:r w:rsidRPr="008B7319">
              <w:rPr>
                <w:rFonts w:eastAsia="Times New Roman"/>
                <w:b/>
                <w:bCs/>
                <w:color w:val="000000"/>
                <w:sz w:val="20"/>
                <w:szCs w:val="20"/>
                <w:u w:val="single"/>
                <w:lang w:eastAsia="el-GR"/>
              </w:rPr>
              <w:t>Σύνολο</w:t>
            </w:r>
          </w:p>
        </w:tc>
      </w:tr>
      <w:tr w:rsidR="008A0213" w:rsidRPr="008414D9" w14:paraId="2DEDBBBB" w14:textId="77777777" w:rsidTr="00527AD3">
        <w:trPr>
          <w:trHeight w:val="300"/>
        </w:trPr>
        <w:tc>
          <w:tcPr>
            <w:tcW w:w="2829" w:type="dxa"/>
            <w:tcBorders>
              <w:top w:val="nil"/>
              <w:left w:val="nil"/>
              <w:bottom w:val="nil"/>
              <w:right w:val="nil"/>
            </w:tcBorders>
            <w:shd w:val="clear" w:color="000000" w:fill="FFFFFF"/>
            <w:noWrap/>
            <w:vAlign w:val="bottom"/>
            <w:hideMark/>
          </w:tcPr>
          <w:p w14:paraId="3449EE95" w14:textId="77777777" w:rsidR="008A0213" w:rsidRPr="008414D9" w:rsidRDefault="008A0213" w:rsidP="008A0213">
            <w:pPr>
              <w:spacing w:after="0" w:line="240" w:lineRule="auto"/>
              <w:jc w:val="both"/>
              <w:rPr>
                <w:rFonts w:eastAsia="Times New Roman"/>
                <w:sz w:val="20"/>
                <w:szCs w:val="20"/>
                <w:lang w:val="en-GB" w:eastAsia="el-GR"/>
              </w:rPr>
            </w:pPr>
            <w:r w:rsidRPr="008414D9">
              <w:rPr>
                <w:rFonts w:eastAsia="Times New Roman"/>
                <w:sz w:val="20"/>
                <w:szCs w:val="20"/>
                <w:lang w:val="en-GB" w:eastAsia="el-GR"/>
              </w:rPr>
              <w:t> </w:t>
            </w:r>
          </w:p>
        </w:tc>
        <w:tc>
          <w:tcPr>
            <w:tcW w:w="1134" w:type="dxa"/>
            <w:tcBorders>
              <w:top w:val="nil"/>
              <w:left w:val="nil"/>
              <w:bottom w:val="nil"/>
              <w:right w:val="nil"/>
            </w:tcBorders>
            <w:shd w:val="clear" w:color="000000" w:fill="FFFFFF"/>
            <w:noWrap/>
            <w:vAlign w:val="center"/>
          </w:tcPr>
          <w:p w14:paraId="13528AA5" w14:textId="628C9146" w:rsidR="008A0213" w:rsidRPr="008A0213" w:rsidRDefault="008A0213" w:rsidP="008A0213">
            <w:pPr>
              <w:spacing w:after="0" w:line="240" w:lineRule="auto"/>
              <w:jc w:val="right"/>
              <w:rPr>
                <w:rFonts w:eastAsia="Times New Roman"/>
                <w:b/>
                <w:bCs/>
                <w:sz w:val="20"/>
                <w:szCs w:val="20"/>
                <w:lang w:val="en-GB" w:eastAsia="el-GR"/>
              </w:rPr>
            </w:pPr>
            <w:r w:rsidRPr="008A0213">
              <w:rPr>
                <w:b/>
                <w:sz w:val="20"/>
                <w:szCs w:val="20"/>
              </w:rPr>
              <w:t xml:space="preserve">1ο εξ. </w:t>
            </w:r>
            <w:r w:rsidRPr="008A0213">
              <w:rPr>
                <w:rFonts w:eastAsia="Times New Roman" w:cs="Arial"/>
                <w:b/>
                <w:bCs/>
                <w:sz w:val="20"/>
                <w:szCs w:val="20"/>
                <w:lang w:val="en-GB"/>
              </w:rPr>
              <w:t xml:space="preserve"> 202</w:t>
            </w:r>
            <w:r w:rsidRPr="008A0213">
              <w:rPr>
                <w:rFonts w:eastAsia="Times New Roman" w:cs="Arial"/>
                <w:b/>
                <w:bCs/>
                <w:sz w:val="20"/>
                <w:szCs w:val="20"/>
              </w:rPr>
              <w:t>4</w:t>
            </w:r>
          </w:p>
        </w:tc>
        <w:tc>
          <w:tcPr>
            <w:tcW w:w="926" w:type="dxa"/>
            <w:tcBorders>
              <w:top w:val="nil"/>
              <w:left w:val="nil"/>
              <w:bottom w:val="nil"/>
              <w:right w:val="nil"/>
            </w:tcBorders>
            <w:shd w:val="clear" w:color="000000" w:fill="FFFFFF"/>
            <w:vAlign w:val="center"/>
            <w:hideMark/>
          </w:tcPr>
          <w:p w14:paraId="609D9E7A" w14:textId="4441EA8F" w:rsidR="008A0213" w:rsidRPr="008A0213" w:rsidRDefault="008A0213" w:rsidP="008A0213">
            <w:pPr>
              <w:spacing w:after="0" w:line="240" w:lineRule="auto"/>
              <w:jc w:val="right"/>
              <w:rPr>
                <w:rFonts w:eastAsia="Times New Roman"/>
                <w:b/>
                <w:bCs/>
                <w:sz w:val="20"/>
                <w:szCs w:val="20"/>
                <w:lang w:val="en-GB" w:eastAsia="el-GR"/>
              </w:rPr>
            </w:pPr>
            <w:r w:rsidRPr="008A0213">
              <w:rPr>
                <w:b/>
                <w:sz w:val="20"/>
                <w:szCs w:val="20"/>
              </w:rPr>
              <w:t xml:space="preserve">1ο εξ. </w:t>
            </w:r>
            <w:r w:rsidRPr="008A0213">
              <w:rPr>
                <w:rFonts w:eastAsia="Times New Roman" w:cs="Arial"/>
                <w:b/>
                <w:bCs/>
                <w:sz w:val="20"/>
                <w:szCs w:val="20"/>
                <w:lang w:val="en-GB"/>
              </w:rPr>
              <w:t xml:space="preserve"> 202</w:t>
            </w:r>
            <w:r w:rsidRPr="008A0213">
              <w:rPr>
                <w:rFonts w:eastAsia="Times New Roman" w:cs="Arial"/>
                <w:b/>
                <w:bCs/>
                <w:sz w:val="20"/>
                <w:szCs w:val="20"/>
              </w:rPr>
              <w:t>3</w:t>
            </w:r>
          </w:p>
        </w:tc>
        <w:tc>
          <w:tcPr>
            <w:tcW w:w="1030" w:type="dxa"/>
            <w:tcBorders>
              <w:top w:val="nil"/>
              <w:left w:val="nil"/>
              <w:bottom w:val="nil"/>
              <w:right w:val="nil"/>
            </w:tcBorders>
            <w:shd w:val="clear" w:color="000000" w:fill="FFFFFF"/>
            <w:noWrap/>
            <w:vAlign w:val="center"/>
          </w:tcPr>
          <w:p w14:paraId="19D5938D" w14:textId="6671C79F" w:rsidR="008A0213" w:rsidRPr="008A0213" w:rsidRDefault="008A0213" w:rsidP="008A0213">
            <w:pPr>
              <w:spacing w:after="0" w:line="240" w:lineRule="auto"/>
              <w:jc w:val="right"/>
              <w:rPr>
                <w:rFonts w:eastAsia="Times New Roman"/>
                <w:b/>
                <w:bCs/>
                <w:sz w:val="20"/>
                <w:szCs w:val="20"/>
                <w:lang w:val="en-GB" w:eastAsia="el-GR"/>
              </w:rPr>
            </w:pPr>
            <w:r w:rsidRPr="008A0213">
              <w:rPr>
                <w:b/>
                <w:sz w:val="20"/>
                <w:szCs w:val="20"/>
              </w:rPr>
              <w:t xml:space="preserve">1ο εξ. </w:t>
            </w:r>
            <w:r w:rsidRPr="008A0213">
              <w:rPr>
                <w:rFonts w:eastAsia="Times New Roman" w:cs="Arial"/>
                <w:b/>
                <w:bCs/>
                <w:sz w:val="20"/>
                <w:szCs w:val="20"/>
                <w:lang w:val="en-GB"/>
              </w:rPr>
              <w:t xml:space="preserve"> 202</w:t>
            </w:r>
            <w:r w:rsidRPr="008A0213">
              <w:rPr>
                <w:rFonts w:eastAsia="Times New Roman" w:cs="Arial"/>
                <w:b/>
                <w:bCs/>
                <w:sz w:val="20"/>
                <w:szCs w:val="20"/>
              </w:rPr>
              <w:t>4</w:t>
            </w:r>
          </w:p>
        </w:tc>
        <w:tc>
          <w:tcPr>
            <w:tcW w:w="1030" w:type="dxa"/>
            <w:tcBorders>
              <w:top w:val="nil"/>
              <w:left w:val="nil"/>
              <w:bottom w:val="nil"/>
              <w:right w:val="nil"/>
            </w:tcBorders>
            <w:shd w:val="clear" w:color="000000" w:fill="FFFFFF"/>
            <w:vAlign w:val="center"/>
            <w:hideMark/>
          </w:tcPr>
          <w:p w14:paraId="318A4AE9" w14:textId="517BFC95" w:rsidR="008A0213" w:rsidRPr="008A0213" w:rsidRDefault="008A0213" w:rsidP="008A0213">
            <w:pPr>
              <w:spacing w:after="0" w:line="240" w:lineRule="auto"/>
              <w:jc w:val="right"/>
              <w:rPr>
                <w:rFonts w:eastAsia="Times New Roman"/>
                <w:b/>
                <w:bCs/>
                <w:sz w:val="20"/>
                <w:szCs w:val="20"/>
                <w:lang w:val="en-GB" w:eastAsia="el-GR"/>
              </w:rPr>
            </w:pPr>
            <w:r w:rsidRPr="008A0213">
              <w:rPr>
                <w:b/>
                <w:sz w:val="20"/>
                <w:szCs w:val="20"/>
              </w:rPr>
              <w:t xml:space="preserve">1ο εξ. </w:t>
            </w:r>
            <w:r w:rsidRPr="008A0213">
              <w:rPr>
                <w:rFonts w:eastAsia="Times New Roman" w:cs="Arial"/>
                <w:b/>
                <w:bCs/>
                <w:sz w:val="20"/>
                <w:szCs w:val="20"/>
                <w:lang w:val="en-GB"/>
              </w:rPr>
              <w:t xml:space="preserve"> 202</w:t>
            </w:r>
            <w:r w:rsidRPr="008A0213">
              <w:rPr>
                <w:rFonts w:eastAsia="Times New Roman" w:cs="Arial"/>
                <w:b/>
                <w:bCs/>
                <w:sz w:val="20"/>
                <w:szCs w:val="20"/>
              </w:rPr>
              <w:t>3</w:t>
            </w:r>
          </w:p>
        </w:tc>
        <w:tc>
          <w:tcPr>
            <w:tcW w:w="983" w:type="dxa"/>
            <w:tcBorders>
              <w:top w:val="nil"/>
              <w:left w:val="nil"/>
              <w:bottom w:val="nil"/>
              <w:right w:val="nil"/>
            </w:tcBorders>
            <w:shd w:val="clear" w:color="000000" w:fill="FFFFFF"/>
            <w:noWrap/>
            <w:vAlign w:val="center"/>
          </w:tcPr>
          <w:p w14:paraId="21689973" w14:textId="37C9E83B" w:rsidR="008A0213" w:rsidRPr="008A0213" w:rsidRDefault="008A0213" w:rsidP="008A0213">
            <w:pPr>
              <w:spacing w:after="0" w:line="240" w:lineRule="auto"/>
              <w:jc w:val="right"/>
              <w:rPr>
                <w:rFonts w:eastAsia="Times New Roman"/>
                <w:b/>
                <w:bCs/>
                <w:sz w:val="20"/>
                <w:szCs w:val="20"/>
                <w:lang w:val="en-GB" w:eastAsia="el-GR"/>
              </w:rPr>
            </w:pPr>
            <w:r w:rsidRPr="008A0213">
              <w:rPr>
                <w:b/>
                <w:sz w:val="20"/>
                <w:szCs w:val="20"/>
              </w:rPr>
              <w:t xml:space="preserve">1ο εξ. </w:t>
            </w:r>
            <w:r w:rsidRPr="008A0213">
              <w:rPr>
                <w:rFonts w:eastAsia="Times New Roman" w:cs="Arial"/>
                <w:b/>
                <w:bCs/>
                <w:sz w:val="20"/>
                <w:szCs w:val="20"/>
                <w:lang w:val="en-GB"/>
              </w:rPr>
              <w:t xml:space="preserve"> 202</w:t>
            </w:r>
            <w:r w:rsidRPr="008A0213">
              <w:rPr>
                <w:rFonts w:eastAsia="Times New Roman" w:cs="Arial"/>
                <w:b/>
                <w:bCs/>
                <w:sz w:val="20"/>
                <w:szCs w:val="20"/>
              </w:rPr>
              <w:t>4</w:t>
            </w:r>
          </w:p>
        </w:tc>
        <w:tc>
          <w:tcPr>
            <w:tcW w:w="992" w:type="dxa"/>
            <w:tcBorders>
              <w:top w:val="nil"/>
              <w:left w:val="nil"/>
              <w:bottom w:val="nil"/>
              <w:right w:val="nil"/>
            </w:tcBorders>
            <w:shd w:val="clear" w:color="000000" w:fill="FFFFFF"/>
            <w:vAlign w:val="center"/>
            <w:hideMark/>
          </w:tcPr>
          <w:p w14:paraId="44D38B39" w14:textId="1F784AD4" w:rsidR="008A0213" w:rsidRPr="008A0213" w:rsidRDefault="008A0213" w:rsidP="008A0213">
            <w:pPr>
              <w:spacing w:after="0" w:line="240" w:lineRule="auto"/>
              <w:jc w:val="right"/>
              <w:rPr>
                <w:rFonts w:eastAsia="Times New Roman"/>
                <w:b/>
                <w:bCs/>
                <w:sz w:val="20"/>
                <w:szCs w:val="20"/>
                <w:lang w:val="en-GB" w:eastAsia="el-GR"/>
              </w:rPr>
            </w:pPr>
            <w:r w:rsidRPr="008A0213">
              <w:rPr>
                <w:b/>
                <w:sz w:val="20"/>
                <w:szCs w:val="20"/>
              </w:rPr>
              <w:t xml:space="preserve">1ο εξ. </w:t>
            </w:r>
            <w:r w:rsidRPr="008A0213">
              <w:rPr>
                <w:rFonts w:eastAsia="Times New Roman" w:cs="Arial"/>
                <w:b/>
                <w:bCs/>
                <w:sz w:val="20"/>
                <w:szCs w:val="20"/>
                <w:lang w:val="en-GB"/>
              </w:rPr>
              <w:t xml:space="preserve"> 202</w:t>
            </w:r>
            <w:r w:rsidRPr="008A0213">
              <w:rPr>
                <w:rFonts w:eastAsia="Times New Roman" w:cs="Arial"/>
                <w:b/>
                <w:bCs/>
                <w:sz w:val="20"/>
                <w:szCs w:val="20"/>
              </w:rPr>
              <w:t>3</w:t>
            </w:r>
          </w:p>
        </w:tc>
        <w:tc>
          <w:tcPr>
            <w:tcW w:w="1134" w:type="dxa"/>
            <w:tcBorders>
              <w:top w:val="nil"/>
              <w:left w:val="nil"/>
              <w:bottom w:val="nil"/>
              <w:right w:val="nil"/>
            </w:tcBorders>
            <w:shd w:val="clear" w:color="000000" w:fill="FFFFFF"/>
            <w:noWrap/>
            <w:vAlign w:val="center"/>
          </w:tcPr>
          <w:p w14:paraId="0290D743" w14:textId="51787F6C" w:rsidR="008A0213" w:rsidRPr="008A0213" w:rsidRDefault="008A0213" w:rsidP="008A0213">
            <w:pPr>
              <w:spacing w:after="0" w:line="240" w:lineRule="auto"/>
              <w:jc w:val="right"/>
              <w:rPr>
                <w:rFonts w:eastAsia="Times New Roman"/>
                <w:b/>
                <w:bCs/>
                <w:sz w:val="20"/>
                <w:szCs w:val="20"/>
                <w:lang w:val="en-GB" w:eastAsia="el-GR"/>
              </w:rPr>
            </w:pPr>
            <w:r w:rsidRPr="008A0213">
              <w:rPr>
                <w:b/>
                <w:sz w:val="20"/>
                <w:szCs w:val="20"/>
              </w:rPr>
              <w:t xml:space="preserve">1ο εξ. </w:t>
            </w:r>
            <w:r w:rsidRPr="008A0213">
              <w:rPr>
                <w:rFonts w:eastAsia="Times New Roman" w:cs="Arial"/>
                <w:b/>
                <w:bCs/>
                <w:sz w:val="20"/>
                <w:szCs w:val="20"/>
                <w:lang w:val="en-GB"/>
              </w:rPr>
              <w:t xml:space="preserve"> 202</w:t>
            </w:r>
            <w:r w:rsidRPr="008A0213">
              <w:rPr>
                <w:rFonts w:eastAsia="Times New Roman" w:cs="Arial"/>
                <w:b/>
                <w:bCs/>
                <w:sz w:val="20"/>
                <w:szCs w:val="20"/>
              </w:rPr>
              <w:t>4</w:t>
            </w:r>
          </w:p>
        </w:tc>
        <w:tc>
          <w:tcPr>
            <w:tcW w:w="1134" w:type="dxa"/>
            <w:tcBorders>
              <w:top w:val="nil"/>
              <w:left w:val="nil"/>
              <w:bottom w:val="nil"/>
              <w:right w:val="nil"/>
            </w:tcBorders>
            <w:shd w:val="clear" w:color="000000" w:fill="FFFFFF"/>
            <w:vAlign w:val="center"/>
            <w:hideMark/>
          </w:tcPr>
          <w:p w14:paraId="099ED8BF" w14:textId="74A68BAC" w:rsidR="008A0213" w:rsidRPr="008A0213" w:rsidRDefault="008A0213" w:rsidP="008A0213">
            <w:pPr>
              <w:spacing w:after="0" w:line="240" w:lineRule="auto"/>
              <w:jc w:val="right"/>
              <w:rPr>
                <w:rFonts w:eastAsia="Times New Roman"/>
                <w:b/>
                <w:bCs/>
                <w:sz w:val="20"/>
                <w:szCs w:val="20"/>
                <w:lang w:val="en-GB" w:eastAsia="el-GR"/>
              </w:rPr>
            </w:pPr>
            <w:r w:rsidRPr="008A0213">
              <w:rPr>
                <w:b/>
                <w:sz w:val="20"/>
                <w:szCs w:val="20"/>
              </w:rPr>
              <w:t xml:space="preserve">1ο εξ. </w:t>
            </w:r>
            <w:r w:rsidRPr="008A0213">
              <w:rPr>
                <w:rFonts w:eastAsia="Times New Roman" w:cs="Arial"/>
                <w:b/>
                <w:bCs/>
                <w:sz w:val="20"/>
                <w:szCs w:val="20"/>
                <w:lang w:val="en-GB"/>
              </w:rPr>
              <w:t xml:space="preserve"> 202</w:t>
            </w:r>
            <w:r w:rsidRPr="008A0213">
              <w:rPr>
                <w:rFonts w:eastAsia="Times New Roman" w:cs="Arial"/>
                <w:b/>
                <w:bCs/>
                <w:sz w:val="20"/>
                <w:szCs w:val="20"/>
              </w:rPr>
              <w:t>3</w:t>
            </w:r>
          </w:p>
        </w:tc>
      </w:tr>
      <w:tr w:rsidR="001B6CFB" w:rsidRPr="008414D9" w14:paraId="1644F8AD" w14:textId="77777777" w:rsidTr="00527AD3">
        <w:trPr>
          <w:trHeight w:val="300"/>
        </w:trPr>
        <w:tc>
          <w:tcPr>
            <w:tcW w:w="2829" w:type="dxa"/>
            <w:tcBorders>
              <w:top w:val="nil"/>
              <w:left w:val="nil"/>
              <w:bottom w:val="nil"/>
              <w:right w:val="nil"/>
            </w:tcBorders>
            <w:shd w:val="clear" w:color="000000" w:fill="FFFFFF"/>
            <w:vAlign w:val="center"/>
            <w:hideMark/>
          </w:tcPr>
          <w:p w14:paraId="1447C314" w14:textId="57FA9302" w:rsidR="001B6CFB" w:rsidRPr="008414D9" w:rsidRDefault="001B6CFB" w:rsidP="001B6CFB">
            <w:pPr>
              <w:spacing w:after="0" w:line="240" w:lineRule="auto"/>
              <w:jc w:val="both"/>
              <w:rPr>
                <w:rFonts w:eastAsia="Times New Roman"/>
                <w:b/>
                <w:bCs/>
                <w:color w:val="000000"/>
                <w:sz w:val="20"/>
                <w:szCs w:val="20"/>
                <w:lang w:val="en-GB" w:eastAsia="el-GR"/>
              </w:rPr>
            </w:pPr>
            <w:r w:rsidRPr="008B7319">
              <w:rPr>
                <w:rFonts w:eastAsia="Times New Roman"/>
                <w:b/>
                <w:bCs/>
                <w:color w:val="000000"/>
                <w:sz w:val="20"/>
                <w:szCs w:val="20"/>
                <w:lang w:eastAsia="el-GR"/>
              </w:rPr>
              <w:t>Πωλήσεις</w:t>
            </w:r>
          </w:p>
        </w:tc>
        <w:tc>
          <w:tcPr>
            <w:tcW w:w="1134" w:type="dxa"/>
            <w:tcBorders>
              <w:top w:val="single" w:sz="4" w:space="0" w:color="auto"/>
              <w:left w:val="nil"/>
              <w:bottom w:val="single" w:sz="4" w:space="0" w:color="auto"/>
              <w:right w:val="nil"/>
            </w:tcBorders>
            <w:shd w:val="clear" w:color="auto" w:fill="E2EFD9"/>
            <w:noWrap/>
            <w:vAlign w:val="center"/>
          </w:tcPr>
          <w:p w14:paraId="20138BCE" w14:textId="7A678CAE" w:rsidR="001B6CFB" w:rsidRPr="008414D9" w:rsidRDefault="001B6CFB" w:rsidP="001B6CFB">
            <w:pPr>
              <w:spacing w:after="0" w:line="240" w:lineRule="auto"/>
              <w:jc w:val="right"/>
              <w:rPr>
                <w:rFonts w:cs="Calibri"/>
                <w:b/>
                <w:bCs/>
                <w:color w:val="000000"/>
                <w:sz w:val="20"/>
                <w:szCs w:val="20"/>
                <w:lang w:val="en-GB"/>
              </w:rPr>
            </w:pPr>
            <w:r>
              <w:rPr>
                <w:rFonts w:cs="Calibri"/>
                <w:b/>
                <w:bCs/>
                <w:color w:val="000000"/>
                <w:sz w:val="20"/>
                <w:szCs w:val="20"/>
              </w:rPr>
              <w:t>560.086</w:t>
            </w:r>
          </w:p>
        </w:tc>
        <w:tc>
          <w:tcPr>
            <w:tcW w:w="926" w:type="dxa"/>
            <w:tcBorders>
              <w:top w:val="single" w:sz="4" w:space="0" w:color="auto"/>
              <w:left w:val="nil"/>
              <w:bottom w:val="single" w:sz="4" w:space="0" w:color="auto"/>
              <w:right w:val="nil"/>
            </w:tcBorders>
            <w:shd w:val="clear" w:color="000000" w:fill="FFFFFF"/>
            <w:noWrap/>
            <w:vAlign w:val="center"/>
          </w:tcPr>
          <w:p w14:paraId="28E71C24" w14:textId="2E47D5FF" w:rsidR="001B6CFB" w:rsidRPr="008414D9" w:rsidRDefault="001B6CFB" w:rsidP="001B6CFB">
            <w:pPr>
              <w:spacing w:after="0" w:line="240" w:lineRule="auto"/>
              <w:jc w:val="right"/>
              <w:rPr>
                <w:rFonts w:cs="Calibri"/>
                <w:b/>
                <w:bCs/>
                <w:color w:val="000000"/>
                <w:sz w:val="20"/>
                <w:szCs w:val="20"/>
                <w:lang w:val="en-GB"/>
              </w:rPr>
            </w:pPr>
            <w:r>
              <w:rPr>
                <w:rFonts w:cs="Calibri"/>
                <w:b/>
                <w:bCs/>
                <w:color w:val="000000"/>
                <w:sz w:val="20"/>
                <w:szCs w:val="20"/>
              </w:rPr>
              <w:t>493.281</w:t>
            </w:r>
          </w:p>
        </w:tc>
        <w:tc>
          <w:tcPr>
            <w:tcW w:w="1030" w:type="dxa"/>
            <w:tcBorders>
              <w:top w:val="single" w:sz="4" w:space="0" w:color="auto"/>
              <w:left w:val="nil"/>
              <w:bottom w:val="single" w:sz="4" w:space="0" w:color="auto"/>
              <w:right w:val="nil"/>
            </w:tcBorders>
            <w:shd w:val="clear" w:color="auto" w:fill="E2EFD9"/>
            <w:noWrap/>
            <w:vAlign w:val="center"/>
          </w:tcPr>
          <w:p w14:paraId="452F590C" w14:textId="35AE510B" w:rsidR="001B6CFB" w:rsidRPr="008414D9" w:rsidRDefault="001B6CFB" w:rsidP="001B6CFB">
            <w:pPr>
              <w:spacing w:after="0" w:line="240" w:lineRule="auto"/>
              <w:jc w:val="right"/>
              <w:rPr>
                <w:rFonts w:cs="Calibri"/>
                <w:b/>
                <w:bCs/>
                <w:color w:val="000000"/>
                <w:sz w:val="20"/>
                <w:szCs w:val="20"/>
                <w:lang w:val="en-GB"/>
              </w:rPr>
            </w:pPr>
            <w:r>
              <w:rPr>
                <w:rFonts w:cs="Calibri"/>
                <w:b/>
                <w:bCs/>
                <w:color w:val="000000"/>
                <w:sz w:val="20"/>
                <w:szCs w:val="20"/>
              </w:rPr>
              <w:t>252.071</w:t>
            </w:r>
          </w:p>
        </w:tc>
        <w:tc>
          <w:tcPr>
            <w:tcW w:w="1030" w:type="dxa"/>
            <w:tcBorders>
              <w:top w:val="single" w:sz="4" w:space="0" w:color="auto"/>
              <w:left w:val="nil"/>
              <w:bottom w:val="single" w:sz="4" w:space="0" w:color="auto"/>
              <w:right w:val="nil"/>
            </w:tcBorders>
            <w:shd w:val="clear" w:color="000000" w:fill="FFFFFF"/>
            <w:noWrap/>
            <w:vAlign w:val="center"/>
          </w:tcPr>
          <w:p w14:paraId="4477F9E3" w14:textId="02A58E54" w:rsidR="001B6CFB" w:rsidRPr="008414D9" w:rsidRDefault="001B6CFB" w:rsidP="001B6CFB">
            <w:pPr>
              <w:spacing w:after="0" w:line="240" w:lineRule="auto"/>
              <w:jc w:val="right"/>
              <w:rPr>
                <w:rFonts w:cs="Calibri"/>
                <w:b/>
                <w:bCs/>
                <w:color w:val="000000"/>
                <w:sz w:val="20"/>
                <w:szCs w:val="20"/>
                <w:lang w:val="en-GB"/>
              </w:rPr>
            </w:pPr>
            <w:r>
              <w:rPr>
                <w:rFonts w:cs="Calibri"/>
                <w:b/>
                <w:bCs/>
                <w:color w:val="000000"/>
                <w:sz w:val="20"/>
                <w:szCs w:val="20"/>
              </w:rPr>
              <w:t>304.991</w:t>
            </w:r>
          </w:p>
        </w:tc>
        <w:tc>
          <w:tcPr>
            <w:tcW w:w="983" w:type="dxa"/>
            <w:tcBorders>
              <w:top w:val="single" w:sz="4" w:space="0" w:color="auto"/>
              <w:left w:val="nil"/>
              <w:bottom w:val="single" w:sz="4" w:space="0" w:color="auto"/>
              <w:right w:val="nil"/>
            </w:tcBorders>
            <w:shd w:val="clear" w:color="auto" w:fill="E2EFD9"/>
            <w:noWrap/>
            <w:vAlign w:val="center"/>
          </w:tcPr>
          <w:p w14:paraId="49BA576D" w14:textId="70F04A44" w:rsidR="001B6CFB" w:rsidRPr="008414D9" w:rsidRDefault="001B6CFB" w:rsidP="001B6CFB">
            <w:pPr>
              <w:spacing w:after="0" w:line="240" w:lineRule="auto"/>
              <w:jc w:val="right"/>
              <w:rPr>
                <w:rFonts w:cs="Calibri"/>
                <w:b/>
                <w:bCs/>
                <w:color w:val="000000"/>
                <w:sz w:val="20"/>
                <w:szCs w:val="20"/>
                <w:lang w:val="en-GB"/>
              </w:rPr>
            </w:pPr>
            <w:r>
              <w:rPr>
                <w:rFonts w:cs="Calibri"/>
                <w:b/>
                <w:bCs/>
                <w:color w:val="000000"/>
                <w:sz w:val="20"/>
                <w:szCs w:val="20"/>
              </w:rPr>
              <w:t>- </w:t>
            </w:r>
          </w:p>
        </w:tc>
        <w:tc>
          <w:tcPr>
            <w:tcW w:w="992" w:type="dxa"/>
            <w:tcBorders>
              <w:top w:val="single" w:sz="4" w:space="0" w:color="auto"/>
              <w:left w:val="nil"/>
              <w:bottom w:val="single" w:sz="4" w:space="0" w:color="auto"/>
              <w:right w:val="nil"/>
            </w:tcBorders>
            <w:shd w:val="clear" w:color="000000" w:fill="FFFFFF"/>
            <w:noWrap/>
            <w:vAlign w:val="center"/>
          </w:tcPr>
          <w:p w14:paraId="0CB8C1E6" w14:textId="6EFCBD1F" w:rsidR="001B6CFB" w:rsidRPr="008414D9" w:rsidRDefault="001B6CFB" w:rsidP="001B6CFB">
            <w:pPr>
              <w:spacing w:after="0" w:line="240" w:lineRule="auto"/>
              <w:jc w:val="right"/>
              <w:rPr>
                <w:rFonts w:cs="Calibri"/>
                <w:b/>
                <w:bCs/>
                <w:color w:val="000000"/>
                <w:sz w:val="20"/>
                <w:szCs w:val="20"/>
                <w:lang w:val="en-GB"/>
              </w:rPr>
            </w:pPr>
            <w:r>
              <w:rPr>
                <w:rFonts w:cs="Calibri"/>
                <w:b/>
                <w:bCs/>
                <w:color w:val="000000"/>
                <w:sz w:val="20"/>
                <w:szCs w:val="20"/>
              </w:rPr>
              <w:t>- </w:t>
            </w:r>
          </w:p>
        </w:tc>
        <w:tc>
          <w:tcPr>
            <w:tcW w:w="1134" w:type="dxa"/>
            <w:tcBorders>
              <w:top w:val="single" w:sz="4" w:space="0" w:color="auto"/>
              <w:left w:val="nil"/>
              <w:bottom w:val="single" w:sz="4" w:space="0" w:color="auto"/>
              <w:right w:val="nil"/>
            </w:tcBorders>
            <w:shd w:val="clear" w:color="auto" w:fill="E2EFD9"/>
            <w:noWrap/>
            <w:vAlign w:val="center"/>
          </w:tcPr>
          <w:p w14:paraId="26F34B1B" w14:textId="2F5F29D4" w:rsidR="001B6CFB" w:rsidRPr="008414D9" w:rsidRDefault="001B6CFB" w:rsidP="001B6CFB">
            <w:pPr>
              <w:spacing w:after="0" w:line="240" w:lineRule="auto"/>
              <w:jc w:val="right"/>
              <w:rPr>
                <w:rFonts w:cs="Calibri"/>
                <w:b/>
                <w:bCs/>
                <w:color w:val="000000"/>
                <w:sz w:val="20"/>
                <w:szCs w:val="20"/>
                <w:lang w:val="en-GB"/>
              </w:rPr>
            </w:pPr>
            <w:r>
              <w:rPr>
                <w:rFonts w:cs="Calibri"/>
                <w:b/>
                <w:bCs/>
                <w:color w:val="000000"/>
                <w:sz w:val="20"/>
                <w:szCs w:val="20"/>
              </w:rPr>
              <w:t>812.157</w:t>
            </w:r>
          </w:p>
        </w:tc>
        <w:tc>
          <w:tcPr>
            <w:tcW w:w="1134" w:type="dxa"/>
            <w:tcBorders>
              <w:top w:val="single" w:sz="4" w:space="0" w:color="auto"/>
              <w:left w:val="nil"/>
              <w:bottom w:val="single" w:sz="4" w:space="0" w:color="auto"/>
              <w:right w:val="nil"/>
            </w:tcBorders>
            <w:shd w:val="clear" w:color="000000" w:fill="FFFFFF"/>
            <w:noWrap/>
            <w:vAlign w:val="center"/>
          </w:tcPr>
          <w:p w14:paraId="5E950746" w14:textId="45069E22" w:rsidR="001B6CFB" w:rsidRPr="008414D9" w:rsidRDefault="001B6CFB" w:rsidP="001B6CFB">
            <w:pPr>
              <w:spacing w:after="0" w:line="240" w:lineRule="auto"/>
              <w:jc w:val="right"/>
              <w:rPr>
                <w:rFonts w:cs="Calibri"/>
                <w:b/>
                <w:bCs/>
                <w:color w:val="000000"/>
                <w:sz w:val="20"/>
                <w:szCs w:val="20"/>
                <w:lang w:val="en-GB"/>
              </w:rPr>
            </w:pPr>
            <w:r>
              <w:rPr>
                <w:rFonts w:cs="Calibri"/>
                <w:b/>
                <w:bCs/>
                <w:color w:val="000000"/>
                <w:sz w:val="20"/>
                <w:szCs w:val="20"/>
              </w:rPr>
              <w:t>798.272</w:t>
            </w:r>
          </w:p>
        </w:tc>
      </w:tr>
      <w:tr w:rsidR="001B6CFB" w:rsidRPr="008414D9" w14:paraId="569C8CF9" w14:textId="77777777" w:rsidTr="00527AD3">
        <w:trPr>
          <w:trHeight w:val="300"/>
        </w:trPr>
        <w:tc>
          <w:tcPr>
            <w:tcW w:w="2829" w:type="dxa"/>
            <w:tcBorders>
              <w:top w:val="nil"/>
              <w:left w:val="nil"/>
              <w:bottom w:val="nil"/>
              <w:right w:val="nil"/>
            </w:tcBorders>
            <w:shd w:val="clear" w:color="000000" w:fill="FFFFFF"/>
            <w:vAlign w:val="center"/>
            <w:hideMark/>
          </w:tcPr>
          <w:p w14:paraId="6F04BC11" w14:textId="20D7B09A" w:rsidR="001B6CFB" w:rsidRPr="008414D9" w:rsidRDefault="001B6CFB" w:rsidP="001B6CFB">
            <w:pPr>
              <w:spacing w:after="0" w:line="240" w:lineRule="auto"/>
              <w:jc w:val="both"/>
              <w:rPr>
                <w:rFonts w:eastAsia="Times New Roman"/>
                <w:b/>
                <w:bCs/>
                <w:color w:val="000000"/>
                <w:sz w:val="20"/>
                <w:szCs w:val="20"/>
                <w:lang w:val="en-GB" w:eastAsia="el-GR"/>
              </w:rPr>
            </w:pPr>
            <w:r w:rsidRPr="008B7319">
              <w:rPr>
                <w:rFonts w:eastAsia="Times New Roman"/>
                <w:b/>
                <w:bCs/>
                <w:color w:val="000000"/>
                <w:sz w:val="20"/>
                <w:szCs w:val="20"/>
                <w:lang w:eastAsia="el-GR"/>
              </w:rPr>
              <w:t>Μικτό κέρδος</w:t>
            </w:r>
          </w:p>
        </w:tc>
        <w:tc>
          <w:tcPr>
            <w:tcW w:w="1134" w:type="dxa"/>
            <w:tcBorders>
              <w:top w:val="single" w:sz="4" w:space="0" w:color="auto"/>
              <w:left w:val="nil"/>
              <w:bottom w:val="single" w:sz="4" w:space="0" w:color="auto"/>
              <w:right w:val="nil"/>
            </w:tcBorders>
            <w:shd w:val="clear" w:color="auto" w:fill="E2EFD9"/>
            <w:noWrap/>
            <w:vAlign w:val="center"/>
          </w:tcPr>
          <w:p w14:paraId="23AFD35C" w14:textId="4847D5FB"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88.255</w:t>
            </w:r>
          </w:p>
        </w:tc>
        <w:tc>
          <w:tcPr>
            <w:tcW w:w="926" w:type="dxa"/>
            <w:tcBorders>
              <w:top w:val="single" w:sz="4" w:space="0" w:color="auto"/>
              <w:left w:val="nil"/>
              <w:bottom w:val="single" w:sz="4" w:space="0" w:color="auto"/>
              <w:right w:val="nil"/>
            </w:tcBorders>
            <w:shd w:val="clear" w:color="000000" w:fill="FFFFFF"/>
            <w:noWrap/>
            <w:vAlign w:val="center"/>
          </w:tcPr>
          <w:p w14:paraId="2B4C3B94" w14:textId="5640DA34"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60.361</w:t>
            </w:r>
          </w:p>
        </w:tc>
        <w:tc>
          <w:tcPr>
            <w:tcW w:w="1030" w:type="dxa"/>
            <w:tcBorders>
              <w:top w:val="single" w:sz="4" w:space="0" w:color="auto"/>
              <w:left w:val="nil"/>
              <w:bottom w:val="single" w:sz="4" w:space="0" w:color="auto"/>
              <w:right w:val="nil"/>
            </w:tcBorders>
            <w:shd w:val="clear" w:color="auto" w:fill="E2EFD9"/>
            <w:noWrap/>
            <w:vAlign w:val="center"/>
          </w:tcPr>
          <w:p w14:paraId="2696575D" w14:textId="626B9C82"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44.</w:t>
            </w:r>
            <w:r w:rsidR="00DF6E79">
              <w:rPr>
                <w:rFonts w:cs="Calibri"/>
                <w:color w:val="000000"/>
                <w:sz w:val="20"/>
                <w:szCs w:val="20"/>
              </w:rPr>
              <w:t>389</w:t>
            </w:r>
          </w:p>
        </w:tc>
        <w:tc>
          <w:tcPr>
            <w:tcW w:w="1030" w:type="dxa"/>
            <w:tcBorders>
              <w:top w:val="single" w:sz="4" w:space="0" w:color="auto"/>
              <w:left w:val="nil"/>
              <w:bottom w:val="single" w:sz="4" w:space="0" w:color="auto"/>
              <w:right w:val="nil"/>
            </w:tcBorders>
            <w:shd w:val="clear" w:color="000000" w:fill="FFFFFF"/>
            <w:noWrap/>
            <w:vAlign w:val="center"/>
          </w:tcPr>
          <w:p w14:paraId="70A23FE8" w14:textId="74E27B3F"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31.319</w:t>
            </w:r>
          </w:p>
        </w:tc>
        <w:tc>
          <w:tcPr>
            <w:tcW w:w="983" w:type="dxa"/>
            <w:tcBorders>
              <w:top w:val="single" w:sz="4" w:space="0" w:color="auto"/>
              <w:left w:val="nil"/>
              <w:bottom w:val="single" w:sz="4" w:space="0" w:color="auto"/>
              <w:right w:val="nil"/>
            </w:tcBorders>
            <w:shd w:val="clear" w:color="auto" w:fill="E2EFD9"/>
            <w:noWrap/>
            <w:vAlign w:val="center"/>
          </w:tcPr>
          <w:p w14:paraId="1B7A9F2B" w14:textId="4D5E0438"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 </w:t>
            </w:r>
          </w:p>
        </w:tc>
        <w:tc>
          <w:tcPr>
            <w:tcW w:w="992" w:type="dxa"/>
            <w:tcBorders>
              <w:top w:val="single" w:sz="4" w:space="0" w:color="auto"/>
              <w:left w:val="nil"/>
              <w:bottom w:val="single" w:sz="4" w:space="0" w:color="auto"/>
              <w:right w:val="nil"/>
            </w:tcBorders>
            <w:shd w:val="clear" w:color="000000" w:fill="FFFFFF"/>
            <w:noWrap/>
            <w:vAlign w:val="center"/>
          </w:tcPr>
          <w:p w14:paraId="4A390013" w14:textId="7E787A67"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 </w:t>
            </w:r>
          </w:p>
        </w:tc>
        <w:tc>
          <w:tcPr>
            <w:tcW w:w="1134" w:type="dxa"/>
            <w:tcBorders>
              <w:top w:val="single" w:sz="4" w:space="0" w:color="auto"/>
              <w:left w:val="nil"/>
              <w:bottom w:val="single" w:sz="4" w:space="0" w:color="auto"/>
              <w:right w:val="nil"/>
            </w:tcBorders>
            <w:shd w:val="clear" w:color="auto" w:fill="E2EFD9"/>
            <w:noWrap/>
            <w:vAlign w:val="center"/>
          </w:tcPr>
          <w:p w14:paraId="07C4AF60" w14:textId="11D296DB"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132.</w:t>
            </w:r>
            <w:r w:rsidR="00DF6E79">
              <w:rPr>
                <w:rFonts w:cs="Calibri"/>
                <w:color w:val="000000"/>
                <w:sz w:val="20"/>
                <w:szCs w:val="20"/>
              </w:rPr>
              <w:t>644</w:t>
            </w:r>
          </w:p>
        </w:tc>
        <w:tc>
          <w:tcPr>
            <w:tcW w:w="1134" w:type="dxa"/>
            <w:tcBorders>
              <w:top w:val="single" w:sz="4" w:space="0" w:color="auto"/>
              <w:left w:val="nil"/>
              <w:bottom w:val="single" w:sz="4" w:space="0" w:color="auto"/>
              <w:right w:val="nil"/>
            </w:tcBorders>
            <w:shd w:val="clear" w:color="000000" w:fill="FFFFFF"/>
            <w:noWrap/>
            <w:vAlign w:val="center"/>
          </w:tcPr>
          <w:p w14:paraId="1F889A84" w14:textId="10185017"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91.681</w:t>
            </w:r>
          </w:p>
        </w:tc>
      </w:tr>
      <w:tr w:rsidR="001B6CFB" w:rsidRPr="008414D9" w14:paraId="5F63FCF9" w14:textId="77777777" w:rsidTr="00527AD3">
        <w:trPr>
          <w:trHeight w:val="300"/>
        </w:trPr>
        <w:tc>
          <w:tcPr>
            <w:tcW w:w="2829" w:type="dxa"/>
            <w:tcBorders>
              <w:top w:val="nil"/>
              <w:left w:val="nil"/>
              <w:bottom w:val="nil"/>
              <w:right w:val="nil"/>
            </w:tcBorders>
            <w:shd w:val="clear" w:color="000000" w:fill="FFFFFF"/>
            <w:vAlign w:val="center"/>
            <w:hideMark/>
          </w:tcPr>
          <w:p w14:paraId="4ED91030" w14:textId="1EDB05CB" w:rsidR="001B6CFB" w:rsidRPr="008414D9" w:rsidRDefault="001B6CFB" w:rsidP="001B6CFB">
            <w:pPr>
              <w:spacing w:after="0" w:line="240" w:lineRule="auto"/>
              <w:jc w:val="both"/>
              <w:rPr>
                <w:rFonts w:eastAsia="Times New Roman"/>
                <w:b/>
                <w:bCs/>
                <w:color w:val="000000"/>
                <w:sz w:val="20"/>
                <w:szCs w:val="20"/>
                <w:lang w:val="en-GB" w:eastAsia="el-GR"/>
              </w:rPr>
            </w:pPr>
            <w:r w:rsidRPr="008B7319">
              <w:rPr>
                <w:rFonts w:eastAsia="Times New Roman"/>
                <w:b/>
                <w:bCs/>
                <w:color w:val="000000"/>
                <w:sz w:val="20"/>
                <w:szCs w:val="20"/>
                <w:lang w:eastAsia="el-GR"/>
              </w:rPr>
              <w:t>Λειτουργικά κέρδη / (ζημιές)</w:t>
            </w:r>
          </w:p>
        </w:tc>
        <w:tc>
          <w:tcPr>
            <w:tcW w:w="1134" w:type="dxa"/>
            <w:tcBorders>
              <w:top w:val="single" w:sz="4" w:space="0" w:color="auto"/>
              <w:left w:val="nil"/>
              <w:bottom w:val="single" w:sz="4" w:space="0" w:color="auto"/>
              <w:right w:val="nil"/>
            </w:tcBorders>
            <w:shd w:val="clear" w:color="auto" w:fill="E2EFD9"/>
            <w:noWrap/>
            <w:vAlign w:val="center"/>
          </w:tcPr>
          <w:p w14:paraId="784ED235" w14:textId="2BFF4383"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69.540</w:t>
            </w:r>
          </w:p>
        </w:tc>
        <w:tc>
          <w:tcPr>
            <w:tcW w:w="926" w:type="dxa"/>
            <w:tcBorders>
              <w:top w:val="single" w:sz="4" w:space="0" w:color="auto"/>
              <w:left w:val="nil"/>
              <w:bottom w:val="single" w:sz="4" w:space="0" w:color="auto"/>
              <w:right w:val="nil"/>
            </w:tcBorders>
            <w:shd w:val="clear" w:color="000000" w:fill="FFFFFF"/>
            <w:noWrap/>
            <w:vAlign w:val="center"/>
          </w:tcPr>
          <w:p w14:paraId="02E3341E" w14:textId="44E5B2B0"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42.839</w:t>
            </w:r>
          </w:p>
        </w:tc>
        <w:tc>
          <w:tcPr>
            <w:tcW w:w="1030" w:type="dxa"/>
            <w:tcBorders>
              <w:top w:val="single" w:sz="4" w:space="0" w:color="auto"/>
              <w:left w:val="nil"/>
              <w:bottom w:val="single" w:sz="4" w:space="0" w:color="auto"/>
              <w:right w:val="nil"/>
            </w:tcBorders>
            <w:shd w:val="clear" w:color="auto" w:fill="E2EFD9"/>
            <w:noWrap/>
            <w:vAlign w:val="center"/>
          </w:tcPr>
          <w:p w14:paraId="615315EC" w14:textId="12A500F7"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3</w:t>
            </w:r>
            <w:r w:rsidR="00DF6E79">
              <w:rPr>
                <w:rFonts w:cs="Calibri"/>
                <w:color w:val="000000"/>
                <w:sz w:val="20"/>
                <w:szCs w:val="20"/>
              </w:rPr>
              <w:t>5</w:t>
            </w:r>
            <w:r>
              <w:rPr>
                <w:rFonts w:cs="Calibri"/>
                <w:color w:val="000000"/>
                <w:sz w:val="20"/>
                <w:szCs w:val="20"/>
              </w:rPr>
              <w:t>.</w:t>
            </w:r>
            <w:r w:rsidR="00DF6E79">
              <w:rPr>
                <w:rFonts w:cs="Calibri"/>
                <w:color w:val="000000"/>
                <w:sz w:val="20"/>
                <w:szCs w:val="20"/>
              </w:rPr>
              <w:t>945</w:t>
            </w:r>
          </w:p>
        </w:tc>
        <w:tc>
          <w:tcPr>
            <w:tcW w:w="1030" w:type="dxa"/>
            <w:tcBorders>
              <w:top w:val="single" w:sz="4" w:space="0" w:color="auto"/>
              <w:left w:val="nil"/>
              <w:bottom w:val="single" w:sz="4" w:space="0" w:color="auto"/>
              <w:right w:val="nil"/>
            </w:tcBorders>
            <w:shd w:val="clear" w:color="000000" w:fill="FFFFFF"/>
            <w:noWrap/>
            <w:vAlign w:val="center"/>
          </w:tcPr>
          <w:p w14:paraId="4B7CF353" w14:textId="03ED0325"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22.549</w:t>
            </w:r>
          </w:p>
        </w:tc>
        <w:tc>
          <w:tcPr>
            <w:tcW w:w="983" w:type="dxa"/>
            <w:tcBorders>
              <w:top w:val="single" w:sz="4" w:space="0" w:color="auto"/>
              <w:left w:val="nil"/>
              <w:bottom w:val="single" w:sz="4" w:space="0" w:color="auto"/>
              <w:right w:val="nil"/>
            </w:tcBorders>
            <w:shd w:val="clear" w:color="auto" w:fill="E2EFD9"/>
            <w:noWrap/>
            <w:vAlign w:val="center"/>
          </w:tcPr>
          <w:p w14:paraId="138F99E9" w14:textId="6F8C56CA"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(1.266)</w:t>
            </w:r>
          </w:p>
        </w:tc>
        <w:tc>
          <w:tcPr>
            <w:tcW w:w="992" w:type="dxa"/>
            <w:tcBorders>
              <w:top w:val="single" w:sz="4" w:space="0" w:color="auto"/>
              <w:left w:val="nil"/>
              <w:bottom w:val="single" w:sz="4" w:space="0" w:color="auto"/>
              <w:right w:val="nil"/>
            </w:tcBorders>
            <w:shd w:val="clear" w:color="000000" w:fill="FFFFFF"/>
            <w:noWrap/>
            <w:vAlign w:val="center"/>
          </w:tcPr>
          <w:p w14:paraId="0710428F" w14:textId="3DB6269F"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(1.122)</w:t>
            </w:r>
          </w:p>
        </w:tc>
        <w:tc>
          <w:tcPr>
            <w:tcW w:w="1134" w:type="dxa"/>
            <w:tcBorders>
              <w:top w:val="single" w:sz="4" w:space="0" w:color="auto"/>
              <w:left w:val="nil"/>
              <w:bottom w:val="single" w:sz="4" w:space="0" w:color="auto"/>
              <w:right w:val="nil"/>
            </w:tcBorders>
            <w:shd w:val="clear" w:color="auto" w:fill="E2EFD9"/>
            <w:noWrap/>
            <w:vAlign w:val="center"/>
          </w:tcPr>
          <w:p w14:paraId="15D6234C" w14:textId="37E385D4"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104.</w:t>
            </w:r>
            <w:r w:rsidR="00DF6E79">
              <w:rPr>
                <w:rFonts w:cs="Calibri"/>
                <w:color w:val="000000"/>
                <w:sz w:val="20"/>
                <w:szCs w:val="20"/>
              </w:rPr>
              <w:t>220</w:t>
            </w:r>
          </w:p>
        </w:tc>
        <w:tc>
          <w:tcPr>
            <w:tcW w:w="1134" w:type="dxa"/>
            <w:tcBorders>
              <w:top w:val="single" w:sz="4" w:space="0" w:color="auto"/>
              <w:left w:val="nil"/>
              <w:bottom w:val="single" w:sz="4" w:space="0" w:color="auto"/>
              <w:right w:val="nil"/>
            </w:tcBorders>
            <w:shd w:val="clear" w:color="000000" w:fill="FFFFFF"/>
            <w:noWrap/>
            <w:vAlign w:val="center"/>
          </w:tcPr>
          <w:p w14:paraId="5314C8B0" w14:textId="1C69D5A6"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64.266</w:t>
            </w:r>
          </w:p>
        </w:tc>
      </w:tr>
      <w:tr w:rsidR="001B6CFB" w:rsidRPr="008414D9" w14:paraId="30E1FFB0" w14:textId="77777777" w:rsidTr="00527AD3">
        <w:trPr>
          <w:trHeight w:val="300"/>
        </w:trPr>
        <w:tc>
          <w:tcPr>
            <w:tcW w:w="2829" w:type="dxa"/>
            <w:tcBorders>
              <w:top w:val="nil"/>
              <w:left w:val="nil"/>
              <w:bottom w:val="nil"/>
              <w:right w:val="nil"/>
            </w:tcBorders>
            <w:shd w:val="clear" w:color="000000" w:fill="FFFFFF"/>
            <w:vAlign w:val="center"/>
            <w:hideMark/>
          </w:tcPr>
          <w:p w14:paraId="19ECD206" w14:textId="0B90C363" w:rsidR="001B6CFB" w:rsidRPr="008414D9" w:rsidRDefault="001B6CFB" w:rsidP="001B6CFB">
            <w:pPr>
              <w:spacing w:after="0" w:line="240" w:lineRule="auto"/>
              <w:jc w:val="both"/>
              <w:rPr>
                <w:rFonts w:eastAsia="Times New Roman"/>
                <w:color w:val="000000"/>
                <w:sz w:val="20"/>
                <w:szCs w:val="20"/>
                <w:lang w:val="en-GB" w:eastAsia="el-GR"/>
              </w:rPr>
            </w:pPr>
            <w:r w:rsidRPr="008B7319">
              <w:rPr>
                <w:color w:val="000000"/>
                <w:sz w:val="20"/>
                <w:szCs w:val="20"/>
              </w:rPr>
              <w:t>Χρηματοοικονομικά έσοδα</w:t>
            </w:r>
          </w:p>
        </w:tc>
        <w:tc>
          <w:tcPr>
            <w:tcW w:w="1134" w:type="dxa"/>
            <w:tcBorders>
              <w:top w:val="single" w:sz="4" w:space="0" w:color="auto"/>
              <w:left w:val="nil"/>
              <w:bottom w:val="nil"/>
              <w:right w:val="nil"/>
            </w:tcBorders>
            <w:shd w:val="clear" w:color="auto" w:fill="E2EFD9"/>
            <w:noWrap/>
            <w:vAlign w:val="center"/>
          </w:tcPr>
          <w:p w14:paraId="2D41E36F" w14:textId="6DDA212C"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336</w:t>
            </w:r>
          </w:p>
        </w:tc>
        <w:tc>
          <w:tcPr>
            <w:tcW w:w="926" w:type="dxa"/>
            <w:tcBorders>
              <w:top w:val="single" w:sz="4" w:space="0" w:color="auto"/>
              <w:left w:val="nil"/>
              <w:bottom w:val="nil"/>
              <w:right w:val="nil"/>
            </w:tcBorders>
            <w:shd w:val="clear" w:color="000000" w:fill="FFFFFF"/>
            <w:noWrap/>
            <w:vAlign w:val="center"/>
          </w:tcPr>
          <w:p w14:paraId="53BED617" w14:textId="406F261F"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284</w:t>
            </w:r>
          </w:p>
        </w:tc>
        <w:tc>
          <w:tcPr>
            <w:tcW w:w="1030" w:type="dxa"/>
            <w:tcBorders>
              <w:top w:val="single" w:sz="4" w:space="0" w:color="auto"/>
              <w:left w:val="nil"/>
              <w:bottom w:val="nil"/>
              <w:right w:val="nil"/>
            </w:tcBorders>
            <w:shd w:val="clear" w:color="auto" w:fill="E2EFD9"/>
            <w:noWrap/>
            <w:vAlign w:val="center"/>
          </w:tcPr>
          <w:p w14:paraId="5B28161B" w14:textId="0AFA4037"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165</w:t>
            </w:r>
          </w:p>
        </w:tc>
        <w:tc>
          <w:tcPr>
            <w:tcW w:w="1030" w:type="dxa"/>
            <w:tcBorders>
              <w:top w:val="single" w:sz="4" w:space="0" w:color="auto"/>
              <w:left w:val="nil"/>
              <w:bottom w:val="nil"/>
              <w:right w:val="nil"/>
            </w:tcBorders>
            <w:shd w:val="clear" w:color="000000" w:fill="FFFFFF"/>
            <w:noWrap/>
            <w:vAlign w:val="center"/>
          </w:tcPr>
          <w:p w14:paraId="2BE4FD46" w14:textId="2BF1AD0B"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101</w:t>
            </w:r>
          </w:p>
        </w:tc>
        <w:tc>
          <w:tcPr>
            <w:tcW w:w="983" w:type="dxa"/>
            <w:tcBorders>
              <w:top w:val="single" w:sz="4" w:space="0" w:color="auto"/>
              <w:left w:val="nil"/>
              <w:bottom w:val="nil"/>
              <w:right w:val="nil"/>
            </w:tcBorders>
            <w:shd w:val="clear" w:color="auto" w:fill="E2EFD9"/>
            <w:noWrap/>
            <w:vAlign w:val="center"/>
          </w:tcPr>
          <w:p w14:paraId="0AD53CC0" w14:textId="1515AED1"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93</w:t>
            </w:r>
          </w:p>
        </w:tc>
        <w:tc>
          <w:tcPr>
            <w:tcW w:w="992" w:type="dxa"/>
            <w:tcBorders>
              <w:top w:val="single" w:sz="4" w:space="0" w:color="auto"/>
              <w:left w:val="nil"/>
              <w:bottom w:val="nil"/>
              <w:right w:val="nil"/>
            </w:tcBorders>
            <w:shd w:val="clear" w:color="000000" w:fill="FFFFFF"/>
            <w:noWrap/>
            <w:vAlign w:val="center"/>
          </w:tcPr>
          <w:p w14:paraId="31884ED1" w14:textId="64E9295D"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82</w:t>
            </w:r>
          </w:p>
        </w:tc>
        <w:tc>
          <w:tcPr>
            <w:tcW w:w="1134" w:type="dxa"/>
            <w:tcBorders>
              <w:top w:val="single" w:sz="4" w:space="0" w:color="auto"/>
              <w:left w:val="nil"/>
              <w:bottom w:val="nil"/>
              <w:right w:val="nil"/>
            </w:tcBorders>
            <w:shd w:val="clear" w:color="auto" w:fill="E2EFD9"/>
            <w:noWrap/>
            <w:vAlign w:val="center"/>
          </w:tcPr>
          <w:p w14:paraId="55448330" w14:textId="6561E6E5"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595</w:t>
            </w:r>
          </w:p>
        </w:tc>
        <w:tc>
          <w:tcPr>
            <w:tcW w:w="1134" w:type="dxa"/>
            <w:tcBorders>
              <w:top w:val="single" w:sz="4" w:space="0" w:color="auto"/>
              <w:left w:val="nil"/>
              <w:bottom w:val="nil"/>
              <w:right w:val="nil"/>
            </w:tcBorders>
            <w:shd w:val="clear" w:color="000000" w:fill="FFFFFF"/>
            <w:noWrap/>
            <w:vAlign w:val="center"/>
          </w:tcPr>
          <w:p w14:paraId="4069AB6B" w14:textId="79F2CEE6"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467</w:t>
            </w:r>
          </w:p>
        </w:tc>
      </w:tr>
      <w:tr w:rsidR="001B6CFB" w:rsidRPr="008414D9" w14:paraId="6C9B5D64" w14:textId="77777777" w:rsidTr="00527AD3">
        <w:trPr>
          <w:trHeight w:val="300"/>
        </w:trPr>
        <w:tc>
          <w:tcPr>
            <w:tcW w:w="2829" w:type="dxa"/>
            <w:tcBorders>
              <w:top w:val="nil"/>
              <w:left w:val="nil"/>
              <w:bottom w:val="nil"/>
              <w:right w:val="nil"/>
            </w:tcBorders>
            <w:shd w:val="clear" w:color="000000" w:fill="FFFFFF"/>
            <w:vAlign w:val="center"/>
            <w:hideMark/>
          </w:tcPr>
          <w:p w14:paraId="691AD847" w14:textId="7BB5C4FD" w:rsidR="001B6CFB" w:rsidRPr="008414D9" w:rsidRDefault="001B6CFB" w:rsidP="001B6CFB">
            <w:pPr>
              <w:spacing w:after="0" w:line="240" w:lineRule="auto"/>
              <w:jc w:val="both"/>
              <w:rPr>
                <w:rFonts w:eastAsia="Times New Roman"/>
                <w:color w:val="000000"/>
                <w:sz w:val="20"/>
                <w:szCs w:val="20"/>
                <w:lang w:val="en-GB" w:eastAsia="el-GR"/>
              </w:rPr>
            </w:pPr>
            <w:r w:rsidRPr="008B7319">
              <w:rPr>
                <w:color w:val="000000"/>
                <w:sz w:val="20"/>
                <w:szCs w:val="20"/>
              </w:rPr>
              <w:t>Χρηματοοικονομικά έξοδα</w:t>
            </w:r>
          </w:p>
        </w:tc>
        <w:tc>
          <w:tcPr>
            <w:tcW w:w="1134" w:type="dxa"/>
            <w:tcBorders>
              <w:top w:val="nil"/>
              <w:left w:val="nil"/>
              <w:bottom w:val="nil"/>
              <w:right w:val="nil"/>
            </w:tcBorders>
            <w:shd w:val="clear" w:color="auto" w:fill="E2EFD9"/>
            <w:noWrap/>
            <w:vAlign w:val="center"/>
          </w:tcPr>
          <w:p w14:paraId="45E817B9" w14:textId="412084E6"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(22.788)</w:t>
            </w:r>
          </w:p>
        </w:tc>
        <w:tc>
          <w:tcPr>
            <w:tcW w:w="926" w:type="dxa"/>
            <w:tcBorders>
              <w:top w:val="nil"/>
              <w:left w:val="nil"/>
              <w:bottom w:val="nil"/>
              <w:right w:val="nil"/>
            </w:tcBorders>
            <w:shd w:val="clear" w:color="000000" w:fill="FFFFFF"/>
            <w:noWrap/>
            <w:vAlign w:val="center"/>
          </w:tcPr>
          <w:p w14:paraId="73E2FEAD" w14:textId="458C1C00"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(21.822)</w:t>
            </w:r>
          </w:p>
        </w:tc>
        <w:tc>
          <w:tcPr>
            <w:tcW w:w="1030" w:type="dxa"/>
            <w:tcBorders>
              <w:top w:val="nil"/>
              <w:left w:val="nil"/>
              <w:bottom w:val="nil"/>
              <w:right w:val="nil"/>
            </w:tcBorders>
            <w:shd w:val="clear" w:color="auto" w:fill="E2EFD9"/>
            <w:noWrap/>
            <w:vAlign w:val="center"/>
          </w:tcPr>
          <w:p w14:paraId="66513752" w14:textId="0BBA2BB3"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(9.550)</w:t>
            </w:r>
          </w:p>
        </w:tc>
        <w:tc>
          <w:tcPr>
            <w:tcW w:w="1030" w:type="dxa"/>
            <w:tcBorders>
              <w:top w:val="nil"/>
              <w:left w:val="nil"/>
              <w:bottom w:val="nil"/>
              <w:right w:val="nil"/>
            </w:tcBorders>
            <w:shd w:val="clear" w:color="000000" w:fill="FFFFFF"/>
            <w:noWrap/>
            <w:vAlign w:val="center"/>
          </w:tcPr>
          <w:p w14:paraId="54C42406" w14:textId="730B0D46"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(12.537)</w:t>
            </w:r>
          </w:p>
        </w:tc>
        <w:tc>
          <w:tcPr>
            <w:tcW w:w="983" w:type="dxa"/>
            <w:tcBorders>
              <w:top w:val="nil"/>
              <w:left w:val="nil"/>
              <w:bottom w:val="nil"/>
              <w:right w:val="nil"/>
            </w:tcBorders>
            <w:shd w:val="clear" w:color="auto" w:fill="E2EFD9"/>
            <w:noWrap/>
            <w:vAlign w:val="center"/>
          </w:tcPr>
          <w:p w14:paraId="03A6CEDA" w14:textId="2D9D6B4F"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(3)</w:t>
            </w:r>
          </w:p>
        </w:tc>
        <w:tc>
          <w:tcPr>
            <w:tcW w:w="992" w:type="dxa"/>
            <w:tcBorders>
              <w:top w:val="nil"/>
              <w:left w:val="nil"/>
              <w:bottom w:val="nil"/>
              <w:right w:val="nil"/>
            </w:tcBorders>
            <w:shd w:val="clear" w:color="000000" w:fill="FFFFFF"/>
            <w:noWrap/>
            <w:vAlign w:val="center"/>
          </w:tcPr>
          <w:p w14:paraId="315A3E6A" w14:textId="766D855E"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(3)</w:t>
            </w:r>
          </w:p>
        </w:tc>
        <w:tc>
          <w:tcPr>
            <w:tcW w:w="1134" w:type="dxa"/>
            <w:tcBorders>
              <w:top w:val="nil"/>
              <w:left w:val="nil"/>
              <w:bottom w:val="nil"/>
              <w:right w:val="nil"/>
            </w:tcBorders>
            <w:shd w:val="clear" w:color="auto" w:fill="E2EFD9"/>
            <w:noWrap/>
            <w:vAlign w:val="center"/>
          </w:tcPr>
          <w:p w14:paraId="6E192B57" w14:textId="7C1DCF63"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(32.341)</w:t>
            </w:r>
          </w:p>
        </w:tc>
        <w:tc>
          <w:tcPr>
            <w:tcW w:w="1134" w:type="dxa"/>
            <w:tcBorders>
              <w:top w:val="nil"/>
              <w:left w:val="nil"/>
              <w:bottom w:val="nil"/>
              <w:right w:val="nil"/>
            </w:tcBorders>
            <w:shd w:val="clear" w:color="000000" w:fill="FFFFFF"/>
            <w:noWrap/>
            <w:vAlign w:val="center"/>
          </w:tcPr>
          <w:p w14:paraId="56A0A9B5" w14:textId="68050DF0"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(34.361)</w:t>
            </w:r>
          </w:p>
        </w:tc>
      </w:tr>
      <w:tr w:rsidR="001B6CFB" w:rsidRPr="008414D9" w14:paraId="6ACCE733" w14:textId="77777777" w:rsidTr="00414B88">
        <w:trPr>
          <w:trHeight w:val="300"/>
        </w:trPr>
        <w:tc>
          <w:tcPr>
            <w:tcW w:w="2829" w:type="dxa"/>
            <w:tcBorders>
              <w:top w:val="nil"/>
              <w:left w:val="nil"/>
              <w:bottom w:val="nil"/>
              <w:right w:val="nil"/>
            </w:tcBorders>
            <w:shd w:val="clear" w:color="000000" w:fill="FFFFFF"/>
            <w:vAlign w:val="center"/>
            <w:hideMark/>
          </w:tcPr>
          <w:p w14:paraId="1F5AC0F6" w14:textId="18080F1E" w:rsidR="001B6CFB" w:rsidRPr="001B6CFB" w:rsidRDefault="001B6CFB" w:rsidP="001B6CFB">
            <w:pPr>
              <w:spacing w:after="0" w:line="240" w:lineRule="auto"/>
              <w:jc w:val="both"/>
              <w:rPr>
                <w:rFonts w:eastAsia="Times New Roman"/>
                <w:color w:val="000000"/>
                <w:sz w:val="20"/>
                <w:szCs w:val="20"/>
                <w:lang w:eastAsia="el-GR"/>
              </w:rPr>
            </w:pPr>
            <w:r w:rsidRPr="008B7319">
              <w:rPr>
                <w:color w:val="000000"/>
                <w:sz w:val="20"/>
                <w:szCs w:val="20"/>
              </w:rPr>
              <w:t xml:space="preserve">Κέρδη </w:t>
            </w:r>
            <w:r>
              <w:rPr>
                <w:color w:val="000000"/>
                <w:sz w:val="20"/>
                <w:szCs w:val="20"/>
              </w:rPr>
              <w:t xml:space="preserve">/ </w:t>
            </w:r>
            <w:r w:rsidRPr="008B7319">
              <w:rPr>
                <w:color w:val="000000"/>
                <w:sz w:val="20"/>
                <w:szCs w:val="20"/>
              </w:rPr>
              <w:t>(ζημιές)</w:t>
            </w:r>
            <w:r>
              <w:rPr>
                <w:color w:val="000000"/>
                <w:sz w:val="20"/>
                <w:szCs w:val="20"/>
              </w:rPr>
              <w:t xml:space="preserve"> </w:t>
            </w:r>
            <w:r w:rsidRPr="008B7319">
              <w:rPr>
                <w:color w:val="000000"/>
                <w:sz w:val="20"/>
                <w:szCs w:val="20"/>
              </w:rPr>
              <w:t>από συγγενείς επιχειρήσεις, καθαρά από φόρους</w:t>
            </w:r>
          </w:p>
        </w:tc>
        <w:tc>
          <w:tcPr>
            <w:tcW w:w="1134" w:type="dxa"/>
            <w:tcBorders>
              <w:top w:val="nil"/>
              <w:left w:val="nil"/>
              <w:bottom w:val="nil"/>
              <w:right w:val="nil"/>
            </w:tcBorders>
            <w:shd w:val="clear" w:color="auto" w:fill="E2EFD9"/>
            <w:noWrap/>
            <w:vAlign w:val="center"/>
          </w:tcPr>
          <w:p w14:paraId="77A96C1D" w14:textId="3298C3DE" w:rsidR="001B6CFB" w:rsidRPr="008414D9" w:rsidRDefault="001B6CFB" w:rsidP="001B6CFB">
            <w:pPr>
              <w:spacing w:after="0" w:line="240" w:lineRule="auto"/>
              <w:jc w:val="right"/>
              <w:rPr>
                <w:rFonts w:cs="Calibri"/>
                <w:color w:val="000000"/>
                <w:sz w:val="20"/>
                <w:szCs w:val="20"/>
                <w:lang w:val="en-GB"/>
              </w:rPr>
            </w:pPr>
            <w:r w:rsidRPr="00EF5826">
              <w:rPr>
                <w:rFonts w:cs="Calibri"/>
                <w:color w:val="000000"/>
                <w:sz w:val="20"/>
                <w:szCs w:val="20"/>
                <w:lang w:val="en-US"/>
              </w:rPr>
              <w:t> </w:t>
            </w:r>
            <w:r>
              <w:rPr>
                <w:rFonts w:cs="Calibri"/>
                <w:color w:val="000000"/>
                <w:sz w:val="20"/>
                <w:szCs w:val="20"/>
              </w:rPr>
              <w:t>-</w:t>
            </w:r>
          </w:p>
        </w:tc>
        <w:tc>
          <w:tcPr>
            <w:tcW w:w="926" w:type="dxa"/>
            <w:tcBorders>
              <w:top w:val="nil"/>
              <w:left w:val="nil"/>
              <w:bottom w:val="nil"/>
              <w:right w:val="nil"/>
            </w:tcBorders>
            <w:shd w:val="clear" w:color="000000" w:fill="FFFFFF"/>
            <w:noWrap/>
            <w:vAlign w:val="center"/>
          </w:tcPr>
          <w:p w14:paraId="39A59111" w14:textId="299EF1F8"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 </w:t>
            </w:r>
          </w:p>
        </w:tc>
        <w:tc>
          <w:tcPr>
            <w:tcW w:w="1030" w:type="dxa"/>
            <w:tcBorders>
              <w:top w:val="nil"/>
              <w:left w:val="nil"/>
              <w:bottom w:val="nil"/>
              <w:right w:val="nil"/>
            </w:tcBorders>
            <w:shd w:val="clear" w:color="auto" w:fill="E2EFD9"/>
            <w:noWrap/>
            <w:vAlign w:val="center"/>
          </w:tcPr>
          <w:p w14:paraId="1FBB0ED2" w14:textId="43E1590B"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(341)</w:t>
            </w:r>
          </w:p>
        </w:tc>
        <w:tc>
          <w:tcPr>
            <w:tcW w:w="1030" w:type="dxa"/>
            <w:tcBorders>
              <w:top w:val="nil"/>
              <w:left w:val="nil"/>
              <w:bottom w:val="nil"/>
              <w:right w:val="nil"/>
            </w:tcBorders>
            <w:shd w:val="clear" w:color="000000" w:fill="FFFFFF"/>
            <w:noWrap/>
            <w:vAlign w:val="center"/>
          </w:tcPr>
          <w:p w14:paraId="6634595D" w14:textId="2736EFB1"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(268)</w:t>
            </w:r>
          </w:p>
        </w:tc>
        <w:tc>
          <w:tcPr>
            <w:tcW w:w="983" w:type="dxa"/>
            <w:tcBorders>
              <w:top w:val="nil"/>
              <w:left w:val="nil"/>
              <w:bottom w:val="nil"/>
              <w:right w:val="nil"/>
            </w:tcBorders>
            <w:shd w:val="clear" w:color="auto" w:fill="E2EFD9"/>
            <w:noWrap/>
            <w:vAlign w:val="center"/>
          </w:tcPr>
          <w:p w14:paraId="01554524" w14:textId="796B86CD"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751</w:t>
            </w:r>
          </w:p>
        </w:tc>
        <w:tc>
          <w:tcPr>
            <w:tcW w:w="992" w:type="dxa"/>
            <w:tcBorders>
              <w:top w:val="nil"/>
              <w:left w:val="nil"/>
              <w:bottom w:val="nil"/>
              <w:right w:val="nil"/>
            </w:tcBorders>
            <w:shd w:val="clear" w:color="000000" w:fill="FFFFFF"/>
            <w:noWrap/>
            <w:vAlign w:val="center"/>
          </w:tcPr>
          <w:p w14:paraId="3F4A2F53" w14:textId="25DE78BA"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749</w:t>
            </w:r>
          </w:p>
        </w:tc>
        <w:tc>
          <w:tcPr>
            <w:tcW w:w="1134" w:type="dxa"/>
            <w:tcBorders>
              <w:top w:val="nil"/>
              <w:left w:val="nil"/>
              <w:bottom w:val="nil"/>
              <w:right w:val="nil"/>
            </w:tcBorders>
            <w:shd w:val="clear" w:color="auto" w:fill="E2EFD9"/>
            <w:noWrap/>
            <w:vAlign w:val="center"/>
          </w:tcPr>
          <w:p w14:paraId="1C06544E" w14:textId="021B8EF0"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410</w:t>
            </w:r>
          </w:p>
        </w:tc>
        <w:tc>
          <w:tcPr>
            <w:tcW w:w="1134" w:type="dxa"/>
            <w:tcBorders>
              <w:top w:val="nil"/>
              <w:left w:val="nil"/>
              <w:bottom w:val="nil"/>
              <w:right w:val="nil"/>
            </w:tcBorders>
            <w:shd w:val="clear" w:color="000000" w:fill="FFFFFF"/>
            <w:noWrap/>
            <w:vAlign w:val="center"/>
          </w:tcPr>
          <w:p w14:paraId="39DCE869" w14:textId="282398F1"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480</w:t>
            </w:r>
          </w:p>
        </w:tc>
      </w:tr>
      <w:tr w:rsidR="001B6CFB" w:rsidRPr="008414D9" w14:paraId="010934C1" w14:textId="77777777" w:rsidTr="00527AD3">
        <w:trPr>
          <w:trHeight w:val="300"/>
        </w:trPr>
        <w:tc>
          <w:tcPr>
            <w:tcW w:w="2829" w:type="dxa"/>
            <w:tcBorders>
              <w:top w:val="nil"/>
              <w:left w:val="nil"/>
              <w:bottom w:val="nil"/>
              <w:right w:val="nil"/>
            </w:tcBorders>
            <w:shd w:val="clear" w:color="000000" w:fill="FFFFFF"/>
            <w:vAlign w:val="center"/>
            <w:hideMark/>
          </w:tcPr>
          <w:p w14:paraId="51CE6E50" w14:textId="03FB99B6" w:rsidR="001B6CFB" w:rsidRPr="008414D9" w:rsidRDefault="001B6CFB" w:rsidP="001B6CFB">
            <w:pPr>
              <w:spacing w:after="0" w:line="240" w:lineRule="auto"/>
              <w:jc w:val="both"/>
              <w:rPr>
                <w:rFonts w:eastAsia="Times New Roman"/>
                <w:b/>
                <w:bCs/>
                <w:color w:val="000000"/>
                <w:sz w:val="20"/>
                <w:szCs w:val="20"/>
                <w:lang w:val="en-GB" w:eastAsia="el-GR"/>
              </w:rPr>
            </w:pPr>
            <w:r w:rsidRPr="008B7319">
              <w:rPr>
                <w:b/>
                <w:color w:val="000000"/>
                <w:sz w:val="20"/>
                <w:szCs w:val="20"/>
              </w:rPr>
              <w:t xml:space="preserve">Κέρδη </w:t>
            </w:r>
            <w:r w:rsidRPr="008B7319">
              <w:rPr>
                <w:rFonts w:eastAsia="Times New Roman"/>
                <w:b/>
                <w:bCs/>
                <w:color w:val="000000"/>
                <w:sz w:val="20"/>
                <w:szCs w:val="20"/>
                <w:lang w:eastAsia="el-GR"/>
              </w:rPr>
              <w:t xml:space="preserve">/ (ζημιές) </w:t>
            </w:r>
            <w:r w:rsidRPr="008B7319">
              <w:rPr>
                <w:b/>
                <w:color w:val="000000"/>
                <w:sz w:val="20"/>
                <w:szCs w:val="20"/>
              </w:rPr>
              <w:t>προ φόρων</w:t>
            </w:r>
          </w:p>
        </w:tc>
        <w:tc>
          <w:tcPr>
            <w:tcW w:w="1134" w:type="dxa"/>
            <w:tcBorders>
              <w:top w:val="single" w:sz="4" w:space="0" w:color="auto"/>
              <w:left w:val="nil"/>
              <w:bottom w:val="single" w:sz="4" w:space="0" w:color="auto"/>
              <w:right w:val="nil"/>
            </w:tcBorders>
            <w:shd w:val="clear" w:color="auto" w:fill="E2EFD9"/>
            <w:noWrap/>
            <w:vAlign w:val="center"/>
          </w:tcPr>
          <w:p w14:paraId="776AC45B" w14:textId="1EECA0C8" w:rsidR="001B6CFB" w:rsidRPr="008414D9" w:rsidRDefault="001B6CFB" w:rsidP="001B6CFB">
            <w:pPr>
              <w:spacing w:after="0" w:line="240" w:lineRule="auto"/>
              <w:jc w:val="right"/>
              <w:rPr>
                <w:rFonts w:cs="Calibri"/>
                <w:b/>
                <w:bCs/>
                <w:color w:val="000000"/>
                <w:sz w:val="20"/>
                <w:szCs w:val="20"/>
                <w:lang w:val="en-GB"/>
              </w:rPr>
            </w:pPr>
            <w:r>
              <w:rPr>
                <w:rFonts w:cs="Calibri"/>
                <w:b/>
                <w:bCs/>
                <w:color w:val="000000"/>
                <w:sz w:val="20"/>
                <w:szCs w:val="20"/>
              </w:rPr>
              <w:t>47.088</w:t>
            </w:r>
          </w:p>
        </w:tc>
        <w:tc>
          <w:tcPr>
            <w:tcW w:w="926" w:type="dxa"/>
            <w:tcBorders>
              <w:top w:val="single" w:sz="4" w:space="0" w:color="auto"/>
              <w:left w:val="nil"/>
              <w:bottom w:val="single" w:sz="4" w:space="0" w:color="auto"/>
              <w:right w:val="nil"/>
            </w:tcBorders>
            <w:shd w:val="clear" w:color="000000" w:fill="FFFFFF"/>
            <w:noWrap/>
            <w:vAlign w:val="center"/>
          </w:tcPr>
          <w:p w14:paraId="55FBDA55" w14:textId="45DBA4DD" w:rsidR="001B6CFB" w:rsidRPr="008414D9" w:rsidRDefault="001B6CFB" w:rsidP="001B6CFB">
            <w:pPr>
              <w:spacing w:after="0" w:line="240" w:lineRule="auto"/>
              <w:jc w:val="right"/>
              <w:rPr>
                <w:rFonts w:cs="Calibri"/>
                <w:b/>
                <w:bCs/>
                <w:color w:val="000000"/>
                <w:sz w:val="20"/>
                <w:szCs w:val="20"/>
                <w:lang w:val="en-GB"/>
              </w:rPr>
            </w:pPr>
            <w:r>
              <w:rPr>
                <w:rFonts w:cs="Calibri"/>
                <w:b/>
                <w:bCs/>
                <w:color w:val="000000"/>
                <w:sz w:val="20"/>
                <w:szCs w:val="20"/>
              </w:rPr>
              <w:t>21.301</w:t>
            </w:r>
          </w:p>
        </w:tc>
        <w:tc>
          <w:tcPr>
            <w:tcW w:w="1030" w:type="dxa"/>
            <w:tcBorders>
              <w:top w:val="single" w:sz="4" w:space="0" w:color="auto"/>
              <w:left w:val="nil"/>
              <w:bottom w:val="single" w:sz="4" w:space="0" w:color="auto"/>
              <w:right w:val="nil"/>
            </w:tcBorders>
            <w:shd w:val="clear" w:color="auto" w:fill="E2EFD9"/>
            <w:noWrap/>
            <w:vAlign w:val="center"/>
          </w:tcPr>
          <w:p w14:paraId="39F3D1B6" w14:textId="32ADEB72" w:rsidR="001B6CFB" w:rsidRPr="008414D9" w:rsidRDefault="001B6CFB" w:rsidP="001B6CFB">
            <w:pPr>
              <w:spacing w:after="0" w:line="240" w:lineRule="auto"/>
              <w:jc w:val="right"/>
              <w:rPr>
                <w:rFonts w:cs="Calibri"/>
                <w:b/>
                <w:bCs/>
                <w:color w:val="000000"/>
                <w:sz w:val="20"/>
                <w:szCs w:val="20"/>
                <w:lang w:val="en-GB"/>
              </w:rPr>
            </w:pPr>
            <w:r>
              <w:rPr>
                <w:rFonts w:cs="Calibri"/>
                <w:b/>
                <w:bCs/>
                <w:color w:val="000000"/>
                <w:sz w:val="20"/>
                <w:szCs w:val="20"/>
              </w:rPr>
              <w:t>26.</w:t>
            </w:r>
            <w:r w:rsidR="00DF6E79">
              <w:rPr>
                <w:rFonts w:cs="Calibri"/>
                <w:b/>
                <w:bCs/>
                <w:color w:val="000000"/>
                <w:sz w:val="20"/>
                <w:szCs w:val="20"/>
              </w:rPr>
              <w:t>220</w:t>
            </w:r>
          </w:p>
        </w:tc>
        <w:tc>
          <w:tcPr>
            <w:tcW w:w="1030" w:type="dxa"/>
            <w:tcBorders>
              <w:top w:val="single" w:sz="4" w:space="0" w:color="auto"/>
              <w:left w:val="nil"/>
              <w:bottom w:val="single" w:sz="4" w:space="0" w:color="auto"/>
              <w:right w:val="nil"/>
            </w:tcBorders>
            <w:shd w:val="clear" w:color="000000" w:fill="FFFFFF"/>
            <w:noWrap/>
            <w:vAlign w:val="center"/>
          </w:tcPr>
          <w:p w14:paraId="59C0FCFF" w14:textId="1CA1AC20" w:rsidR="001B6CFB" w:rsidRPr="008414D9" w:rsidRDefault="001B6CFB" w:rsidP="001B6CFB">
            <w:pPr>
              <w:spacing w:after="0" w:line="240" w:lineRule="auto"/>
              <w:jc w:val="right"/>
              <w:rPr>
                <w:rFonts w:cs="Calibri"/>
                <w:b/>
                <w:bCs/>
                <w:color w:val="000000"/>
                <w:sz w:val="20"/>
                <w:szCs w:val="20"/>
                <w:lang w:val="en-GB"/>
              </w:rPr>
            </w:pPr>
            <w:r>
              <w:rPr>
                <w:rFonts w:cs="Calibri"/>
                <w:b/>
                <w:bCs/>
                <w:color w:val="000000"/>
                <w:sz w:val="20"/>
                <w:szCs w:val="20"/>
              </w:rPr>
              <w:t>9.846</w:t>
            </w:r>
          </w:p>
        </w:tc>
        <w:tc>
          <w:tcPr>
            <w:tcW w:w="983" w:type="dxa"/>
            <w:tcBorders>
              <w:top w:val="single" w:sz="4" w:space="0" w:color="auto"/>
              <w:left w:val="nil"/>
              <w:bottom w:val="single" w:sz="4" w:space="0" w:color="auto"/>
              <w:right w:val="nil"/>
            </w:tcBorders>
            <w:shd w:val="clear" w:color="auto" w:fill="E2EFD9"/>
            <w:noWrap/>
            <w:vAlign w:val="center"/>
          </w:tcPr>
          <w:p w14:paraId="5BB6A039" w14:textId="114BA63F" w:rsidR="001B6CFB" w:rsidRPr="008414D9" w:rsidRDefault="001B6CFB" w:rsidP="001B6CFB">
            <w:pPr>
              <w:spacing w:after="0" w:line="240" w:lineRule="auto"/>
              <w:jc w:val="right"/>
              <w:rPr>
                <w:rFonts w:cs="Calibri"/>
                <w:b/>
                <w:bCs/>
                <w:color w:val="000000"/>
                <w:sz w:val="20"/>
                <w:szCs w:val="20"/>
                <w:lang w:val="en-GB"/>
              </w:rPr>
            </w:pPr>
            <w:r>
              <w:rPr>
                <w:rFonts w:cs="Calibri"/>
                <w:b/>
                <w:bCs/>
                <w:color w:val="000000"/>
                <w:sz w:val="20"/>
                <w:szCs w:val="20"/>
              </w:rPr>
              <w:t>(425)</w:t>
            </w:r>
          </w:p>
        </w:tc>
        <w:tc>
          <w:tcPr>
            <w:tcW w:w="992" w:type="dxa"/>
            <w:tcBorders>
              <w:top w:val="single" w:sz="4" w:space="0" w:color="auto"/>
              <w:left w:val="nil"/>
              <w:bottom w:val="single" w:sz="4" w:space="0" w:color="auto"/>
              <w:right w:val="nil"/>
            </w:tcBorders>
            <w:shd w:val="clear" w:color="000000" w:fill="FFFFFF"/>
            <w:noWrap/>
            <w:vAlign w:val="center"/>
          </w:tcPr>
          <w:p w14:paraId="082D7F88" w14:textId="04F25A22" w:rsidR="001B6CFB" w:rsidRPr="008414D9" w:rsidRDefault="001B6CFB" w:rsidP="001B6CFB">
            <w:pPr>
              <w:spacing w:after="0" w:line="240" w:lineRule="auto"/>
              <w:jc w:val="right"/>
              <w:rPr>
                <w:rFonts w:cs="Calibri"/>
                <w:b/>
                <w:bCs/>
                <w:color w:val="000000"/>
                <w:sz w:val="20"/>
                <w:szCs w:val="20"/>
                <w:lang w:val="en-GB"/>
              </w:rPr>
            </w:pPr>
            <w:r>
              <w:rPr>
                <w:rFonts w:cs="Calibri"/>
                <w:b/>
                <w:bCs/>
                <w:color w:val="000000"/>
                <w:sz w:val="20"/>
                <w:szCs w:val="20"/>
              </w:rPr>
              <w:t>(294)</w:t>
            </w:r>
          </w:p>
        </w:tc>
        <w:tc>
          <w:tcPr>
            <w:tcW w:w="1134" w:type="dxa"/>
            <w:tcBorders>
              <w:top w:val="single" w:sz="4" w:space="0" w:color="auto"/>
              <w:left w:val="nil"/>
              <w:bottom w:val="single" w:sz="4" w:space="0" w:color="auto"/>
              <w:right w:val="nil"/>
            </w:tcBorders>
            <w:shd w:val="clear" w:color="auto" w:fill="E2EFD9"/>
            <w:noWrap/>
            <w:vAlign w:val="center"/>
          </w:tcPr>
          <w:p w14:paraId="54822932" w14:textId="265DF4EA" w:rsidR="001B6CFB" w:rsidRPr="008414D9" w:rsidRDefault="001B6CFB" w:rsidP="001B6CFB">
            <w:pPr>
              <w:spacing w:after="0" w:line="240" w:lineRule="auto"/>
              <w:jc w:val="right"/>
              <w:rPr>
                <w:rFonts w:cs="Calibri"/>
                <w:b/>
                <w:bCs/>
                <w:color w:val="000000"/>
                <w:sz w:val="20"/>
                <w:szCs w:val="20"/>
                <w:lang w:val="en-GB"/>
              </w:rPr>
            </w:pPr>
            <w:r>
              <w:rPr>
                <w:rFonts w:cs="Calibri"/>
                <w:b/>
                <w:bCs/>
                <w:color w:val="000000"/>
                <w:sz w:val="20"/>
                <w:szCs w:val="20"/>
              </w:rPr>
              <w:t>7</w:t>
            </w:r>
            <w:r w:rsidR="00DF6E79">
              <w:rPr>
                <w:rFonts w:cs="Calibri"/>
                <w:b/>
                <w:bCs/>
                <w:color w:val="000000"/>
                <w:sz w:val="20"/>
                <w:szCs w:val="20"/>
              </w:rPr>
              <w:t>2</w:t>
            </w:r>
            <w:r>
              <w:rPr>
                <w:rFonts w:cs="Calibri"/>
                <w:b/>
                <w:bCs/>
                <w:color w:val="000000"/>
                <w:sz w:val="20"/>
                <w:szCs w:val="20"/>
              </w:rPr>
              <w:t>.</w:t>
            </w:r>
            <w:r w:rsidR="00DF6E79">
              <w:rPr>
                <w:rFonts w:cs="Calibri"/>
                <w:b/>
                <w:bCs/>
                <w:color w:val="000000"/>
                <w:sz w:val="20"/>
                <w:szCs w:val="20"/>
              </w:rPr>
              <w:t>883</w:t>
            </w:r>
          </w:p>
        </w:tc>
        <w:tc>
          <w:tcPr>
            <w:tcW w:w="1134" w:type="dxa"/>
            <w:tcBorders>
              <w:top w:val="single" w:sz="4" w:space="0" w:color="auto"/>
              <w:left w:val="nil"/>
              <w:bottom w:val="single" w:sz="4" w:space="0" w:color="auto"/>
              <w:right w:val="nil"/>
            </w:tcBorders>
            <w:shd w:val="clear" w:color="000000" w:fill="FFFFFF"/>
            <w:noWrap/>
            <w:vAlign w:val="center"/>
          </w:tcPr>
          <w:p w14:paraId="20734420" w14:textId="5834341D" w:rsidR="001B6CFB" w:rsidRPr="008414D9" w:rsidRDefault="001B6CFB" w:rsidP="001B6CFB">
            <w:pPr>
              <w:spacing w:after="0" w:line="240" w:lineRule="auto"/>
              <w:jc w:val="right"/>
              <w:rPr>
                <w:rFonts w:cs="Calibri"/>
                <w:b/>
                <w:bCs/>
                <w:color w:val="000000"/>
                <w:sz w:val="20"/>
                <w:szCs w:val="20"/>
                <w:lang w:val="en-GB"/>
              </w:rPr>
            </w:pPr>
            <w:r>
              <w:rPr>
                <w:rFonts w:cs="Calibri"/>
                <w:b/>
                <w:bCs/>
                <w:color w:val="000000"/>
                <w:sz w:val="20"/>
                <w:szCs w:val="20"/>
              </w:rPr>
              <w:t>30.852</w:t>
            </w:r>
          </w:p>
        </w:tc>
      </w:tr>
      <w:tr w:rsidR="001B6CFB" w:rsidRPr="008414D9" w14:paraId="2D22EDDF" w14:textId="77777777" w:rsidTr="00414B88">
        <w:trPr>
          <w:trHeight w:val="300"/>
        </w:trPr>
        <w:tc>
          <w:tcPr>
            <w:tcW w:w="2829" w:type="dxa"/>
            <w:tcBorders>
              <w:top w:val="nil"/>
              <w:left w:val="nil"/>
              <w:bottom w:val="nil"/>
              <w:right w:val="nil"/>
            </w:tcBorders>
            <w:shd w:val="clear" w:color="000000" w:fill="FFFFFF"/>
            <w:vAlign w:val="center"/>
            <w:hideMark/>
          </w:tcPr>
          <w:p w14:paraId="59397B45" w14:textId="6CA9AB36" w:rsidR="001B6CFB" w:rsidRPr="008414D9" w:rsidRDefault="001B6CFB" w:rsidP="001B6CFB">
            <w:pPr>
              <w:spacing w:after="0" w:line="240" w:lineRule="auto"/>
              <w:jc w:val="both"/>
              <w:rPr>
                <w:rFonts w:eastAsia="Times New Roman"/>
                <w:color w:val="000000"/>
                <w:sz w:val="20"/>
                <w:szCs w:val="20"/>
                <w:lang w:val="en-GB" w:eastAsia="el-GR"/>
              </w:rPr>
            </w:pPr>
            <w:r w:rsidRPr="008B7319">
              <w:rPr>
                <w:color w:val="000000"/>
                <w:sz w:val="20"/>
                <w:szCs w:val="20"/>
              </w:rPr>
              <w:t>Φόρος εισοδήματος</w:t>
            </w:r>
          </w:p>
        </w:tc>
        <w:tc>
          <w:tcPr>
            <w:tcW w:w="1134" w:type="dxa"/>
            <w:tcBorders>
              <w:top w:val="nil"/>
              <w:left w:val="nil"/>
              <w:bottom w:val="nil"/>
              <w:right w:val="nil"/>
            </w:tcBorders>
            <w:shd w:val="clear" w:color="auto" w:fill="E2EFD9"/>
            <w:noWrap/>
            <w:vAlign w:val="center"/>
          </w:tcPr>
          <w:p w14:paraId="0D3AF7E3" w14:textId="2D651396"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(11.755)</w:t>
            </w:r>
          </w:p>
        </w:tc>
        <w:tc>
          <w:tcPr>
            <w:tcW w:w="926" w:type="dxa"/>
            <w:tcBorders>
              <w:top w:val="nil"/>
              <w:left w:val="nil"/>
              <w:bottom w:val="nil"/>
              <w:right w:val="nil"/>
            </w:tcBorders>
            <w:shd w:val="clear" w:color="000000" w:fill="FFFFFF"/>
            <w:noWrap/>
            <w:vAlign w:val="center"/>
          </w:tcPr>
          <w:p w14:paraId="2A447B09" w14:textId="2D38E0FC"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(4.720)</w:t>
            </w:r>
          </w:p>
        </w:tc>
        <w:tc>
          <w:tcPr>
            <w:tcW w:w="1030" w:type="dxa"/>
            <w:tcBorders>
              <w:top w:val="nil"/>
              <w:left w:val="nil"/>
              <w:bottom w:val="nil"/>
              <w:right w:val="nil"/>
            </w:tcBorders>
            <w:shd w:val="clear" w:color="auto" w:fill="E2EFD9"/>
            <w:noWrap/>
            <w:vAlign w:val="center"/>
          </w:tcPr>
          <w:p w14:paraId="2030CB42" w14:textId="74E88BEB"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(4.666)</w:t>
            </w:r>
          </w:p>
        </w:tc>
        <w:tc>
          <w:tcPr>
            <w:tcW w:w="1030" w:type="dxa"/>
            <w:tcBorders>
              <w:top w:val="nil"/>
              <w:left w:val="nil"/>
              <w:bottom w:val="single" w:sz="4" w:space="0" w:color="auto"/>
              <w:right w:val="nil"/>
            </w:tcBorders>
            <w:shd w:val="clear" w:color="000000" w:fill="FFFFFF"/>
            <w:noWrap/>
            <w:vAlign w:val="center"/>
          </w:tcPr>
          <w:p w14:paraId="0AF2654B" w14:textId="33C78AE7"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(2.501)</w:t>
            </w:r>
          </w:p>
        </w:tc>
        <w:tc>
          <w:tcPr>
            <w:tcW w:w="983" w:type="dxa"/>
            <w:tcBorders>
              <w:top w:val="nil"/>
              <w:left w:val="nil"/>
              <w:bottom w:val="nil"/>
              <w:right w:val="nil"/>
            </w:tcBorders>
            <w:shd w:val="clear" w:color="auto" w:fill="E2EFD9"/>
            <w:noWrap/>
            <w:vAlign w:val="center"/>
          </w:tcPr>
          <w:p w14:paraId="10249836" w14:textId="51B57429"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 </w:t>
            </w:r>
          </w:p>
        </w:tc>
        <w:tc>
          <w:tcPr>
            <w:tcW w:w="992" w:type="dxa"/>
            <w:tcBorders>
              <w:top w:val="nil"/>
              <w:left w:val="nil"/>
              <w:bottom w:val="nil"/>
              <w:right w:val="nil"/>
            </w:tcBorders>
            <w:shd w:val="clear" w:color="000000" w:fill="FFFFFF"/>
            <w:noWrap/>
            <w:vAlign w:val="center"/>
          </w:tcPr>
          <w:p w14:paraId="66EFF84D" w14:textId="6D15F582" w:rsidR="001B6CFB" w:rsidRPr="00E4669F" w:rsidRDefault="001B6CFB" w:rsidP="001B6CFB">
            <w:pPr>
              <w:spacing w:after="0" w:line="240" w:lineRule="auto"/>
              <w:jc w:val="right"/>
              <w:rPr>
                <w:rFonts w:cs="Calibri"/>
                <w:color w:val="000000"/>
                <w:sz w:val="20"/>
                <w:szCs w:val="20"/>
                <w:lang w:val="en-ZA"/>
              </w:rPr>
            </w:pPr>
            <w:r>
              <w:rPr>
                <w:rFonts w:cs="Calibri"/>
                <w:color w:val="000000"/>
                <w:sz w:val="20"/>
                <w:szCs w:val="20"/>
              </w:rPr>
              <w:t>-</w:t>
            </w:r>
          </w:p>
        </w:tc>
        <w:tc>
          <w:tcPr>
            <w:tcW w:w="1134" w:type="dxa"/>
            <w:tcBorders>
              <w:top w:val="nil"/>
              <w:left w:val="nil"/>
              <w:bottom w:val="nil"/>
              <w:right w:val="nil"/>
            </w:tcBorders>
            <w:shd w:val="clear" w:color="auto" w:fill="E2EFD9"/>
            <w:noWrap/>
            <w:vAlign w:val="center"/>
          </w:tcPr>
          <w:p w14:paraId="1F159404" w14:textId="0011F6D7"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(16.421)</w:t>
            </w:r>
          </w:p>
        </w:tc>
        <w:tc>
          <w:tcPr>
            <w:tcW w:w="1134" w:type="dxa"/>
            <w:tcBorders>
              <w:top w:val="nil"/>
              <w:left w:val="nil"/>
              <w:bottom w:val="nil"/>
              <w:right w:val="nil"/>
            </w:tcBorders>
            <w:shd w:val="clear" w:color="000000" w:fill="FFFFFF"/>
            <w:noWrap/>
            <w:vAlign w:val="center"/>
          </w:tcPr>
          <w:p w14:paraId="19DC2277" w14:textId="17353AE2" w:rsidR="001B6CFB" w:rsidRPr="008414D9" w:rsidRDefault="001B6CFB" w:rsidP="001B6CFB">
            <w:pPr>
              <w:spacing w:after="0" w:line="240" w:lineRule="auto"/>
              <w:jc w:val="right"/>
              <w:rPr>
                <w:rFonts w:cs="Calibri"/>
                <w:color w:val="000000"/>
                <w:sz w:val="20"/>
                <w:szCs w:val="20"/>
                <w:lang w:val="en-GB"/>
              </w:rPr>
            </w:pPr>
            <w:r>
              <w:rPr>
                <w:rFonts w:cs="Calibri"/>
                <w:color w:val="000000"/>
                <w:sz w:val="20"/>
                <w:szCs w:val="20"/>
              </w:rPr>
              <w:t>(7.221)</w:t>
            </w:r>
          </w:p>
        </w:tc>
      </w:tr>
      <w:tr w:rsidR="001B6CFB" w:rsidRPr="008414D9" w14:paraId="53178465" w14:textId="77777777" w:rsidTr="00527AD3">
        <w:trPr>
          <w:trHeight w:val="315"/>
        </w:trPr>
        <w:tc>
          <w:tcPr>
            <w:tcW w:w="2829" w:type="dxa"/>
            <w:tcBorders>
              <w:top w:val="nil"/>
              <w:left w:val="nil"/>
              <w:bottom w:val="nil"/>
              <w:right w:val="nil"/>
            </w:tcBorders>
            <w:shd w:val="clear" w:color="000000" w:fill="FFFFFF"/>
            <w:vAlign w:val="center"/>
            <w:hideMark/>
          </w:tcPr>
          <w:p w14:paraId="300C5828" w14:textId="39EA2850" w:rsidR="001B6CFB" w:rsidRPr="008414D9" w:rsidRDefault="001B6CFB" w:rsidP="001B6CFB">
            <w:pPr>
              <w:spacing w:after="0" w:line="240" w:lineRule="auto"/>
              <w:rPr>
                <w:rFonts w:eastAsia="Times New Roman"/>
                <w:b/>
                <w:bCs/>
                <w:color w:val="000000"/>
                <w:sz w:val="20"/>
                <w:szCs w:val="20"/>
                <w:lang w:val="en-GB" w:eastAsia="el-GR"/>
              </w:rPr>
            </w:pPr>
            <w:r w:rsidRPr="008B7319">
              <w:rPr>
                <w:b/>
                <w:color w:val="000000"/>
                <w:sz w:val="20"/>
                <w:szCs w:val="20"/>
              </w:rPr>
              <w:t xml:space="preserve">Κέρδη </w:t>
            </w:r>
            <w:r w:rsidRPr="008B7319">
              <w:rPr>
                <w:rFonts w:eastAsia="Times New Roman"/>
                <w:b/>
                <w:bCs/>
                <w:color w:val="000000"/>
                <w:sz w:val="20"/>
                <w:szCs w:val="20"/>
                <w:lang w:eastAsia="el-GR"/>
              </w:rPr>
              <w:t xml:space="preserve">/ (ζημιές) </w:t>
            </w:r>
            <w:r w:rsidRPr="008B7319">
              <w:rPr>
                <w:b/>
                <w:color w:val="000000"/>
                <w:sz w:val="20"/>
                <w:szCs w:val="20"/>
              </w:rPr>
              <w:t>μετά φόρων</w:t>
            </w:r>
          </w:p>
        </w:tc>
        <w:tc>
          <w:tcPr>
            <w:tcW w:w="1134" w:type="dxa"/>
            <w:tcBorders>
              <w:top w:val="single" w:sz="4" w:space="0" w:color="auto"/>
              <w:left w:val="nil"/>
              <w:bottom w:val="single" w:sz="8" w:space="0" w:color="auto"/>
              <w:right w:val="nil"/>
            </w:tcBorders>
            <w:shd w:val="clear" w:color="auto" w:fill="E2EFD9"/>
            <w:noWrap/>
            <w:vAlign w:val="center"/>
          </w:tcPr>
          <w:p w14:paraId="649ECFB2" w14:textId="2653F758" w:rsidR="001B6CFB" w:rsidRPr="008414D9" w:rsidRDefault="001B6CFB" w:rsidP="001B6CFB">
            <w:pPr>
              <w:spacing w:after="0" w:line="240" w:lineRule="auto"/>
              <w:jc w:val="right"/>
              <w:rPr>
                <w:rFonts w:cs="Calibri"/>
                <w:b/>
                <w:bCs/>
                <w:color w:val="000000"/>
                <w:sz w:val="20"/>
                <w:szCs w:val="20"/>
                <w:lang w:val="en-GB"/>
              </w:rPr>
            </w:pPr>
            <w:r>
              <w:rPr>
                <w:rFonts w:cs="Calibri"/>
                <w:b/>
                <w:bCs/>
                <w:color w:val="000000"/>
                <w:sz w:val="20"/>
                <w:szCs w:val="20"/>
              </w:rPr>
              <w:t>35.333</w:t>
            </w:r>
          </w:p>
        </w:tc>
        <w:tc>
          <w:tcPr>
            <w:tcW w:w="926" w:type="dxa"/>
            <w:tcBorders>
              <w:top w:val="single" w:sz="4" w:space="0" w:color="auto"/>
              <w:left w:val="nil"/>
              <w:bottom w:val="single" w:sz="8" w:space="0" w:color="auto"/>
              <w:right w:val="nil"/>
            </w:tcBorders>
            <w:shd w:val="clear" w:color="000000" w:fill="FFFFFF"/>
            <w:noWrap/>
            <w:vAlign w:val="center"/>
          </w:tcPr>
          <w:p w14:paraId="3B92BF59" w14:textId="1DA3DE59" w:rsidR="001B6CFB" w:rsidRPr="008414D9" w:rsidRDefault="001B6CFB" w:rsidP="001B6CFB">
            <w:pPr>
              <w:spacing w:after="0" w:line="240" w:lineRule="auto"/>
              <w:jc w:val="right"/>
              <w:rPr>
                <w:rFonts w:cs="Calibri"/>
                <w:b/>
                <w:bCs/>
                <w:color w:val="000000"/>
                <w:sz w:val="20"/>
                <w:szCs w:val="20"/>
                <w:lang w:val="en-GB"/>
              </w:rPr>
            </w:pPr>
            <w:r>
              <w:rPr>
                <w:rFonts w:cs="Calibri"/>
                <w:b/>
                <w:bCs/>
                <w:color w:val="000000"/>
                <w:sz w:val="20"/>
                <w:szCs w:val="20"/>
              </w:rPr>
              <w:t>16.581</w:t>
            </w:r>
          </w:p>
        </w:tc>
        <w:tc>
          <w:tcPr>
            <w:tcW w:w="1030" w:type="dxa"/>
            <w:tcBorders>
              <w:top w:val="single" w:sz="4" w:space="0" w:color="auto"/>
              <w:left w:val="nil"/>
              <w:bottom w:val="single" w:sz="8" w:space="0" w:color="auto"/>
              <w:right w:val="nil"/>
            </w:tcBorders>
            <w:shd w:val="clear" w:color="auto" w:fill="E2EFD9"/>
            <w:noWrap/>
            <w:vAlign w:val="center"/>
          </w:tcPr>
          <w:p w14:paraId="07C39174" w14:textId="691BB3EE" w:rsidR="001B6CFB" w:rsidRPr="008414D9" w:rsidRDefault="001B6CFB" w:rsidP="001B6CFB">
            <w:pPr>
              <w:spacing w:after="0" w:line="240" w:lineRule="auto"/>
              <w:jc w:val="right"/>
              <w:rPr>
                <w:rFonts w:cs="Calibri"/>
                <w:b/>
                <w:bCs/>
                <w:color w:val="000000"/>
                <w:sz w:val="20"/>
                <w:szCs w:val="20"/>
                <w:lang w:val="en-GB"/>
              </w:rPr>
            </w:pPr>
            <w:r>
              <w:rPr>
                <w:rFonts w:cs="Calibri"/>
                <w:b/>
                <w:bCs/>
                <w:color w:val="000000"/>
                <w:sz w:val="20"/>
                <w:szCs w:val="20"/>
              </w:rPr>
              <w:t>2</w:t>
            </w:r>
            <w:r w:rsidR="00DF6E79">
              <w:rPr>
                <w:rFonts w:cs="Calibri"/>
                <w:b/>
                <w:bCs/>
                <w:color w:val="000000"/>
                <w:sz w:val="20"/>
                <w:szCs w:val="20"/>
              </w:rPr>
              <w:t>1</w:t>
            </w:r>
            <w:r>
              <w:rPr>
                <w:rFonts w:cs="Calibri"/>
                <w:b/>
                <w:bCs/>
                <w:color w:val="000000"/>
                <w:sz w:val="20"/>
                <w:szCs w:val="20"/>
              </w:rPr>
              <w:t>.</w:t>
            </w:r>
            <w:r w:rsidR="00DF6E79">
              <w:rPr>
                <w:rFonts w:cs="Calibri"/>
                <w:b/>
                <w:bCs/>
                <w:color w:val="000000"/>
                <w:sz w:val="20"/>
                <w:szCs w:val="20"/>
              </w:rPr>
              <w:t>554</w:t>
            </w:r>
          </w:p>
        </w:tc>
        <w:tc>
          <w:tcPr>
            <w:tcW w:w="1030" w:type="dxa"/>
            <w:tcBorders>
              <w:top w:val="nil"/>
              <w:left w:val="nil"/>
              <w:bottom w:val="single" w:sz="8" w:space="0" w:color="auto"/>
              <w:right w:val="nil"/>
            </w:tcBorders>
            <w:shd w:val="clear" w:color="000000" w:fill="FFFFFF"/>
            <w:noWrap/>
            <w:vAlign w:val="center"/>
          </w:tcPr>
          <w:p w14:paraId="74AFB3A1" w14:textId="7568E71B" w:rsidR="001B6CFB" w:rsidRPr="008414D9" w:rsidRDefault="001B6CFB" w:rsidP="001B6CFB">
            <w:pPr>
              <w:spacing w:after="0" w:line="240" w:lineRule="auto"/>
              <w:jc w:val="right"/>
              <w:rPr>
                <w:rFonts w:cs="Calibri"/>
                <w:b/>
                <w:bCs/>
                <w:color w:val="000000"/>
                <w:sz w:val="20"/>
                <w:szCs w:val="20"/>
                <w:lang w:val="en-GB"/>
              </w:rPr>
            </w:pPr>
            <w:r>
              <w:rPr>
                <w:rFonts w:cs="Calibri"/>
                <w:b/>
                <w:bCs/>
                <w:color w:val="000000"/>
                <w:sz w:val="20"/>
                <w:szCs w:val="20"/>
              </w:rPr>
              <w:t>7.344</w:t>
            </w:r>
          </w:p>
        </w:tc>
        <w:tc>
          <w:tcPr>
            <w:tcW w:w="983" w:type="dxa"/>
            <w:tcBorders>
              <w:top w:val="single" w:sz="4" w:space="0" w:color="auto"/>
              <w:left w:val="nil"/>
              <w:bottom w:val="single" w:sz="8" w:space="0" w:color="auto"/>
              <w:right w:val="nil"/>
            </w:tcBorders>
            <w:shd w:val="clear" w:color="auto" w:fill="E2EFD9"/>
            <w:noWrap/>
            <w:vAlign w:val="center"/>
          </w:tcPr>
          <w:p w14:paraId="138B12F0" w14:textId="77D452B5" w:rsidR="001B6CFB" w:rsidRPr="008414D9" w:rsidRDefault="001B6CFB" w:rsidP="001B6CFB">
            <w:pPr>
              <w:spacing w:after="0" w:line="240" w:lineRule="auto"/>
              <w:jc w:val="right"/>
              <w:rPr>
                <w:rFonts w:cs="Calibri"/>
                <w:b/>
                <w:bCs/>
                <w:color w:val="000000"/>
                <w:sz w:val="20"/>
                <w:szCs w:val="20"/>
                <w:lang w:val="en-GB"/>
              </w:rPr>
            </w:pPr>
            <w:r>
              <w:rPr>
                <w:rFonts w:cs="Calibri"/>
                <w:b/>
                <w:bCs/>
                <w:color w:val="000000"/>
                <w:sz w:val="20"/>
                <w:szCs w:val="20"/>
              </w:rPr>
              <w:t>(425)</w:t>
            </w:r>
          </w:p>
        </w:tc>
        <w:tc>
          <w:tcPr>
            <w:tcW w:w="992" w:type="dxa"/>
            <w:tcBorders>
              <w:top w:val="single" w:sz="4" w:space="0" w:color="auto"/>
              <w:left w:val="nil"/>
              <w:bottom w:val="single" w:sz="8" w:space="0" w:color="auto"/>
              <w:right w:val="nil"/>
            </w:tcBorders>
            <w:shd w:val="clear" w:color="000000" w:fill="FFFFFF"/>
            <w:noWrap/>
            <w:vAlign w:val="center"/>
          </w:tcPr>
          <w:p w14:paraId="596246F2" w14:textId="6F69C719" w:rsidR="001B6CFB" w:rsidRPr="008414D9" w:rsidRDefault="001B6CFB" w:rsidP="001B6CFB">
            <w:pPr>
              <w:spacing w:after="0" w:line="240" w:lineRule="auto"/>
              <w:jc w:val="right"/>
              <w:rPr>
                <w:rFonts w:cs="Calibri"/>
                <w:b/>
                <w:bCs/>
                <w:color w:val="000000"/>
                <w:sz w:val="20"/>
                <w:szCs w:val="20"/>
                <w:lang w:val="en-GB"/>
              </w:rPr>
            </w:pPr>
            <w:r>
              <w:rPr>
                <w:rFonts w:cs="Calibri"/>
                <w:b/>
                <w:bCs/>
                <w:color w:val="000000"/>
                <w:sz w:val="20"/>
                <w:szCs w:val="20"/>
              </w:rPr>
              <w:t>(294)</w:t>
            </w:r>
          </w:p>
        </w:tc>
        <w:tc>
          <w:tcPr>
            <w:tcW w:w="1134" w:type="dxa"/>
            <w:tcBorders>
              <w:top w:val="single" w:sz="4" w:space="0" w:color="auto"/>
              <w:left w:val="nil"/>
              <w:bottom w:val="single" w:sz="8" w:space="0" w:color="auto"/>
              <w:right w:val="nil"/>
            </w:tcBorders>
            <w:shd w:val="clear" w:color="auto" w:fill="E2EFD9"/>
            <w:noWrap/>
            <w:vAlign w:val="center"/>
          </w:tcPr>
          <w:p w14:paraId="2A488FE0" w14:textId="5A2B9833" w:rsidR="001B6CFB" w:rsidRPr="008414D9" w:rsidRDefault="001B6CFB" w:rsidP="001B6CFB">
            <w:pPr>
              <w:spacing w:after="0" w:line="240" w:lineRule="auto"/>
              <w:jc w:val="right"/>
              <w:rPr>
                <w:rFonts w:cs="Calibri"/>
                <w:b/>
                <w:bCs/>
                <w:color w:val="000000"/>
                <w:sz w:val="20"/>
                <w:szCs w:val="20"/>
                <w:lang w:val="en-GB"/>
              </w:rPr>
            </w:pPr>
            <w:r>
              <w:rPr>
                <w:rFonts w:cs="Calibri"/>
                <w:b/>
                <w:bCs/>
                <w:color w:val="000000"/>
                <w:sz w:val="20"/>
                <w:szCs w:val="20"/>
              </w:rPr>
              <w:t>56.</w:t>
            </w:r>
            <w:r w:rsidR="00DF6E79">
              <w:rPr>
                <w:rFonts w:cs="Calibri"/>
                <w:b/>
                <w:bCs/>
                <w:color w:val="000000"/>
                <w:sz w:val="20"/>
                <w:szCs w:val="20"/>
              </w:rPr>
              <w:t>463</w:t>
            </w:r>
          </w:p>
        </w:tc>
        <w:tc>
          <w:tcPr>
            <w:tcW w:w="1134" w:type="dxa"/>
            <w:tcBorders>
              <w:top w:val="single" w:sz="4" w:space="0" w:color="auto"/>
              <w:left w:val="nil"/>
              <w:bottom w:val="single" w:sz="8" w:space="0" w:color="auto"/>
              <w:right w:val="nil"/>
            </w:tcBorders>
            <w:shd w:val="clear" w:color="000000" w:fill="FFFFFF"/>
            <w:noWrap/>
            <w:vAlign w:val="center"/>
          </w:tcPr>
          <w:p w14:paraId="3CC455AC" w14:textId="31160095" w:rsidR="001B6CFB" w:rsidRPr="008414D9" w:rsidRDefault="001B6CFB" w:rsidP="001B6CFB">
            <w:pPr>
              <w:spacing w:after="0" w:line="240" w:lineRule="auto"/>
              <w:jc w:val="right"/>
              <w:rPr>
                <w:rFonts w:cs="Calibri"/>
                <w:b/>
                <w:bCs/>
                <w:color w:val="000000"/>
                <w:sz w:val="20"/>
                <w:szCs w:val="20"/>
                <w:lang w:val="en-GB"/>
              </w:rPr>
            </w:pPr>
            <w:r>
              <w:rPr>
                <w:rFonts w:cs="Calibri"/>
                <w:b/>
                <w:bCs/>
                <w:color w:val="000000"/>
                <w:sz w:val="20"/>
                <w:szCs w:val="20"/>
              </w:rPr>
              <w:t>23.631</w:t>
            </w:r>
          </w:p>
        </w:tc>
      </w:tr>
    </w:tbl>
    <w:p w14:paraId="483EF986" w14:textId="77777777" w:rsidR="005657FD" w:rsidRPr="008414D9" w:rsidRDefault="005657FD" w:rsidP="005657FD">
      <w:pPr>
        <w:autoSpaceDE w:val="0"/>
        <w:autoSpaceDN w:val="0"/>
        <w:adjustRightInd w:val="0"/>
        <w:spacing w:after="120" w:line="240" w:lineRule="auto"/>
        <w:jc w:val="both"/>
        <w:rPr>
          <w:rFonts w:cs="Calibri"/>
          <w:i/>
          <w:color w:val="000000"/>
          <w:sz w:val="16"/>
          <w:szCs w:val="20"/>
          <w:lang w:val="en-GB"/>
        </w:rPr>
      </w:pPr>
    </w:p>
    <w:p w14:paraId="5390DBB7" w14:textId="77777777" w:rsidR="001A12E5" w:rsidRPr="008414D9" w:rsidRDefault="001A12E5">
      <w:pPr>
        <w:spacing w:after="0" w:line="240" w:lineRule="auto"/>
        <w:rPr>
          <w:rFonts w:eastAsia="SimSun" w:cs="Calibri"/>
          <w:b/>
          <w:bCs/>
          <w:color w:val="4F6228"/>
          <w:sz w:val="24"/>
          <w:szCs w:val="24"/>
          <w:lang w:val="en-GB"/>
        </w:rPr>
      </w:pPr>
      <w:r w:rsidRPr="008414D9">
        <w:rPr>
          <w:rFonts w:eastAsia="SimSun" w:cs="Calibri"/>
          <w:b/>
          <w:bCs/>
          <w:color w:val="4F6228"/>
          <w:sz w:val="24"/>
          <w:szCs w:val="24"/>
          <w:lang w:val="en-GB"/>
        </w:rPr>
        <w:br w:type="page"/>
      </w:r>
    </w:p>
    <w:p w14:paraId="0F00786F" w14:textId="35ECD665" w:rsidR="002A6DCB" w:rsidRPr="006619D8" w:rsidRDefault="002A6DCB" w:rsidP="002A6DCB">
      <w:pPr>
        <w:keepNext/>
        <w:keepLines/>
        <w:spacing w:after="120" w:line="240" w:lineRule="auto"/>
        <w:jc w:val="both"/>
        <w:outlineLvl w:val="1"/>
        <w:rPr>
          <w:rFonts w:eastAsia="SimSun" w:cs="Calibri"/>
          <w:b/>
          <w:bCs/>
          <w:color w:val="4F6228"/>
          <w:sz w:val="24"/>
          <w:szCs w:val="24"/>
        </w:rPr>
      </w:pPr>
      <w:r w:rsidRPr="006619D8">
        <w:rPr>
          <w:rFonts w:eastAsia="SimSun" w:cs="Calibri"/>
          <w:b/>
          <w:bCs/>
          <w:color w:val="4F6228"/>
          <w:sz w:val="24"/>
          <w:szCs w:val="24"/>
        </w:rPr>
        <w:t xml:space="preserve">Παράρτημα </w:t>
      </w:r>
      <w:r>
        <w:rPr>
          <w:rFonts w:eastAsia="SimSun" w:cs="Calibri"/>
          <w:b/>
          <w:bCs/>
          <w:color w:val="4F6228"/>
          <w:sz w:val="24"/>
          <w:szCs w:val="24"/>
        </w:rPr>
        <w:t>Γ</w:t>
      </w:r>
      <w:r w:rsidRPr="006619D8">
        <w:rPr>
          <w:rFonts w:eastAsia="SimSun" w:cs="Calibri"/>
          <w:b/>
          <w:bCs/>
          <w:color w:val="4F6228"/>
          <w:sz w:val="24"/>
          <w:szCs w:val="24"/>
        </w:rPr>
        <w:t xml:space="preserve"> – Συνοπτική Ενοποιημένη Κατάσταση Οικονομικής Θέσης</w:t>
      </w:r>
    </w:p>
    <w:tbl>
      <w:tblPr>
        <w:tblW w:w="10206" w:type="dxa"/>
        <w:tblLook w:val="04A0" w:firstRow="1" w:lastRow="0" w:firstColumn="1" w:lastColumn="0" w:noHBand="0" w:noVBand="1"/>
      </w:tblPr>
      <w:tblGrid>
        <w:gridCol w:w="5953"/>
        <w:gridCol w:w="1985"/>
        <w:gridCol w:w="283"/>
        <w:gridCol w:w="1985"/>
      </w:tblGrid>
      <w:tr w:rsidR="002A6DCB" w:rsidRPr="00C6458F" w14:paraId="6EACEF68"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172FC697" w14:textId="77E8624D" w:rsidR="002A6DCB" w:rsidRPr="00C6458F" w:rsidRDefault="002A6DCB" w:rsidP="002A6DCB">
            <w:pPr>
              <w:spacing w:after="120" w:line="240" w:lineRule="auto"/>
              <w:jc w:val="both"/>
              <w:rPr>
                <w:rFonts w:eastAsia="Times New Roman"/>
                <w:i/>
                <w:iCs/>
                <w:color w:val="000000"/>
                <w:sz w:val="20"/>
                <w:szCs w:val="20"/>
                <w:lang w:val="en-GB" w:eastAsia="el-GR"/>
              </w:rPr>
            </w:pPr>
            <w:r w:rsidRPr="006C0543">
              <w:rPr>
                <w:i/>
                <w:color w:val="000000"/>
                <w:sz w:val="20"/>
              </w:rPr>
              <w:t>Ποσά σε χιλιάδες ευρώ</w:t>
            </w:r>
          </w:p>
        </w:tc>
        <w:tc>
          <w:tcPr>
            <w:tcW w:w="1985" w:type="dxa"/>
            <w:tcBorders>
              <w:top w:val="nil"/>
              <w:left w:val="nil"/>
              <w:bottom w:val="nil"/>
              <w:right w:val="nil"/>
            </w:tcBorders>
            <w:shd w:val="clear" w:color="000000" w:fill="FFFFFF"/>
            <w:vAlign w:val="center"/>
          </w:tcPr>
          <w:p w14:paraId="1EE25A03" w14:textId="3377724E" w:rsidR="002A6DCB" w:rsidRPr="00C6458F" w:rsidRDefault="002A6DCB" w:rsidP="002A6DCB">
            <w:pPr>
              <w:spacing w:after="120" w:line="240" w:lineRule="auto"/>
              <w:jc w:val="right"/>
              <w:rPr>
                <w:rFonts w:eastAsia="Times New Roman"/>
                <w:b/>
                <w:bCs/>
                <w:color w:val="000000"/>
                <w:sz w:val="20"/>
                <w:szCs w:val="20"/>
                <w:u w:val="single"/>
                <w:lang w:eastAsia="el-GR"/>
              </w:rPr>
            </w:pPr>
            <w:r w:rsidRPr="009259F9">
              <w:rPr>
                <w:rFonts w:eastAsia="Times New Roman"/>
                <w:b/>
                <w:bCs/>
                <w:color w:val="000000"/>
                <w:sz w:val="20"/>
                <w:szCs w:val="20"/>
                <w:u w:val="single"/>
                <w:lang w:val="en-GB" w:eastAsia="el-GR"/>
              </w:rPr>
              <w:t>3</w:t>
            </w:r>
            <w:r>
              <w:rPr>
                <w:rFonts w:eastAsia="Times New Roman"/>
                <w:b/>
                <w:bCs/>
                <w:color w:val="000000"/>
                <w:sz w:val="20"/>
                <w:szCs w:val="20"/>
                <w:u w:val="single"/>
                <w:lang w:val="en-GB" w:eastAsia="el-GR"/>
              </w:rPr>
              <w:t>0</w:t>
            </w:r>
            <w:r w:rsidRPr="009259F9">
              <w:rPr>
                <w:rFonts w:eastAsia="Times New Roman"/>
                <w:b/>
                <w:bCs/>
                <w:color w:val="000000"/>
                <w:sz w:val="20"/>
                <w:szCs w:val="20"/>
                <w:u w:val="single"/>
                <w:lang w:val="en-GB" w:eastAsia="el-GR"/>
              </w:rPr>
              <w:t xml:space="preserve"> </w:t>
            </w:r>
            <w:r>
              <w:rPr>
                <w:rFonts w:eastAsia="Times New Roman"/>
                <w:b/>
                <w:bCs/>
                <w:color w:val="000000"/>
                <w:sz w:val="20"/>
                <w:szCs w:val="20"/>
                <w:u w:val="single"/>
                <w:lang w:eastAsia="el-GR"/>
              </w:rPr>
              <w:t>Ιουνίου</w:t>
            </w:r>
            <w:r w:rsidRPr="009259F9">
              <w:rPr>
                <w:rFonts w:eastAsia="Times New Roman"/>
                <w:b/>
                <w:bCs/>
                <w:color w:val="000000"/>
                <w:sz w:val="20"/>
                <w:szCs w:val="20"/>
                <w:u w:val="single"/>
                <w:lang w:val="en-GB" w:eastAsia="el-GR"/>
              </w:rPr>
              <w:t xml:space="preserve"> </w:t>
            </w:r>
            <w:r>
              <w:rPr>
                <w:rFonts w:eastAsia="Times New Roman"/>
                <w:b/>
                <w:bCs/>
                <w:color w:val="000000"/>
                <w:sz w:val="20"/>
                <w:szCs w:val="20"/>
                <w:u w:val="single"/>
                <w:lang w:val="en-GB" w:eastAsia="el-GR"/>
              </w:rPr>
              <w:t>202</w:t>
            </w:r>
            <w:r>
              <w:rPr>
                <w:rFonts w:eastAsia="Times New Roman"/>
                <w:b/>
                <w:bCs/>
                <w:color w:val="000000"/>
                <w:sz w:val="20"/>
                <w:szCs w:val="20"/>
                <w:u w:val="single"/>
                <w:lang w:eastAsia="el-GR"/>
              </w:rPr>
              <w:t>4</w:t>
            </w:r>
            <w:r>
              <w:rPr>
                <w:rFonts w:eastAsia="Times New Roman"/>
                <w:b/>
                <w:bCs/>
                <w:color w:val="000000"/>
                <w:sz w:val="20"/>
                <w:szCs w:val="20"/>
                <w:u w:val="single"/>
                <w:lang w:val="en-GB" w:eastAsia="el-GR"/>
              </w:rPr>
              <w:t xml:space="preserve"> 202302</w:t>
            </w:r>
            <w:r>
              <w:rPr>
                <w:rFonts w:eastAsia="Times New Roman"/>
                <w:b/>
                <w:bCs/>
                <w:color w:val="000000"/>
                <w:sz w:val="20"/>
                <w:szCs w:val="20"/>
                <w:u w:val="single"/>
                <w:lang w:val="en-US" w:eastAsia="el-GR"/>
              </w:rPr>
              <w:t>2</w:t>
            </w:r>
          </w:p>
        </w:tc>
        <w:tc>
          <w:tcPr>
            <w:tcW w:w="283" w:type="dxa"/>
            <w:tcBorders>
              <w:top w:val="nil"/>
              <w:left w:val="nil"/>
              <w:bottom w:val="nil"/>
              <w:right w:val="nil"/>
            </w:tcBorders>
            <w:shd w:val="clear" w:color="000000" w:fill="FFFFFF"/>
            <w:vAlign w:val="center"/>
          </w:tcPr>
          <w:p w14:paraId="6CA3DFAE" w14:textId="77777777" w:rsidR="002A6DCB" w:rsidRPr="00C6458F" w:rsidRDefault="002A6DCB" w:rsidP="002A6DCB">
            <w:pPr>
              <w:spacing w:after="120" w:line="240" w:lineRule="auto"/>
              <w:jc w:val="right"/>
              <w:rPr>
                <w:rFonts w:eastAsia="Times New Roman"/>
                <w:b/>
                <w:bCs/>
                <w:color w:val="000000"/>
                <w:sz w:val="20"/>
                <w:szCs w:val="20"/>
                <w:u w:val="single"/>
                <w:lang w:val="en-GB" w:eastAsia="el-GR"/>
              </w:rPr>
            </w:pPr>
          </w:p>
        </w:tc>
        <w:tc>
          <w:tcPr>
            <w:tcW w:w="1985" w:type="dxa"/>
            <w:tcBorders>
              <w:top w:val="nil"/>
              <w:left w:val="nil"/>
              <w:bottom w:val="nil"/>
              <w:right w:val="nil"/>
            </w:tcBorders>
            <w:shd w:val="clear" w:color="000000" w:fill="FFFFFF"/>
            <w:vAlign w:val="center"/>
          </w:tcPr>
          <w:p w14:paraId="65C9180F" w14:textId="7A201CA3" w:rsidR="002A6DCB" w:rsidRPr="009C6DB6" w:rsidRDefault="002A6DCB" w:rsidP="002A6DCB">
            <w:pPr>
              <w:spacing w:after="120" w:line="240" w:lineRule="auto"/>
              <w:jc w:val="right"/>
              <w:rPr>
                <w:rFonts w:eastAsia="Times New Roman"/>
                <w:b/>
                <w:bCs/>
                <w:color w:val="000000"/>
                <w:sz w:val="20"/>
                <w:szCs w:val="20"/>
                <w:u w:val="single"/>
                <w:lang w:val="en-US" w:eastAsia="el-GR"/>
              </w:rPr>
            </w:pPr>
            <w:r w:rsidRPr="009259F9">
              <w:rPr>
                <w:rFonts w:eastAsia="Times New Roman"/>
                <w:b/>
                <w:bCs/>
                <w:color w:val="000000"/>
                <w:sz w:val="20"/>
                <w:szCs w:val="20"/>
                <w:u w:val="single"/>
                <w:lang w:val="en-GB" w:eastAsia="el-GR"/>
              </w:rPr>
              <w:t xml:space="preserve">31 </w:t>
            </w:r>
            <w:r>
              <w:rPr>
                <w:rFonts w:eastAsia="Times New Roman"/>
                <w:b/>
                <w:bCs/>
                <w:color w:val="000000"/>
                <w:sz w:val="20"/>
                <w:szCs w:val="20"/>
                <w:u w:val="single"/>
                <w:lang w:eastAsia="el-GR"/>
              </w:rPr>
              <w:t>Δεκεμβρίου</w:t>
            </w:r>
            <w:r w:rsidR="009C6DB6">
              <w:rPr>
                <w:rFonts w:eastAsia="Times New Roman"/>
                <w:b/>
                <w:bCs/>
                <w:color w:val="000000"/>
                <w:sz w:val="20"/>
                <w:szCs w:val="20"/>
                <w:u w:val="single"/>
                <w:lang w:val="en-US" w:eastAsia="el-GR"/>
              </w:rPr>
              <w:t xml:space="preserve"> 2023</w:t>
            </w:r>
          </w:p>
        </w:tc>
      </w:tr>
      <w:tr w:rsidR="002A6DCB" w:rsidRPr="00C6458F" w14:paraId="663388CA"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7B696190" w14:textId="1545C539" w:rsidR="002A6DCB" w:rsidRPr="00C6458F" w:rsidRDefault="002A6DCB" w:rsidP="002A6DCB">
            <w:pPr>
              <w:spacing w:after="120" w:line="240" w:lineRule="auto"/>
              <w:jc w:val="both"/>
              <w:rPr>
                <w:rFonts w:eastAsia="Times New Roman"/>
                <w:b/>
                <w:bCs/>
                <w:sz w:val="20"/>
                <w:szCs w:val="20"/>
                <w:lang w:val="en-GB" w:eastAsia="el-GR"/>
              </w:rPr>
            </w:pPr>
            <w:r w:rsidRPr="006C0543">
              <w:rPr>
                <w:b/>
                <w:color w:val="000000"/>
                <w:sz w:val="20"/>
              </w:rPr>
              <w:t>ΕΝΕΡΓΗΤΙΚΟ</w:t>
            </w:r>
          </w:p>
        </w:tc>
        <w:tc>
          <w:tcPr>
            <w:tcW w:w="1985" w:type="dxa"/>
            <w:tcBorders>
              <w:top w:val="nil"/>
              <w:left w:val="nil"/>
              <w:bottom w:val="nil"/>
              <w:right w:val="nil"/>
            </w:tcBorders>
            <w:shd w:val="clear" w:color="auto" w:fill="E2EFD9"/>
            <w:noWrap/>
            <w:vAlign w:val="bottom"/>
          </w:tcPr>
          <w:p w14:paraId="14D0CA06" w14:textId="77777777" w:rsidR="002A6DCB" w:rsidRPr="00C6458F" w:rsidRDefault="002A6DCB" w:rsidP="002A6DCB">
            <w:pPr>
              <w:spacing w:after="120" w:line="240" w:lineRule="auto"/>
              <w:jc w:val="both"/>
              <w:rPr>
                <w:rFonts w:eastAsia="Times New Roman"/>
                <w:color w:val="000000"/>
                <w:sz w:val="20"/>
                <w:szCs w:val="20"/>
                <w:lang w:val="en-GB" w:eastAsia="el-GR"/>
              </w:rPr>
            </w:pPr>
          </w:p>
        </w:tc>
        <w:tc>
          <w:tcPr>
            <w:tcW w:w="283" w:type="dxa"/>
            <w:tcBorders>
              <w:top w:val="nil"/>
              <w:left w:val="nil"/>
              <w:bottom w:val="nil"/>
              <w:right w:val="nil"/>
            </w:tcBorders>
            <w:shd w:val="clear" w:color="auto" w:fill="auto"/>
            <w:noWrap/>
            <w:vAlign w:val="bottom"/>
          </w:tcPr>
          <w:p w14:paraId="28E313A2" w14:textId="77777777" w:rsidR="002A6DCB" w:rsidRPr="00C6458F" w:rsidRDefault="002A6DCB" w:rsidP="002A6DCB">
            <w:pPr>
              <w:spacing w:after="120" w:line="240" w:lineRule="auto"/>
              <w:jc w:val="both"/>
              <w:rPr>
                <w:rFonts w:eastAsia="Times New Roman"/>
                <w:color w:val="000000"/>
                <w:sz w:val="20"/>
                <w:szCs w:val="20"/>
                <w:lang w:val="en-GB" w:eastAsia="el-GR"/>
              </w:rPr>
            </w:pPr>
          </w:p>
        </w:tc>
        <w:tc>
          <w:tcPr>
            <w:tcW w:w="1985" w:type="dxa"/>
            <w:tcBorders>
              <w:top w:val="nil"/>
              <w:left w:val="nil"/>
              <w:bottom w:val="nil"/>
              <w:right w:val="nil"/>
            </w:tcBorders>
            <w:shd w:val="clear" w:color="auto" w:fill="auto"/>
            <w:noWrap/>
            <w:vAlign w:val="bottom"/>
          </w:tcPr>
          <w:p w14:paraId="2A750452" w14:textId="77777777" w:rsidR="002A6DCB" w:rsidRPr="00C6458F" w:rsidRDefault="002A6DCB" w:rsidP="002A6DCB">
            <w:pPr>
              <w:spacing w:after="120" w:line="240" w:lineRule="auto"/>
              <w:jc w:val="both"/>
              <w:rPr>
                <w:rFonts w:eastAsia="Times New Roman"/>
                <w:color w:val="000000"/>
                <w:sz w:val="20"/>
                <w:szCs w:val="20"/>
                <w:lang w:val="en-GB" w:eastAsia="el-GR"/>
              </w:rPr>
            </w:pPr>
          </w:p>
        </w:tc>
      </w:tr>
      <w:tr w:rsidR="002A6DCB" w:rsidRPr="00C6458F" w14:paraId="4FCFD194" w14:textId="77777777" w:rsidTr="009C6DB6">
        <w:trPr>
          <w:trHeight w:hRule="exact" w:val="255"/>
        </w:trPr>
        <w:tc>
          <w:tcPr>
            <w:tcW w:w="5953" w:type="dxa"/>
            <w:tcBorders>
              <w:top w:val="nil"/>
              <w:left w:val="nil"/>
              <w:bottom w:val="nil"/>
              <w:right w:val="nil"/>
            </w:tcBorders>
            <w:shd w:val="clear" w:color="000000" w:fill="FFFFFF"/>
            <w:noWrap/>
            <w:vAlign w:val="bottom"/>
            <w:hideMark/>
          </w:tcPr>
          <w:p w14:paraId="6213A6C4" w14:textId="4ADBE860" w:rsidR="002A6DCB" w:rsidRPr="00C6458F" w:rsidRDefault="002A6DCB" w:rsidP="002A6DCB">
            <w:pPr>
              <w:spacing w:after="120" w:line="240" w:lineRule="auto"/>
              <w:jc w:val="both"/>
              <w:rPr>
                <w:rFonts w:eastAsia="Times New Roman"/>
                <w:b/>
                <w:bCs/>
                <w:sz w:val="20"/>
                <w:szCs w:val="20"/>
                <w:lang w:val="en-GB" w:eastAsia="el-GR"/>
              </w:rPr>
            </w:pPr>
            <w:r w:rsidRPr="006C0543">
              <w:rPr>
                <w:b/>
                <w:color w:val="000000"/>
                <w:sz w:val="20"/>
              </w:rPr>
              <w:t>Μη κυκλοφορούν ενεργητικό</w:t>
            </w:r>
          </w:p>
        </w:tc>
        <w:tc>
          <w:tcPr>
            <w:tcW w:w="1985" w:type="dxa"/>
            <w:tcBorders>
              <w:top w:val="nil"/>
              <w:left w:val="nil"/>
              <w:bottom w:val="nil"/>
              <w:right w:val="nil"/>
            </w:tcBorders>
            <w:shd w:val="clear" w:color="auto" w:fill="E2EFD9"/>
            <w:noWrap/>
            <w:vAlign w:val="bottom"/>
          </w:tcPr>
          <w:p w14:paraId="26F190EF" w14:textId="77777777" w:rsidR="002A6DCB" w:rsidRPr="00C6458F" w:rsidRDefault="002A6DCB" w:rsidP="002A6DCB">
            <w:pPr>
              <w:spacing w:after="120" w:line="240" w:lineRule="auto"/>
              <w:jc w:val="both"/>
              <w:rPr>
                <w:rFonts w:eastAsia="Times New Roman"/>
                <w:color w:val="000000"/>
                <w:sz w:val="20"/>
                <w:szCs w:val="20"/>
                <w:lang w:val="en-GB" w:eastAsia="el-GR"/>
              </w:rPr>
            </w:pPr>
          </w:p>
        </w:tc>
        <w:tc>
          <w:tcPr>
            <w:tcW w:w="283" w:type="dxa"/>
            <w:tcBorders>
              <w:top w:val="nil"/>
              <w:left w:val="nil"/>
              <w:bottom w:val="nil"/>
              <w:right w:val="nil"/>
            </w:tcBorders>
            <w:shd w:val="clear" w:color="auto" w:fill="auto"/>
            <w:noWrap/>
            <w:vAlign w:val="bottom"/>
          </w:tcPr>
          <w:p w14:paraId="1C51F199" w14:textId="77777777" w:rsidR="002A6DCB" w:rsidRPr="00C6458F" w:rsidRDefault="002A6DCB" w:rsidP="002A6DCB">
            <w:pPr>
              <w:spacing w:after="120" w:line="240" w:lineRule="auto"/>
              <w:jc w:val="both"/>
              <w:rPr>
                <w:rFonts w:eastAsia="Times New Roman"/>
                <w:color w:val="000000"/>
                <w:sz w:val="20"/>
                <w:szCs w:val="20"/>
                <w:lang w:val="en-GB" w:eastAsia="el-GR"/>
              </w:rPr>
            </w:pPr>
          </w:p>
        </w:tc>
        <w:tc>
          <w:tcPr>
            <w:tcW w:w="1985" w:type="dxa"/>
            <w:tcBorders>
              <w:top w:val="nil"/>
              <w:left w:val="nil"/>
              <w:bottom w:val="nil"/>
              <w:right w:val="nil"/>
            </w:tcBorders>
            <w:shd w:val="clear" w:color="auto" w:fill="auto"/>
            <w:noWrap/>
            <w:vAlign w:val="bottom"/>
          </w:tcPr>
          <w:p w14:paraId="0EAE4D15" w14:textId="77777777" w:rsidR="002A6DCB" w:rsidRPr="00C6458F" w:rsidRDefault="002A6DCB" w:rsidP="002A6DCB">
            <w:pPr>
              <w:spacing w:after="120" w:line="240" w:lineRule="auto"/>
              <w:jc w:val="both"/>
              <w:rPr>
                <w:rFonts w:eastAsia="Times New Roman"/>
                <w:color w:val="000000"/>
                <w:sz w:val="20"/>
                <w:szCs w:val="20"/>
                <w:lang w:val="en-GB" w:eastAsia="el-GR"/>
              </w:rPr>
            </w:pPr>
          </w:p>
        </w:tc>
      </w:tr>
      <w:tr w:rsidR="002A6DCB" w:rsidRPr="00C6458F" w14:paraId="6A284B6F" w14:textId="77777777" w:rsidTr="009C6DB6">
        <w:trPr>
          <w:trHeight w:hRule="exact" w:val="255"/>
        </w:trPr>
        <w:tc>
          <w:tcPr>
            <w:tcW w:w="5953" w:type="dxa"/>
            <w:tcBorders>
              <w:top w:val="nil"/>
              <w:left w:val="nil"/>
              <w:bottom w:val="nil"/>
              <w:right w:val="nil"/>
            </w:tcBorders>
            <w:shd w:val="clear" w:color="000000" w:fill="FFFFFF"/>
            <w:noWrap/>
            <w:vAlign w:val="bottom"/>
            <w:hideMark/>
          </w:tcPr>
          <w:p w14:paraId="72A80862" w14:textId="371FDB14" w:rsidR="002A6DCB" w:rsidRPr="00C6458F" w:rsidRDefault="002A6DCB" w:rsidP="002A6DCB">
            <w:pPr>
              <w:spacing w:after="120" w:line="240" w:lineRule="auto"/>
              <w:jc w:val="both"/>
              <w:rPr>
                <w:rFonts w:eastAsia="Times New Roman"/>
                <w:sz w:val="20"/>
                <w:szCs w:val="20"/>
                <w:lang w:val="en-GB" w:eastAsia="el-GR"/>
              </w:rPr>
            </w:pPr>
            <w:r w:rsidRPr="006C0543">
              <w:rPr>
                <w:sz w:val="20"/>
              </w:rPr>
              <w:t>Ενσώματα πάγια στοιχεία</w:t>
            </w:r>
          </w:p>
        </w:tc>
        <w:tc>
          <w:tcPr>
            <w:tcW w:w="1985" w:type="dxa"/>
            <w:tcBorders>
              <w:top w:val="nil"/>
              <w:left w:val="nil"/>
              <w:bottom w:val="nil"/>
              <w:right w:val="nil"/>
            </w:tcBorders>
            <w:shd w:val="clear" w:color="auto" w:fill="E2EFD9"/>
            <w:noWrap/>
            <w:vAlign w:val="bottom"/>
          </w:tcPr>
          <w:p w14:paraId="33568DD7" w14:textId="31A37015"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736.470</w:t>
            </w:r>
          </w:p>
        </w:tc>
        <w:tc>
          <w:tcPr>
            <w:tcW w:w="283" w:type="dxa"/>
            <w:tcBorders>
              <w:top w:val="nil"/>
              <w:left w:val="nil"/>
              <w:bottom w:val="nil"/>
              <w:right w:val="nil"/>
            </w:tcBorders>
            <w:shd w:val="clear" w:color="auto" w:fill="auto"/>
            <w:noWrap/>
            <w:vAlign w:val="bottom"/>
          </w:tcPr>
          <w:p w14:paraId="1A8C3CDC"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11078FE7" w14:textId="70AE502C"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627</w:t>
            </w:r>
            <w:r>
              <w:rPr>
                <w:rFonts w:cs="Calibri"/>
                <w:color w:val="000000"/>
                <w:sz w:val="20"/>
                <w:szCs w:val="20"/>
              </w:rPr>
              <w:t>.</w:t>
            </w:r>
            <w:r w:rsidRPr="00C6458F">
              <w:rPr>
                <w:rFonts w:cs="Calibri"/>
                <w:color w:val="000000"/>
                <w:sz w:val="20"/>
                <w:szCs w:val="20"/>
                <w:lang w:val="en-GB"/>
              </w:rPr>
              <w:t>459</w:t>
            </w:r>
          </w:p>
        </w:tc>
      </w:tr>
      <w:tr w:rsidR="002A6DCB" w:rsidRPr="00C6458F" w14:paraId="6E1003B6" w14:textId="77777777" w:rsidTr="009C6DB6">
        <w:trPr>
          <w:trHeight w:hRule="exact" w:val="255"/>
        </w:trPr>
        <w:tc>
          <w:tcPr>
            <w:tcW w:w="5953" w:type="dxa"/>
            <w:tcBorders>
              <w:top w:val="nil"/>
              <w:left w:val="nil"/>
              <w:bottom w:val="nil"/>
              <w:right w:val="nil"/>
            </w:tcBorders>
            <w:shd w:val="clear" w:color="000000" w:fill="FFFFFF"/>
            <w:noWrap/>
            <w:vAlign w:val="bottom"/>
          </w:tcPr>
          <w:p w14:paraId="26E2DC35" w14:textId="784B0D0D" w:rsidR="002A6DCB" w:rsidRPr="00C6458F" w:rsidRDefault="002A6DCB" w:rsidP="002A6DCB">
            <w:pPr>
              <w:spacing w:after="120" w:line="240" w:lineRule="auto"/>
              <w:jc w:val="both"/>
              <w:rPr>
                <w:rFonts w:eastAsia="Times New Roman"/>
                <w:sz w:val="20"/>
                <w:szCs w:val="20"/>
                <w:lang w:val="en-GB" w:eastAsia="el-GR"/>
              </w:rPr>
            </w:pPr>
            <w:r w:rsidRPr="006C0543">
              <w:rPr>
                <w:sz w:val="20"/>
              </w:rPr>
              <w:t>Δικαιώματα χρήσης περιουσιακών στοιχείων</w:t>
            </w:r>
          </w:p>
        </w:tc>
        <w:tc>
          <w:tcPr>
            <w:tcW w:w="1985" w:type="dxa"/>
            <w:tcBorders>
              <w:top w:val="nil"/>
              <w:left w:val="nil"/>
              <w:bottom w:val="nil"/>
              <w:right w:val="nil"/>
            </w:tcBorders>
            <w:shd w:val="clear" w:color="auto" w:fill="E2EFD9"/>
            <w:noWrap/>
            <w:vAlign w:val="bottom"/>
          </w:tcPr>
          <w:p w14:paraId="6826B2E5" w14:textId="039A56F5"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8.648</w:t>
            </w:r>
          </w:p>
        </w:tc>
        <w:tc>
          <w:tcPr>
            <w:tcW w:w="283" w:type="dxa"/>
            <w:tcBorders>
              <w:top w:val="nil"/>
              <w:left w:val="nil"/>
              <w:bottom w:val="nil"/>
              <w:right w:val="nil"/>
            </w:tcBorders>
            <w:shd w:val="clear" w:color="auto" w:fill="auto"/>
            <w:noWrap/>
            <w:vAlign w:val="bottom"/>
          </w:tcPr>
          <w:p w14:paraId="2FA9ECA2"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tcPr>
          <w:p w14:paraId="24E7DCD8" w14:textId="30FA4A6E"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8</w:t>
            </w:r>
            <w:r>
              <w:rPr>
                <w:rFonts w:cs="Calibri"/>
                <w:color w:val="000000"/>
                <w:sz w:val="20"/>
                <w:szCs w:val="20"/>
              </w:rPr>
              <w:t>.</w:t>
            </w:r>
            <w:r w:rsidRPr="00C6458F">
              <w:rPr>
                <w:rFonts w:cs="Calibri"/>
                <w:color w:val="000000"/>
                <w:sz w:val="20"/>
                <w:szCs w:val="20"/>
                <w:lang w:val="en-GB"/>
              </w:rPr>
              <w:t>599</w:t>
            </w:r>
          </w:p>
        </w:tc>
      </w:tr>
      <w:tr w:rsidR="002A6DCB" w:rsidRPr="00C6458F" w14:paraId="457B7FCE" w14:textId="77777777" w:rsidTr="009C6DB6">
        <w:trPr>
          <w:trHeight w:hRule="exact" w:val="255"/>
        </w:trPr>
        <w:tc>
          <w:tcPr>
            <w:tcW w:w="5953" w:type="dxa"/>
            <w:tcBorders>
              <w:top w:val="nil"/>
              <w:left w:val="nil"/>
              <w:bottom w:val="nil"/>
              <w:right w:val="nil"/>
            </w:tcBorders>
            <w:shd w:val="clear" w:color="000000" w:fill="FFFFFF"/>
            <w:noWrap/>
            <w:vAlign w:val="bottom"/>
            <w:hideMark/>
          </w:tcPr>
          <w:p w14:paraId="776B54A0" w14:textId="35417E28" w:rsidR="002A6DCB" w:rsidRPr="00C6458F" w:rsidRDefault="002A6DCB" w:rsidP="002A6DCB">
            <w:pPr>
              <w:spacing w:after="120" w:line="240" w:lineRule="auto"/>
              <w:jc w:val="both"/>
              <w:rPr>
                <w:rFonts w:eastAsia="Times New Roman"/>
                <w:sz w:val="20"/>
                <w:szCs w:val="20"/>
                <w:lang w:val="en-GB" w:eastAsia="el-GR"/>
              </w:rPr>
            </w:pPr>
            <w:r w:rsidRPr="006C0543">
              <w:rPr>
                <w:sz w:val="20"/>
              </w:rPr>
              <w:t xml:space="preserve">Άυλα περιουσιακά στοιχεία </w:t>
            </w:r>
          </w:p>
        </w:tc>
        <w:tc>
          <w:tcPr>
            <w:tcW w:w="1985" w:type="dxa"/>
            <w:tcBorders>
              <w:top w:val="nil"/>
              <w:left w:val="nil"/>
              <w:bottom w:val="nil"/>
              <w:right w:val="nil"/>
            </w:tcBorders>
            <w:shd w:val="clear" w:color="auto" w:fill="E2EFD9"/>
            <w:noWrap/>
            <w:vAlign w:val="bottom"/>
          </w:tcPr>
          <w:p w14:paraId="6B9A7389" w14:textId="42EFF78B"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34.772</w:t>
            </w:r>
          </w:p>
        </w:tc>
        <w:tc>
          <w:tcPr>
            <w:tcW w:w="283" w:type="dxa"/>
            <w:tcBorders>
              <w:top w:val="nil"/>
              <w:left w:val="nil"/>
              <w:bottom w:val="nil"/>
              <w:right w:val="nil"/>
            </w:tcBorders>
            <w:shd w:val="clear" w:color="auto" w:fill="auto"/>
            <w:noWrap/>
            <w:vAlign w:val="bottom"/>
          </w:tcPr>
          <w:p w14:paraId="1F4F40E3"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3E791084" w14:textId="3E395774"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36</w:t>
            </w:r>
            <w:r>
              <w:rPr>
                <w:rFonts w:cs="Calibri"/>
                <w:color w:val="000000"/>
                <w:sz w:val="20"/>
                <w:szCs w:val="20"/>
              </w:rPr>
              <w:t>.</w:t>
            </w:r>
            <w:r w:rsidRPr="00C6458F">
              <w:rPr>
                <w:rFonts w:cs="Calibri"/>
                <w:color w:val="000000"/>
                <w:sz w:val="20"/>
                <w:szCs w:val="20"/>
                <w:lang w:val="en-GB"/>
              </w:rPr>
              <w:t>191</w:t>
            </w:r>
          </w:p>
        </w:tc>
      </w:tr>
      <w:tr w:rsidR="002A6DCB" w:rsidRPr="00C6458F" w14:paraId="1DE52151" w14:textId="77777777" w:rsidTr="009C6DB6">
        <w:trPr>
          <w:trHeight w:hRule="exact" w:val="255"/>
        </w:trPr>
        <w:tc>
          <w:tcPr>
            <w:tcW w:w="5953" w:type="dxa"/>
            <w:tcBorders>
              <w:top w:val="nil"/>
              <w:left w:val="nil"/>
              <w:bottom w:val="nil"/>
              <w:right w:val="nil"/>
            </w:tcBorders>
            <w:shd w:val="clear" w:color="000000" w:fill="FFFFFF"/>
            <w:noWrap/>
            <w:vAlign w:val="bottom"/>
            <w:hideMark/>
          </w:tcPr>
          <w:p w14:paraId="2DE2D23C" w14:textId="68EB7A64" w:rsidR="002A6DCB" w:rsidRPr="00C6458F" w:rsidRDefault="002A6DCB" w:rsidP="002A6DCB">
            <w:pPr>
              <w:spacing w:after="120" w:line="240" w:lineRule="auto"/>
              <w:jc w:val="both"/>
              <w:rPr>
                <w:rFonts w:eastAsia="Times New Roman"/>
                <w:sz w:val="20"/>
                <w:szCs w:val="20"/>
                <w:lang w:val="en-GB" w:eastAsia="el-GR"/>
              </w:rPr>
            </w:pPr>
            <w:r w:rsidRPr="006C0543">
              <w:rPr>
                <w:sz w:val="20"/>
              </w:rPr>
              <w:t>Επενδύσεις σε ακίνητα</w:t>
            </w:r>
          </w:p>
        </w:tc>
        <w:tc>
          <w:tcPr>
            <w:tcW w:w="1985" w:type="dxa"/>
            <w:tcBorders>
              <w:top w:val="nil"/>
              <w:left w:val="nil"/>
              <w:bottom w:val="nil"/>
              <w:right w:val="nil"/>
            </w:tcBorders>
            <w:shd w:val="clear" w:color="auto" w:fill="E2EFD9"/>
            <w:noWrap/>
            <w:vAlign w:val="bottom"/>
          </w:tcPr>
          <w:p w14:paraId="71A81DD0" w14:textId="699B9B15"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155</w:t>
            </w:r>
          </w:p>
        </w:tc>
        <w:tc>
          <w:tcPr>
            <w:tcW w:w="283" w:type="dxa"/>
            <w:tcBorders>
              <w:top w:val="nil"/>
              <w:left w:val="nil"/>
              <w:bottom w:val="nil"/>
              <w:right w:val="nil"/>
            </w:tcBorders>
            <w:shd w:val="clear" w:color="auto" w:fill="auto"/>
            <w:noWrap/>
            <w:vAlign w:val="bottom"/>
          </w:tcPr>
          <w:p w14:paraId="598CA27B"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03423482" w14:textId="393313DC"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155</w:t>
            </w:r>
          </w:p>
        </w:tc>
      </w:tr>
      <w:tr w:rsidR="002A6DCB" w:rsidRPr="00C6458F" w14:paraId="3732048B" w14:textId="77777777" w:rsidTr="009C6DB6">
        <w:trPr>
          <w:trHeight w:hRule="exact" w:val="255"/>
        </w:trPr>
        <w:tc>
          <w:tcPr>
            <w:tcW w:w="5953" w:type="dxa"/>
            <w:tcBorders>
              <w:top w:val="nil"/>
              <w:left w:val="nil"/>
              <w:bottom w:val="nil"/>
              <w:right w:val="nil"/>
            </w:tcBorders>
            <w:shd w:val="clear" w:color="000000" w:fill="FFFFFF"/>
            <w:noWrap/>
            <w:vAlign w:val="bottom"/>
            <w:hideMark/>
          </w:tcPr>
          <w:p w14:paraId="7A3BDBD8" w14:textId="56BD81B9" w:rsidR="002A6DCB" w:rsidRPr="00C6458F" w:rsidRDefault="002A6DCB" w:rsidP="002A6DCB">
            <w:pPr>
              <w:spacing w:after="120" w:line="240" w:lineRule="auto"/>
              <w:jc w:val="both"/>
              <w:rPr>
                <w:rFonts w:eastAsia="Times New Roman"/>
                <w:sz w:val="20"/>
                <w:szCs w:val="20"/>
                <w:lang w:val="en-GB" w:eastAsia="el-GR"/>
              </w:rPr>
            </w:pPr>
            <w:r w:rsidRPr="006C0543">
              <w:rPr>
                <w:sz w:val="20"/>
              </w:rPr>
              <w:t>Συμμετοχές σε συγγενείς επιχειρήσεις</w:t>
            </w:r>
          </w:p>
        </w:tc>
        <w:tc>
          <w:tcPr>
            <w:tcW w:w="1985" w:type="dxa"/>
            <w:tcBorders>
              <w:top w:val="nil"/>
              <w:left w:val="nil"/>
              <w:bottom w:val="nil"/>
              <w:right w:val="nil"/>
            </w:tcBorders>
            <w:shd w:val="clear" w:color="auto" w:fill="E2EFD9"/>
            <w:noWrap/>
            <w:vAlign w:val="bottom"/>
          </w:tcPr>
          <w:p w14:paraId="656DDFE2" w14:textId="7710585C"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31.641</w:t>
            </w:r>
          </w:p>
        </w:tc>
        <w:tc>
          <w:tcPr>
            <w:tcW w:w="283" w:type="dxa"/>
            <w:tcBorders>
              <w:top w:val="nil"/>
              <w:left w:val="nil"/>
              <w:bottom w:val="nil"/>
              <w:right w:val="nil"/>
            </w:tcBorders>
            <w:shd w:val="clear" w:color="auto" w:fill="auto"/>
            <w:noWrap/>
            <w:vAlign w:val="bottom"/>
          </w:tcPr>
          <w:p w14:paraId="4332C907"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0E56E8EA" w14:textId="09E59BBB"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34</w:t>
            </w:r>
            <w:r>
              <w:rPr>
                <w:rFonts w:cs="Calibri"/>
                <w:color w:val="000000"/>
                <w:sz w:val="20"/>
                <w:szCs w:val="20"/>
              </w:rPr>
              <w:t>.</w:t>
            </w:r>
            <w:r w:rsidRPr="00C6458F">
              <w:rPr>
                <w:rFonts w:cs="Calibri"/>
                <w:color w:val="000000"/>
                <w:sz w:val="20"/>
                <w:szCs w:val="20"/>
                <w:lang w:val="en-GB"/>
              </w:rPr>
              <w:t>202</w:t>
            </w:r>
          </w:p>
        </w:tc>
      </w:tr>
      <w:tr w:rsidR="002A6DCB" w:rsidRPr="00C6458F" w14:paraId="35CCDFB8" w14:textId="77777777" w:rsidTr="009C6DB6">
        <w:trPr>
          <w:trHeight w:hRule="exact" w:val="255"/>
        </w:trPr>
        <w:tc>
          <w:tcPr>
            <w:tcW w:w="5953" w:type="dxa"/>
            <w:tcBorders>
              <w:top w:val="nil"/>
              <w:left w:val="nil"/>
              <w:bottom w:val="nil"/>
              <w:right w:val="nil"/>
            </w:tcBorders>
            <w:shd w:val="clear" w:color="000000" w:fill="FFFFFF"/>
            <w:noWrap/>
            <w:vAlign w:val="bottom"/>
            <w:hideMark/>
          </w:tcPr>
          <w:p w14:paraId="14E5106E" w14:textId="40DECB72" w:rsidR="002A6DCB" w:rsidRPr="00C6458F" w:rsidRDefault="002A6DCB" w:rsidP="002A6DCB">
            <w:pPr>
              <w:spacing w:after="120" w:line="240" w:lineRule="auto"/>
              <w:jc w:val="both"/>
              <w:rPr>
                <w:rFonts w:eastAsia="Times New Roman"/>
                <w:sz w:val="20"/>
                <w:szCs w:val="20"/>
                <w:lang w:val="en-GB" w:eastAsia="el-GR"/>
              </w:rPr>
            </w:pPr>
            <w:r w:rsidRPr="006C0543">
              <w:rPr>
                <w:sz w:val="20"/>
              </w:rPr>
              <w:t>Λοιπές επενδύσεις</w:t>
            </w:r>
          </w:p>
        </w:tc>
        <w:tc>
          <w:tcPr>
            <w:tcW w:w="1985" w:type="dxa"/>
            <w:tcBorders>
              <w:top w:val="nil"/>
              <w:left w:val="nil"/>
              <w:bottom w:val="nil"/>
              <w:right w:val="nil"/>
            </w:tcBorders>
            <w:shd w:val="clear" w:color="auto" w:fill="E2EFD9"/>
            <w:noWrap/>
            <w:vAlign w:val="bottom"/>
          </w:tcPr>
          <w:p w14:paraId="32B40DD3" w14:textId="20C83CCA"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5.223</w:t>
            </w:r>
          </w:p>
        </w:tc>
        <w:tc>
          <w:tcPr>
            <w:tcW w:w="283" w:type="dxa"/>
            <w:tcBorders>
              <w:top w:val="nil"/>
              <w:left w:val="nil"/>
              <w:bottom w:val="nil"/>
              <w:right w:val="nil"/>
            </w:tcBorders>
            <w:shd w:val="clear" w:color="auto" w:fill="auto"/>
            <w:noWrap/>
            <w:vAlign w:val="bottom"/>
          </w:tcPr>
          <w:p w14:paraId="40832487"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021D36D3" w14:textId="740A7F2E"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6</w:t>
            </w:r>
            <w:r>
              <w:rPr>
                <w:rFonts w:cs="Calibri"/>
                <w:color w:val="000000"/>
                <w:sz w:val="20"/>
                <w:szCs w:val="20"/>
              </w:rPr>
              <w:t>.</w:t>
            </w:r>
            <w:r w:rsidRPr="00C6458F">
              <w:rPr>
                <w:rFonts w:cs="Calibri"/>
                <w:color w:val="000000"/>
                <w:sz w:val="20"/>
                <w:szCs w:val="20"/>
                <w:lang w:val="en-GB"/>
              </w:rPr>
              <w:t>883</w:t>
            </w:r>
          </w:p>
        </w:tc>
      </w:tr>
      <w:tr w:rsidR="002A6DCB" w:rsidRPr="00C6458F" w14:paraId="48E5714B" w14:textId="77777777" w:rsidTr="009C6DB6">
        <w:trPr>
          <w:trHeight w:hRule="exact" w:val="255"/>
        </w:trPr>
        <w:tc>
          <w:tcPr>
            <w:tcW w:w="5953" w:type="dxa"/>
            <w:tcBorders>
              <w:top w:val="nil"/>
              <w:left w:val="nil"/>
              <w:bottom w:val="nil"/>
              <w:right w:val="nil"/>
            </w:tcBorders>
            <w:shd w:val="clear" w:color="000000" w:fill="FFFFFF"/>
            <w:noWrap/>
            <w:vAlign w:val="bottom"/>
          </w:tcPr>
          <w:p w14:paraId="0FAF6FFD" w14:textId="45510FE4" w:rsidR="002A6DCB" w:rsidRPr="00C6458F" w:rsidRDefault="002A6DCB" w:rsidP="002A6DCB">
            <w:pPr>
              <w:spacing w:after="120" w:line="240" w:lineRule="auto"/>
              <w:jc w:val="both"/>
              <w:rPr>
                <w:rFonts w:eastAsia="Times New Roman"/>
                <w:sz w:val="20"/>
                <w:szCs w:val="20"/>
                <w:lang w:val="en-GB" w:eastAsia="el-GR"/>
              </w:rPr>
            </w:pPr>
            <w:r w:rsidRPr="006C0543">
              <w:rPr>
                <w:sz w:val="20"/>
              </w:rPr>
              <w:t>Παράγωγα</w:t>
            </w:r>
          </w:p>
        </w:tc>
        <w:tc>
          <w:tcPr>
            <w:tcW w:w="1985" w:type="dxa"/>
            <w:tcBorders>
              <w:top w:val="nil"/>
              <w:left w:val="nil"/>
              <w:bottom w:val="nil"/>
              <w:right w:val="nil"/>
            </w:tcBorders>
            <w:shd w:val="clear" w:color="auto" w:fill="E2EFD9"/>
            <w:noWrap/>
            <w:vAlign w:val="bottom"/>
          </w:tcPr>
          <w:p w14:paraId="5867F4BB" w14:textId="34362E64"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4.510</w:t>
            </w:r>
          </w:p>
        </w:tc>
        <w:tc>
          <w:tcPr>
            <w:tcW w:w="283" w:type="dxa"/>
            <w:tcBorders>
              <w:top w:val="nil"/>
              <w:left w:val="nil"/>
              <w:bottom w:val="nil"/>
              <w:right w:val="nil"/>
            </w:tcBorders>
            <w:shd w:val="clear" w:color="auto" w:fill="auto"/>
            <w:noWrap/>
            <w:vAlign w:val="bottom"/>
          </w:tcPr>
          <w:p w14:paraId="27249023"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tcPr>
          <w:p w14:paraId="40BA5F43" w14:textId="03594124"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1</w:t>
            </w:r>
            <w:r>
              <w:rPr>
                <w:rFonts w:cs="Calibri"/>
                <w:color w:val="000000"/>
                <w:sz w:val="20"/>
                <w:szCs w:val="20"/>
              </w:rPr>
              <w:t>.</w:t>
            </w:r>
            <w:r w:rsidRPr="00C6458F">
              <w:rPr>
                <w:rFonts w:cs="Calibri"/>
                <w:color w:val="000000"/>
                <w:sz w:val="20"/>
                <w:szCs w:val="20"/>
                <w:lang w:val="en-GB"/>
              </w:rPr>
              <w:t>140</w:t>
            </w:r>
          </w:p>
        </w:tc>
      </w:tr>
      <w:tr w:rsidR="002A6DCB" w:rsidRPr="00C6458F" w14:paraId="4EB66AE8" w14:textId="77777777" w:rsidTr="009C6DB6">
        <w:trPr>
          <w:trHeight w:hRule="exact" w:val="255"/>
        </w:trPr>
        <w:tc>
          <w:tcPr>
            <w:tcW w:w="5953" w:type="dxa"/>
            <w:tcBorders>
              <w:top w:val="nil"/>
              <w:left w:val="nil"/>
              <w:bottom w:val="nil"/>
              <w:right w:val="nil"/>
            </w:tcBorders>
            <w:shd w:val="clear" w:color="000000" w:fill="FFFFFF"/>
            <w:noWrap/>
            <w:vAlign w:val="bottom"/>
            <w:hideMark/>
          </w:tcPr>
          <w:p w14:paraId="25382FED" w14:textId="6A5FBA3E" w:rsidR="002A6DCB" w:rsidRPr="00C6458F" w:rsidRDefault="002A6DCB" w:rsidP="002A6DCB">
            <w:pPr>
              <w:spacing w:after="120" w:line="240" w:lineRule="auto"/>
              <w:jc w:val="both"/>
              <w:rPr>
                <w:rFonts w:eastAsia="Times New Roman"/>
                <w:sz w:val="20"/>
                <w:szCs w:val="20"/>
                <w:lang w:val="en-GB" w:eastAsia="el-GR"/>
              </w:rPr>
            </w:pPr>
            <w:r w:rsidRPr="006C0543">
              <w:rPr>
                <w:sz w:val="20"/>
              </w:rPr>
              <w:t>Εμπορικές και λοιπές απαιτήσεις</w:t>
            </w:r>
          </w:p>
        </w:tc>
        <w:tc>
          <w:tcPr>
            <w:tcW w:w="1985" w:type="dxa"/>
            <w:tcBorders>
              <w:top w:val="nil"/>
              <w:left w:val="nil"/>
              <w:bottom w:val="nil"/>
              <w:right w:val="nil"/>
            </w:tcBorders>
            <w:shd w:val="clear" w:color="auto" w:fill="E2EFD9"/>
            <w:noWrap/>
            <w:vAlign w:val="bottom"/>
          </w:tcPr>
          <w:p w14:paraId="77935D3A" w14:textId="180F0C20"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762</w:t>
            </w:r>
          </w:p>
        </w:tc>
        <w:tc>
          <w:tcPr>
            <w:tcW w:w="283" w:type="dxa"/>
            <w:tcBorders>
              <w:top w:val="nil"/>
              <w:left w:val="nil"/>
              <w:bottom w:val="nil"/>
              <w:right w:val="nil"/>
            </w:tcBorders>
            <w:shd w:val="clear" w:color="auto" w:fill="auto"/>
            <w:noWrap/>
            <w:vAlign w:val="bottom"/>
          </w:tcPr>
          <w:p w14:paraId="6B6C7ADF"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3BB2A024" w14:textId="22DA96D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1</w:t>
            </w:r>
            <w:r>
              <w:rPr>
                <w:rFonts w:cs="Calibri"/>
                <w:color w:val="000000"/>
                <w:sz w:val="20"/>
                <w:szCs w:val="20"/>
              </w:rPr>
              <w:t>.</w:t>
            </w:r>
            <w:r w:rsidRPr="00C6458F">
              <w:rPr>
                <w:rFonts w:cs="Calibri"/>
                <w:color w:val="000000"/>
                <w:sz w:val="20"/>
                <w:szCs w:val="20"/>
                <w:lang w:val="en-GB"/>
              </w:rPr>
              <w:t>529</w:t>
            </w:r>
          </w:p>
        </w:tc>
      </w:tr>
      <w:tr w:rsidR="002A6DCB" w:rsidRPr="00C6458F" w14:paraId="188A3999" w14:textId="77777777" w:rsidTr="009C6DB6">
        <w:trPr>
          <w:trHeight w:hRule="exact" w:val="255"/>
        </w:trPr>
        <w:tc>
          <w:tcPr>
            <w:tcW w:w="5953" w:type="dxa"/>
            <w:tcBorders>
              <w:top w:val="nil"/>
              <w:left w:val="nil"/>
              <w:bottom w:val="nil"/>
              <w:right w:val="nil"/>
            </w:tcBorders>
            <w:shd w:val="clear" w:color="000000" w:fill="FFFFFF"/>
            <w:noWrap/>
            <w:vAlign w:val="bottom"/>
          </w:tcPr>
          <w:p w14:paraId="47301A5A" w14:textId="33E494DA" w:rsidR="002A6DCB" w:rsidRPr="00C6458F" w:rsidRDefault="002A6DCB" w:rsidP="002A6DCB">
            <w:pPr>
              <w:spacing w:after="120" w:line="240" w:lineRule="auto"/>
              <w:jc w:val="both"/>
              <w:rPr>
                <w:rFonts w:eastAsia="Times New Roman"/>
                <w:sz w:val="20"/>
                <w:szCs w:val="20"/>
                <w:lang w:val="en-GB" w:eastAsia="el-GR"/>
              </w:rPr>
            </w:pPr>
            <w:r w:rsidRPr="006C0543">
              <w:rPr>
                <w:sz w:val="20"/>
              </w:rPr>
              <w:t>Κόστος συμβάσεων</w:t>
            </w:r>
          </w:p>
        </w:tc>
        <w:tc>
          <w:tcPr>
            <w:tcW w:w="1985" w:type="dxa"/>
            <w:tcBorders>
              <w:top w:val="nil"/>
              <w:left w:val="nil"/>
              <w:bottom w:val="nil"/>
              <w:right w:val="nil"/>
            </w:tcBorders>
            <w:shd w:val="clear" w:color="auto" w:fill="E2EFD9"/>
            <w:noWrap/>
            <w:vAlign w:val="bottom"/>
          </w:tcPr>
          <w:p w14:paraId="1B6FC0E5" w14:textId="7D961EBE"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222</w:t>
            </w:r>
          </w:p>
        </w:tc>
        <w:tc>
          <w:tcPr>
            <w:tcW w:w="283" w:type="dxa"/>
            <w:tcBorders>
              <w:top w:val="nil"/>
              <w:left w:val="nil"/>
              <w:bottom w:val="nil"/>
              <w:right w:val="nil"/>
            </w:tcBorders>
            <w:shd w:val="clear" w:color="auto" w:fill="auto"/>
            <w:noWrap/>
            <w:vAlign w:val="bottom"/>
          </w:tcPr>
          <w:p w14:paraId="2947CEA2"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tcPr>
          <w:p w14:paraId="42CEF498" w14:textId="23900676"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331</w:t>
            </w:r>
          </w:p>
        </w:tc>
      </w:tr>
      <w:tr w:rsidR="002A6DCB" w:rsidRPr="00C6458F" w14:paraId="1A28EB5C" w14:textId="77777777" w:rsidTr="009C6DB6">
        <w:trPr>
          <w:trHeight w:hRule="exact" w:val="255"/>
        </w:trPr>
        <w:tc>
          <w:tcPr>
            <w:tcW w:w="5953" w:type="dxa"/>
            <w:tcBorders>
              <w:top w:val="nil"/>
              <w:left w:val="nil"/>
              <w:bottom w:val="nil"/>
              <w:right w:val="nil"/>
            </w:tcBorders>
            <w:shd w:val="clear" w:color="000000" w:fill="FFFFFF"/>
            <w:noWrap/>
            <w:vAlign w:val="bottom"/>
            <w:hideMark/>
          </w:tcPr>
          <w:p w14:paraId="09D055E9" w14:textId="291A240C" w:rsidR="002A6DCB" w:rsidRPr="00C6458F" w:rsidRDefault="002A6DCB" w:rsidP="002A6DCB">
            <w:pPr>
              <w:spacing w:after="120" w:line="240" w:lineRule="auto"/>
              <w:jc w:val="both"/>
              <w:rPr>
                <w:rFonts w:eastAsia="Times New Roman"/>
                <w:sz w:val="20"/>
                <w:szCs w:val="20"/>
                <w:lang w:val="en-GB" w:eastAsia="el-GR"/>
              </w:rPr>
            </w:pPr>
            <w:r w:rsidRPr="006C0543">
              <w:rPr>
                <w:sz w:val="20"/>
              </w:rPr>
              <w:t>Αναβαλλόμενες φορολογικές απαιτήσεις</w:t>
            </w:r>
          </w:p>
        </w:tc>
        <w:tc>
          <w:tcPr>
            <w:tcW w:w="1985" w:type="dxa"/>
            <w:tcBorders>
              <w:top w:val="nil"/>
              <w:left w:val="nil"/>
              <w:bottom w:val="nil"/>
              <w:right w:val="nil"/>
            </w:tcBorders>
            <w:shd w:val="clear" w:color="auto" w:fill="E2EFD9"/>
            <w:noWrap/>
            <w:vAlign w:val="bottom"/>
          </w:tcPr>
          <w:p w14:paraId="187C8F62" w14:textId="652F4DE8"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10.999</w:t>
            </w:r>
          </w:p>
        </w:tc>
        <w:tc>
          <w:tcPr>
            <w:tcW w:w="283" w:type="dxa"/>
            <w:tcBorders>
              <w:top w:val="nil"/>
              <w:left w:val="nil"/>
              <w:bottom w:val="nil"/>
              <w:right w:val="nil"/>
            </w:tcBorders>
            <w:shd w:val="clear" w:color="auto" w:fill="auto"/>
            <w:noWrap/>
            <w:vAlign w:val="bottom"/>
          </w:tcPr>
          <w:p w14:paraId="7D955DDE"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663F017C" w14:textId="51E47A90"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4</w:t>
            </w:r>
            <w:r>
              <w:rPr>
                <w:rFonts w:cs="Calibri"/>
                <w:color w:val="000000"/>
                <w:sz w:val="20"/>
                <w:szCs w:val="20"/>
              </w:rPr>
              <w:t>.</w:t>
            </w:r>
            <w:r w:rsidRPr="00C6458F">
              <w:rPr>
                <w:rFonts w:cs="Calibri"/>
                <w:color w:val="000000"/>
                <w:sz w:val="20"/>
                <w:szCs w:val="20"/>
                <w:lang w:val="en-GB"/>
              </w:rPr>
              <w:t>707</w:t>
            </w:r>
          </w:p>
        </w:tc>
      </w:tr>
      <w:tr w:rsidR="002A6DCB" w:rsidRPr="00C6458F" w14:paraId="09EB2EDE" w14:textId="77777777" w:rsidTr="009C6DB6">
        <w:trPr>
          <w:trHeight w:hRule="exact" w:val="255"/>
        </w:trPr>
        <w:tc>
          <w:tcPr>
            <w:tcW w:w="5953" w:type="dxa"/>
            <w:tcBorders>
              <w:top w:val="nil"/>
              <w:left w:val="nil"/>
              <w:bottom w:val="nil"/>
              <w:right w:val="nil"/>
            </w:tcBorders>
            <w:shd w:val="clear" w:color="000000" w:fill="FFFFFF"/>
            <w:noWrap/>
            <w:vAlign w:val="bottom"/>
            <w:hideMark/>
          </w:tcPr>
          <w:p w14:paraId="2ED9DED2" w14:textId="77777777" w:rsidR="002A6DCB" w:rsidRPr="00C6458F" w:rsidRDefault="002A6DCB" w:rsidP="002A6DCB">
            <w:pPr>
              <w:spacing w:after="120" w:line="240" w:lineRule="auto"/>
              <w:jc w:val="both"/>
              <w:rPr>
                <w:rFonts w:eastAsia="Times New Roman"/>
                <w:b/>
                <w:bCs/>
                <w:sz w:val="20"/>
                <w:szCs w:val="20"/>
                <w:lang w:val="en-GB" w:eastAsia="el-GR"/>
              </w:rPr>
            </w:pPr>
          </w:p>
        </w:tc>
        <w:tc>
          <w:tcPr>
            <w:tcW w:w="1985" w:type="dxa"/>
            <w:tcBorders>
              <w:top w:val="single" w:sz="4" w:space="0" w:color="auto"/>
              <w:left w:val="nil"/>
              <w:bottom w:val="single" w:sz="4" w:space="0" w:color="auto"/>
              <w:right w:val="nil"/>
            </w:tcBorders>
            <w:shd w:val="clear" w:color="auto" w:fill="E2EFD9"/>
            <w:noWrap/>
            <w:vAlign w:val="bottom"/>
          </w:tcPr>
          <w:p w14:paraId="7745F32E" w14:textId="5E892987" w:rsidR="002A6DCB" w:rsidRPr="00C6458F" w:rsidRDefault="002A6DCB" w:rsidP="002A6DCB">
            <w:pPr>
              <w:spacing w:after="120" w:line="240" w:lineRule="auto"/>
              <w:jc w:val="right"/>
              <w:rPr>
                <w:rFonts w:cs="Calibri"/>
                <w:b/>
                <w:bCs/>
                <w:color w:val="000000"/>
                <w:sz w:val="20"/>
                <w:szCs w:val="20"/>
                <w:lang w:val="en-GB"/>
              </w:rPr>
            </w:pPr>
            <w:r>
              <w:rPr>
                <w:rFonts w:cs="Calibri"/>
                <w:b/>
                <w:bCs/>
                <w:color w:val="000000"/>
                <w:sz w:val="20"/>
                <w:szCs w:val="20"/>
              </w:rPr>
              <w:t>833.403</w:t>
            </w:r>
          </w:p>
        </w:tc>
        <w:tc>
          <w:tcPr>
            <w:tcW w:w="283" w:type="dxa"/>
            <w:tcBorders>
              <w:top w:val="nil"/>
              <w:left w:val="nil"/>
              <w:bottom w:val="nil"/>
              <w:right w:val="nil"/>
            </w:tcBorders>
            <w:shd w:val="clear" w:color="auto" w:fill="auto"/>
            <w:noWrap/>
            <w:vAlign w:val="bottom"/>
          </w:tcPr>
          <w:p w14:paraId="518F2432"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7B6C6EFF" w14:textId="0DB96C75" w:rsidR="002A6DCB" w:rsidRPr="00C6458F" w:rsidRDefault="002A6DCB" w:rsidP="002A6DCB">
            <w:pPr>
              <w:spacing w:after="120" w:line="240" w:lineRule="auto"/>
              <w:jc w:val="right"/>
              <w:rPr>
                <w:rFonts w:cs="Calibri"/>
                <w:b/>
                <w:bCs/>
                <w:color w:val="000000"/>
                <w:sz w:val="20"/>
                <w:szCs w:val="20"/>
                <w:lang w:val="en-GB"/>
              </w:rPr>
            </w:pPr>
            <w:r w:rsidRPr="00C6458F">
              <w:rPr>
                <w:rFonts w:cs="Calibri"/>
                <w:b/>
                <w:bCs/>
                <w:color w:val="000000"/>
                <w:sz w:val="20"/>
                <w:szCs w:val="20"/>
                <w:lang w:val="en-GB"/>
              </w:rPr>
              <w:t>721</w:t>
            </w:r>
            <w:r w:rsidR="004F233B">
              <w:rPr>
                <w:rFonts w:cs="Calibri"/>
                <w:b/>
                <w:bCs/>
                <w:color w:val="000000"/>
                <w:sz w:val="20"/>
                <w:szCs w:val="20"/>
              </w:rPr>
              <w:t>.</w:t>
            </w:r>
            <w:r w:rsidRPr="00C6458F">
              <w:rPr>
                <w:rFonts w:cs="Calibri"/>
                <w:b/>
                <w:bCs/>
                <w:color w:val="000000"/>
                <w:sz w:val="20"/>
                <w:szCs w:val="20"/>
                <w:lang w:val="en-GB"/>
              </w:rPr>
              <w:t>196</w:t>
            </w:r>
          </w:p>
        </w:tc>
      </w:tr>
      <w:tr w:rsidR="002A6DCB" w:rsidRPr="00C6458F" w14:paraId="022F1944" w14:textId="77777777" w:rsidTr="009C6DB6">
        <w:trPr>
          <w:trHeight w:hRule="exact" w:val="255"/>
        </w:trPr>
        <w:tc>
          <w:tcPr>
            <w:tcW w:w="5953" w:type="dxa"/>
            <w:tcBorders>
              <w:top w:val="nil"/>
              <w:left w:val="nil"/>
              <w:bottom w:val="nil"/>
              <w:right w:val="nil"/>
            </w:tcBorders>
            <w:shd w:val="clear" w:color="000000" w:fill="FFFFFF"/>
            <w:noWrap/>
            <w:vAlign w:val="bottom"/>
            <w:hideMark/>
          </w:tcPr>
          <w:p w14:paraId="1E71A270" w14:textId="5A88EDB1" w:rsidR="002A6DCB" w:rsidRPr="00C6458F" w:rsidRDefault="002A6DCB" w:rsidP="002A6DCB">
            <w:pPr>
              <w:spacing w:after="120" w:line="240" w:lineRule="auto"/>
              <w:jc w:val="both"/>
              <w:rPr>
                <w:rFonts w:eastAsia="Times New Roman"/>
                <w:b/>
                <w:bCs/>
                <w:sz w:val="20"/>
                <w:szCs w:val="20"/>
                <w:lang w:val="en-GB" w:eastAsia="el-GR"/>
              </w:rPr>
            </w:pPr>
            <w:r w:rsidRPr="006C0543">
              <w:rPr>
                <w:b/>
                <w:color w:val="000000"/>
                <w:sz w:val="20"/>
              </w:rPr>
              <w:t>Κυκλοφορούν ενεργητικό</w:t>
            </w:r>
          </w:p>
        </w:tc>
        <w:tc>
          <w:tcPr>
            <w:tcW w:w="1985" w:type="dxa"/>
            <w:tcBorders>
              <w:top w:val="nil"/>
              <w:left w:val="nil"/>
              <w:bottom w:val="nil"/>
              <w:right w:val="nil"/>
            </w:tcBorders>
            <w:shd w:val="clear" w:color="auto" w:fill="E2EFD9"/>
            <w:noWrap/>
            <w:vAlign w:val="bottom"/>
          </w:tcPr>
          <w:p w14:paraId="0871677A" w14:textId="1FA5C238" w:rsidR="002A6DCB" w:rsidRPr="00C6458F" w:rsidRDefault="002A6DCB" w:rsidP="002A6DCB">
            <w:pPr>
              <w:spacing w:after="120" w:line="240" w:lineRule="auto"/>
              <w:rPr>
                <w:rFonts w:cs="Calibri"/>
                <w:color w:val="000000"/>
                <w:sz w:val="20"/>
                <w:szCs w:val="20"/>
                <w:lang w:val="en-GB"/>
              </w:rPr>
            </w:pPr>
            <w:r>
              <w:rPr>
                <w:rFonts w:cs="Calibri"/>
                <w:color w:val="000000"/>
                <w:sz w:val="20"/>
                <w:szCs w:val="20"/>
              </w:rPr>
              <w:t> </w:t>
            </w:r>
          </w:p>
        </w:tc>
        <w:tc>
          <w:tcPr>
            <w:tcW w:w="283" w:type="dxa"/>
            <w:tcBorders>
              <w:top w:val="nil"/>
              <w:left w:val="nil"/>
              <w:bottom w:val="nil"/>
              <w:right w:val="nil"/>
            </w:tcBorders>
            <w:shd w:val="clear" w:color="auto" w:fill="auto"/>
            <w:noWrap/>
            <w:vAlign w:val="bottom"/>
          </w:tcPr>
          <w:p w14:paraId="019B5D0F"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404DC298" w14:textId="73E0CFC1"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r>
      <w:tr w:rsidR="002A6DCB" w:rsidRPr="00C6458F" w14:paraId="19047408"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63E8EEB0" w14:textId="53C44197" w:rsidR="002A6DCB" w:rsidRPr="00C6458F" w:rsidRDefault="002A6DCB" w:rsidP="002A6DCB">
            <w:pPr>
              <w:spacing w:after="120" w:line="240" w:lineRule="auto"/>
              <w:jc w:val="both"/>
              <w:rPr>
                <w:rFonts w:eastAsia="Times New Roman"/>
                <w:sz w:val="20"/>
                <w:szCs w:val="20"/>
                <w:lang w:val="en-GB" w:eastAsia="el-GR"/>
              </w:rPr>
            </w:pPr>
            <w:r w:rsidRPr="006C0543">
              <w:rPr>
                <w:color w:val="000000"/>
                <w:sz w:val="20"/>
              </w:rPr>
              <w:t>Αποθέματα</w:t>
            </w:r>
          </w:p>
        </w:tc>
        <w:tc>
          <w:tcPr>
            <w:tcW w:w="1985" w:type="dxa"/>
            <w:tcBorders>
              <w:top w:val="nil"/>
              <w:left w:val="nil"/>
              <w:bottom w:val="nil"/>
              <w:right w:val="nil"/>
            </w:tcBorders>
            <w:shd w:val="clear" w:color="auto" w:fill="E2EFD9"/>
            <w:noWrap/>
            <w:vAlign w:val="bottom"/>
          </w:tcPr>
          <w:p w14:paraId="7A19BD7D" w14:textId="7329C462"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475.035</w:t>
            </w:r>
          </w:p>
        </w:tc>
        <w:tc>
          <w:tcPr>
            <w:tcW w:w="283" w:type="dxa"/>
            <w:tcBorders>
              <w:top w:val="nil"/>
              <w:left w:val="nil"/>
              <w:bottom w:val="nil"/>
              <w:right w:val="nil"/>
            </w:tcBorders>
            <w:shd w:val="clear" w:color="auto" w:fill="auto"/>
            <w:noWrap/>
            <w:vAlign w:val="bottom"/>
          </w:tcPr>
          <w:p w14:paraId="4887564D"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0B06A569" w14:textId="12E88F25"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444</w:t>
            </w:r>
            <w:r>
              <w:rPr>
                <w:rFonts w:cs="Calibri"/>
                <w:color w:val="000000"/>
                <w:sz w:val="20"/>
                <w:szCs w:val="20"/>
              </w:rPr>
              <w:t>.</w:t>
            </w:r>
            <w:r w:rsidRPr="00C6458F">
              <w:rPr>
                <w:rFonts w:cs="Calibri"/>
                <w:color w:val="000000"/>
                <w:sz w:val="20"/>
                <w:szCs w:val="20"/>
                <w:lang w:val="en-GB"/>
              </w:rPr>
              <w:t>360</w:t>
            </w:r>
          </w:p>
        </w:tc>
      </w:tr>
      <w:tr w:rsidR="002A6DCB" w:rsidRPr="00C6458F" w14:paraId="07E8BCD9"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5AE403F0" w14:textId="630CDB67" w:rsidR="002A6DCB" w:rsidRPr="00C6458F" w:rsidRDefault="002A6DCB" w:rsidP="002A6DCB">
            <w:pPr>
              <w:spacing w:after="120" w:line="240" w:lineRule="auto"/>
              <w:jc w:val="both"/>
              <w:rPr>
                <w:rFonts w:eastAsia="Times New Roman"/>
                <w:sz w:val="20"/>
                <w:szCs w:val="20"/>
                <w:lang w:val="en-GB" w:eastAsia="el-GR"/>
              </w:rPr>
            </w:pPr>
            <w:r w:rsidRPr="006C0543">
              <w:rPr>
                <w:color w:val="000000"/>
                <w:sz w:val="20"/>
              </w:rPr>
              <w:t>Εμπορικές και λοιπές απαιτήσεις</w:t>
            </w:r>
          </w:p>
        </w:tc>
        <w:tc>
          <w:tcPr>
            <w:tcW w:w="1985" w:type="dxa"/>
            <w:tcBorders>
              <w:top w:val="nil"/>
              <w:left w:val="nil"/>
              <w:bottom w:val="nil"/>
              <w:right w:val="nil"/>
            </w:tcBorders>
            <w:shd w:val="clear" w:color="auto" w:fill="E2EFD9"/>
            <w:noWrap/>
            <w:vAlign w:val="bottom"/>
          </w:tcPr>
          <w:p w14:paraId="7877EE64" w14:textId="0BC79DA0"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179.309</w:t>
            </w:r>
          </w:p>
        </w:tc>
        <w:tc>
          <w:tcPr>
            <w:tcW w:w="283" w:type="dxa"/>
            <w:tcBorders>
              <w:top w:val="nil"/>
              <w:left w:val="nil"/>
              <w:bottom w:val="nil"/>
              <w:right w:val="nil"/>
            </w:tcBorders>
            <w:shd w:val="clear" w:color="auto" w:fill="auto"/>
            <w:noWrap/>
            <w:vAlign w:val="bottom"/>
          </w:tcPr>
          <w:p w14:paraId="2C017B39"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4FE10E27" w14:textId="63719C0C"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243</w:t>
            </w:r>
            <w:r>
              <w:rPr>
                <w:rFonts w:cs="Calibri"/>
                <w:color w:val="000000"/>
                <w:sz w:val="20"/>
                <w:szCs w:val="20"/>
              </w:rPr>
              <w:t>.</w:t>
            </w:r>
            <w:r w:rsidRPr="00C6458F">
              <w:rPr>
                <w:rFonts w:cs="Calibri"/>
                <w:color w:val="000000"/>
                <w:sz w:val="20"/>
                <w:szCs w:val="20"/>
                <w:lang w:val="en-GB"/>
              </w:rPr>
              <w:t>579</w:t>
            </w:r>
          </w:p>
        </w:tc>
      </w:tr>
      <w:tr w:rsidR="002A6DCB" w:rsidRPr="00C6458F" w14:paraId="729885AA" w14:textId="77777777" w:rsidTr="009C6DB6">
        <w:trPr>
          <w:trHeight w:hRule="exact" w:val="255"/>
        </w:trPr>
        <w:tc>
          <w:tcPr>
            <w:tcW w:w="5953" w:type="dxa"/>
            <w:tcBorders>
              <w:top w:val="nil"/>
              <w:left w:val="nil"/>
              <w:bottom w:val="nil"/>
              <w:right w:val="nil"/>
            </w:tcBorders>
            <w:shd w:val="clear" w:color="000000" w:fill="FFFFFF"/>
            <w:noWrap/>
            <w:vAlign w:val="bottom"/>
            <w:hideMark/>
          </w:tcPr>
          <w:p w14:paraId="06A179AC" w14:textId="530ABED5" w:rsidR="002A6DCB" w:rsidRPr="00C6458F" w:rsidRDefault="002A6DCB" w:rsidP="002A6DCB">
            <w:pPr>
              <w:spacing w:after="120" w:line="240" w:lineRule="auto"/>
              <w:jc w:val="both"/>
              <w:rPr>
                <w:rFonts w:eastAsia="Times New Roman"/>
                <w:sz w:val="20"/>
                <w:szCs w:val="20"/>
                <w:lang w:val="en-GB" w:eastAsia="el-GR"/>
              </w:rPr>
            </w:pPr>
            <w:r w:rsidRPr="006C0543">
              <w:rPr>
                <w:color w:val="000000"/>
                <w:sz w:val="20"/>
              </w:rPr>
              <w:t>Συμβατικά περιουσιακά στοιχεία</w:t>
            </w:r>
          </w:p>
        </w:tc>
        <w:tc>
          <w:tcPr>
            <w:tcW w:w="1985" w:type="dxa"/>
            <w:tcBorders>
              <w:top w:val="nil"/>
              <w:left w:val="nil"/>
              <w:bottom w:val="nil"/>
              <w:right w:val="nil"/>
            </w:tcBorders>
            <w:shd w:val="clear" w:color="auto" w:fill="E2EFD9"/>
            <w:noWrap/>
            <w:vAlign w:val="bottom"/>
          </w:tcPr>
          <w:p w14:paraId="7BC56EBB" w14:textId="2CD60BF4"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284.343</w:t>
            </w:r>
          </w:p>
        </w:tc>
        <w:tc>
          <w:tcPr>
            <w:tcW w:w="283" w:type="dxa"/>
            <w:tcBorders>
              <w:top w:val="nil"/>
              <w:left w:val="nil"/>
              <w:bottom w:val="nil"/>
              <w:right w:val="nil"/>
            </w:tcBorders>
            <w:shd w:val="clear" w:color="auto" w:fill="auto"/>
            <w:noWrap/>
            <w:vAlign w:val="bottom"/>
          </w:tcPr>
          <w:p w14:paraId="6036056D"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137B0C6E" w14:textId="76B4A5D0"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227</w:t>
            </w:r>
            <w:r>
              <w:rPr>
                <w:rFonts w:cs="Calibri"/>
                <w:color w:val="000000"/>
                <w:sz w:val="20"/>
                <w:szCs w:val="20"/>
              </w:rPr>
              <w:t>.</w:t>
            </w:r>
            <w:r w:rsidRPr="00C6458F">
              <w:rPr>
                <w:rFonts w:cs="Calibri"/>
                <w:color w:val="000000"/>
                <w:sz w:val="20"/>
                <w:szCs w:val="20"/>
                <w:lang w:val="en-GB"/>
              </w:rPr>
              <w:t>203</w:t>
            </w:r>
          </w:p>
        </w:tc>
      </w:tr>
      <w:tr w:rsidR="002A6DCB" w:rsidRPr="00C6458F" w14:paraId="6DA57C2C" w14:textId="77777777" w:rsidTr="009C6DB6">
        <w:trPr>
          <w:trHeight w:hRule="exact" w:val="255"/>
        </w:trPr>
        <w:tc>
          <w:tcPr>
            <w:tcW w:w="5953" w:type="dxa"/>
            <w:tcBorders>
              <w:top w:val="nil"/>
              <w:left w:val="nil"/>
              <w:bottom w:val="nil"/>
              <w:right w:val="nil"/>
            </w:tcBorders>
            <w:shd w:val="clear" w:color="000000" w:fill="FFFFFF"/>
            <w:noWrap/>
            <w:vAlign w:val="bottom"/>
            <w:hideMark/>
          </w:tcPr>
          <w:p w14:paraId="604CC351" w14:textId="03E16E4B" w:rsidR="002A6DCB" w:rsidRPr="00C6458F" w:rsidRDefault="002A6DCB" w:rsidP="002A6DCB">
            <w:pPr>
              <w:spacing w:after="120" w:line="240" w:lineRule="auto"/>
              <w:jc w:val="both"/>
              <w:rPr>
                <w:rFonts w:eastAsia="Times New Roman"/>
                <w:sz w:val="20"/>
                <w:szCs w:val="20"/>
                <w:lang w:val="en-GB" w:eastAsia="el-GR"/>
              </w:rPr>
            </w:pPr>
            <w:r w:rsidRPr="006C0543">
              <w:rPr>
                <w:color w:val="000000"/>
                <w:sz w:val="20"/>
              </w:rPr>
              <w:t>Κόστος συμβάσεων</w:t>
            </w:r>
          </w:p>
        </w:tc>
        <w:tc>
          <w:tcPr>
            <w:tcW w:w="1985" w:type="dxa"/>
            <w:tcBorders>
              <w:top w:val="nil"/>
              <w:left w:val="nil"/>
              <w:bottom w:val="nil"/>
              <w:right w:val="nil"/>
            </w:tcBorders>
            <w:shd w:val="clear" w:color="auto" w:fill="E2EFD9"/>
            <w:noWrap/>
            <w:vAlign w:val="bottom"/>
          </w:tcPr>
          <w:p w14:paraId="7BEDDE4D" w14:textId="2167A72F"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126</w:t>
            </w:r>
          </w:p>
        </w:tc>
        <w:tc>
          <w:tcPr>
            <w:tcW w:w="283" w:type="dxa"/>
            <w:tcBorders>
              <w:top w:val="nil"/>
              <w:left w:val="nil"/>
              <w:bottom w:val="nil"/>
              <w:right w:val="nil"/>
            </w:tcBorders>
            <w:shd w:val="clear" w:color="auto" w:fill="auto"/>
            <w:noWrap/>
            <w:vAlign w:val="bottom"/>
          </w:tcPr>
          <w:p w14:paraId="6F76350B"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24DDD79E" w14:textId="16938D6F"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50</w:t>
            </w:r>
          </w:p>
        </w:tc>
      </w:tr>
      <w:tr w:rsidR="002A6DCB" w:rsidRPr="00C6458F" w14:paraId="22B30B99" w14:textId="77777777" w:rsidTr="009C6DB6">
        <w:trPr>
          <w:trHeight w:hRule="exact" w:val="255"/>
        </w:trPr>
        <w:tc>
          <w:tcPr>
            <w:tcW w:w="5953" w:type="dxa"/>
            <w:tcBorders>
              <w:top w:val="nil"/>
              <w:left w:val="nil"/>
              <w:bottom w:val="nil"/>
              <w:right w:val="nil"/>
            </w:tcBorders>
            <w:shd w:val="clear" w:color="000000" w:fill="FFFFFF"/>
            <w:noWrap/>
            <w:vAlign w:val="bottom"/>
            <w:hideMark/>
          </w:tcPr>
          <w:p w14:paraId="00999189" w14:textId="501F3B65" w:rsidR="002A6DCB" w:rsidRPr="00C6458F" w:rsidRDefault="002A6DCB" w:rsidP="002A6DCB">
            <w:pPr>
              <w:spacing w:after="120" w:line="240" w:lineRule="auto"/>
              <w:jc w:val="both"/>
              <w:rPr>
                <w:rFonts w:eastAsia="Times New Roman"/>
                <w:sz w:val="20"/>
                <w:szCs w:val="20"/>
                <w:lang w:val="en-GB" w:eastAsia="el-GR"/>
              </w:rPr>
            </w:pPr>
            <w:r w:rsidRPr="001E1018">
              <w:rPr>
                <w:color w:val="000000"/>
                <w:sz w:val="20"/>
              </w:rPr>
              <w:t>Προκαταβολή φόρου εισοδήματος</w:t>
            </w:r>
          </w:p>
        </w:tc>
        <w:tc>
          <w:tcPr>
            <w:tcW w:w="1985" w:type="dxa"/>
            <w:tcBorders>
              <w:top w:val="nil"/>
              <w:left w:val="nil"/>
              <w:bottom w:val="nil"/>
              <w:right w:val="nil"/>
            </w:tcBorders>
            <w:shd w:val="clear" w:color="auto" w:fill="E2EFD9"/>
            <w:noWrap/>
            <w:vAlign w:val="bottom"/>
          </w:tcPr>
          <w:p w14:paraId="1E70D777" w14:textId="3D2271B7"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10.481</w:t>
            </w:r>
          </w:p>
        </w:tc>
        <w:tc>
          <w:tcPr>
            <w:tcW w:w="283" w:type="dxa"/>
            <w:tcBorders>
              <w:top w:val="nil"/>
              <w:left w:val="nil"/>
              <w:bottom w:val="nil"/>
              <w:right w:val="nil"/>
            </w:tcBorders>
            <w:shd w:val="clear" w:color="auto" w:fill="auto"/>
            <w:noWrap/>
            <w:vAlign w:val="bottom"/>
          </w:tcPr>
          <w:p w14:paraId="6A06A787"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1C55CD56" w14:textId="35AB9809"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9</w:t>
            </w:r>
            <w:r>
              <w:rPr>
                <w:rFonts w:cs="Calibri"/>
                <w:color w:val="000000"/>
                <w:sz w:val="20"/>
                <w:szCs w:val="20"/>
              </w:rPr>
              <w:t>.</w:t>
            </w:r>
            <w:r w:rsidRPr="00C6458F">
              <w:rPr>
                <w:rFonts w:cs="Calibri"/>
                <w:color w:val="000000"/>
                <w:sz w:val="20"/>
                <w:szCs w:val="20"/>
                <w:lang w:val="en-GB"/>
              </w:rPr>
              <w:t>019</w:t>
            </w:r>
          </w:p>
        </w:tc>
      </w:tr>
      <w:tr w:rsidR="002A6DCB" w:rsidRPr="00C6458F" w14:paraId="55C4427E"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49D0BEA1" w14:textId="17ED7066" w:rsidR="002A6DCB" w:rsidRPr="00C6458F" w:rsidRDefault="002A6DCB" w:rsidP="002A6DCB">
            <w:pPr>
              <w:spacing w:after="120" w:line="240" w:lineRule="auto"/>
              <w:jc w:val="both"/>
              <w:rPr>
                <w:rFonts w:eastAsia="Times New Roman"/>
                <w:sz w:val="20"/>
                <w:szCs w:val="20"/>
                <w:lang w:val="en-GB" w:eastAsia="el-GR"/>
              </w:rPr>
            </w:pPr>
            <w:r w:rsidRPr="006C0543">
              <w:rPr>
                <w:color w:val="000000"/>
                <w:sz w:val="20"/>
              </w:rPr>
              <w:t>Παράγωγα</w:t>
            </w:r>
          </w:p>
        </w:tc>
        <w:tc>
          <w:tcPr>
            <w:tcW w:w="1985" w:type="dxa"/>
            <w:tcBorders>
              <w:top w:val="nil"/>
              <w:left w:val="nil"/>
              <w:bottom w:val="nil"/>
              <w:right w:val="nil"/>
            </w:tcBorders>
            <w:shd w:val="clear" w:color="auto" w:fill="E2EFD9"/>
            <w:noWrap/>
            <w:vAlign w:val="bottom"/>
          </w:tcPr>
          <w:p w14:paraId="682DFC5B" w14:textId="2EA1ED74"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16.066</w:t>
            </w:r>
          </w:p>
        </w:tc>
        <w:tc>
          <w:tcPr>
            <w:tcW w:w="283" w:type="dxa"/>
            <w:tcBorders>
              <w:top w:val="nil"/>
              <w:left w:val="nil"/>
              <w:bottom w:val="nil"/>
              <w:right w:val="nil"/>
            </w:tcBorders>
            <w:shd w:val="clear" w:color="auto" w:fill="auto"/>
            <w:noWrap/>
            <w:vAlign w:val="bottom"/>
          </w:tcPr>
          <w:p w14:paraId="47370F0B"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2648E6A0" w14:textId="463F3D06"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10</w:t>
            </w:r>
            <w:r>
              <w:rPr>
                <w:rFonts w:cs="Calibri"/>
                <w:color w:val="000000"/>
                <w:sz w:val="20"/>
                <w:szCs w:val="20"/>
              </w:rPr>
              <w:t>.</w:t>
            </w:r>
            <w:r w:rsidRPr="00C6458F">
              <w:rPr>
                <w:rFonts w:cs="Calibri"/>
                <w:color w:val="000000"/>
                <w:sz w:val="20"/>
                <w:szCs w:val="20"/>
                <w:lang w:val="en-GB"/>
              </w:rPr>
              <w:t>351</w:t>
            </w:r>
          </w:p>
        </w:tc>
      </w:tr>
      <w:tr w:rsidR="002A6DCB" w:rsidRPr="00C6458F" w14:paraId="013845F9"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6537C8B8" w14:textId="4437A7E4" w:rsidR="002A6DCB" w:rsidRPr="00C6458F" w:rsidRDefault="002A6DCB" w:rsidP="002A6DCB">
            <w:pPr>
              <w:spacing w:after="120" w:line="240" w:lineRule="auto"/>
              <w:jc w:val="both"/>
              <w:rPr>
                <w:rFonts w:eastAsia="Times New Roman"/>
                <w:sz w:val="20"/>
                <w:szCs w:val="20"/>
                <w:lang w:val="en-GB" w:eastAsia="el-GR"/>
              </w:rPr>
            </w:pPr>
            <w:r>
              <w:rPr>
                <w:color w:val="000000"/>
                <w:sz w:val="20"/>
              </w:rPr>
              <w:t>Τ</w:t>
            </w:r>
            <w:r w:rsidRPr="006C0543">
              <w:rPr>
                <w:color w:val="000000"/>
                <w:sz w:val="20"/>
              </w:rPr>
              <w:t xml:space="preserve">αμειακά </w:t>
            </w:r>
            <w:r>
              <w:rPr>
                <w:color w:val="000000"/>
                <w:sz w:val="20"/>
              </w:rPr>
              <w:t>δ</w:t>
            </w:r>
            <w:r w:rsidRPr="006C0543">
              <w:rPr>
                <w:color w:val="000000"/>
                <w:sz w:val="20"/>
              </w:rPr>
              <w:t>ιαθέσιμα και ισοδύναμα</w:t>
            </w:r>
          </w:p>
        </w:tc>
        <w:tc>
          <w:tcPr>
            <w:tcW w:w="1985" w:type="dxa"/>
            <w:tcBorders>
              <w:top w:val="nil"/>
              <w:left w:val="nil"/>
              <w:bottom w:val="nil"/>
              <w:right w:val="nil"/>
            </w:tcBorders>
            <w:shd w:val="clear" w:color="auto" w:fill="E2EFD9"/>
            <w:noWrap/>
            <w:vAlign w:val="bottom"/>
          </w:tcPr>
          <w:p w14:paraId="281C18BB" w14:textId="6EBE2AD6"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155.824</w:t>
            </w:r>
          </w:p>
        </w:tc>
        <w:tc>
          <w:tcPr>
            <w:tcW w:w="283" w:type="dxa"/>
            <w:tcBorders>
              <w:top w:val="nil"/>
              <w:left w:val="nil"/>
              <w:bottom w:val="nil"/>
              <w:right w:val="nil"/>
            </w:tcBorders>
            <w:shd w:val="clear" w:color="auto" w:fill="auto"/>
            <w:noWrap/>
            <w:vAlign w:val="bottom"/>
          </w:tcPr>
          <w:p w14:paraId="58ED8843"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2B915360" w14:textId="551F4C45"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183</w:t>
            </w:r>
            <w:r>
              <w:rPr>
                <w:rFonts w:cs="Calibri"/>
                <w:color w:val="000000"/>
                <w:sz w:val="20"/>
                <w:szCs w:val="20"/>
              </w:rPr>
              <w:t>.</w:t>
            </w:r>
            <w:r w:rsidRPr="00C6458F">
              <w:rPr>
                <w:rFonts w:cs="Calibri"/>
                <w:color w:val="000000"/>
                <w:sz w:val="20"/>
                <w:szCs w:val="20"/>
                <w:lang w:val="en-GB"/>
              </w:rPr>
              <w:t>400</w:t>
            </w:r>
          </w:p>
        </w:tc>
      </w:tr>
      <w:tr w:rsidR="002A6DCB" w:rsidRPr="00C6458F" w14:paraId="46AC30D6" w14:textId="77777777" w:rsidTr="009C6DB6">
        <w:trPr>
          <w:trHeight w:hRule="exact" w:val="255"/>
        </w:trPr>
        <w:tc>
          <w:tcPr>
            <w:tcW w:w="5953" w:type="dxa"/>
            <w:tcBorders>
              <w:top w:val="nil"/>
              <w:left w:val="nil"/>
              <w:bottom w:val="nil"/>
              <w:right w:val="nil"/>
            </w:tcBorders>
            <w:shd w:val="clear" w:color="000000" w:fill="FFFFFF"/>
            <w:noWrap/>
            <w:vAlign w:val="bottom"/>
            <w:hideMark/>
          </w:tcPr>
          <w:p w14:paraId="66E1087E" w14:textId="77777777" w:rsidR="002A6DCB" w:rsidRPr="00C6458F" w:rsidRDefault="002A6DCB" w:rsidP="002A6DCB">
            <w:pPr>
              <w:spacing w:after="120" w:line="240" w:lineRule="auto"/>
              <w:jc w:val="both"/>
              <w:rPr>
                <w:rFonts w:eastAsia="Times New Roman"/>
                <w:sz w:val="20"/>
                <w:szCs w:val="20"/>
                <w:lang w:val="en-GB" w:eastAsia="el-GR"/>
              </w:rPr>
            </w:pPr>
          </w:p>
        </w:tc>
        <w:tc>
          <w:tcPr>
            <w:tcW w:w="1985" w:type="dxa"/>
            <w:tcBorders>
              <w:top w:val="single" w:sz="4" w:space="0" w:color="auto"/>
              <w:left w:val="nil"/>
              <w:bottom w:val="single" w:sz="4" w:space="0" w:color="auto"/>
              <w:right w:val="nil"/>
            </w:tcBorders>
            <w:shd w:val="clear" w:color="auto" w:fill="E2EFD9"/>
            <w:noWrap/>
            <w:vAlign w:val="bottom"/>
          </w:tcPr>
          <w:p w14:paraId="620FBBF7" w14:textId="626A9377" w:rsidR="002A6DCB" w:rsidRPr="00C6458F" w:rsidRDefault="002A6DCB" w:rsidP="002A6DCB">
            <w:pPr>
              <w:spacing w:after="120" w:line="240" w:lineRule="auto"/>
              <w:jc w:val="right"/>
              <w:rPr>
                <w:rFonts w:cs="Calibri"/>
                <w:b/>
                <w:bCs/>
                <w:color w:val="000000"/>
                <w:sz w:val="20"/>
                <w:szCs w:val="20"/>
                <w:lang w:val="en-GB"/>
              </w:rPr>
            </w:pPr>
            <w:r>
              <w:rPr>
                <w:rFonts w:cs="Calibri"/>
                <w:b/>
                <w:bCs/>
                <w:color w:val="000000"/>
                <w:sz w:val="20"/>
                <w:szCs w:val="20"/>
              </w:rPr>
              <w:t>1.121.184</w:t>
            </w:r>
          </w:p>
        </w:tc>
        <w:tc>
          <w:tcPr>
            <w:tcW w:w="283" w:type="dxa"/>
            <w:tcBorders>
              <w:top w:val="nil"/>
              <w:left w:val="nil"/>
              <w:bottom w:val="nil"/>
              <w:right w:val="nil"/>
            </w:tcBorders>
            <w:shd w:val="clear" w:color="auto" w:fill="auto"/>
            <w:noWrap/>
            <w:vAlign w:val="bottom"/>
          </w:tcPr>
          <w:p w14:paraId="10AAD125"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042626D3" w14:textId="4F3CFCAD" w:rsidR="002A6DCB" w:rsidRPr="00C6458F" w:rsidRDefault="002A6DCB" w:rsidP="002A6DCB">
            <w:pPr>
              <w:spacing w:after="120" w:line="240" w:lineRule="auto"/>
              <w:jc w:val="right"/>
              <w:rPr>
                <w:rFonts w:cs="Calibri"/>
                <w:b/>
                <w:bCs/>
                <w:color w:val="000000"/>
                <w:sz w:val="20"/>
                <w:szCs w:val="20"/>
                <w:lang w:val="en-GB"/>
              </w:rPr>
            </w:pPr>
            <w:r w:rsidRPr="00C6458F">
              <w:rPr>
                <w:rFonts w:cs="Calibri"/>
                <w:b/>
                <w:bCs/>
                <w:color w:val="000000"/>
                <w:sz w:val="20"/>
                <w:szCs w:val="20"/>
                <w:lang w:val="en-GB"/>
              </w:rPr>
              <w:t>1</w:t>
            </w:r>
            <w:r>
              <w:rPr>
                <w:rFonts w:cs="Calibri"/>
                <w:b/>
                <w:bCs/>
                <w:color w:val="000000"/>
                <w:sz w:val="20"/>
                <w:szCs w:val="20"/>
              </w:rPr>
              <w:t>.</w:t>
            </w:r>
            <w:r w:rsidRPr="00C6458F">
              <w:rPr>
                <w:rFonts w:cs="Calibri"/>
                <w:b/>
                <w:bCs/>
                <w:color w:val="000000"/>
                <w:sz w:val="20"/>
                <w:szCs w:val="20"/>
                <w:lang w:val="en-GB"/>
              </w:rPr>
              <w:t>117</w:t>
            </w:r>
            <w:r>
              <w:rPr>
                <w:rFonts w:cs="Calibri"/>
                <w:b/>
                <w:bCs/>
                <w:color w:val="000000"/>
                <w:sz w:val="20"/>
                <w:szCs w:val="20"/>
              </w:rPr>
              <w:t>.</w:t>
            </w:r>
            <w:r w:rsidRPr="00C6458F">
              <w:rPr>
                <w:rFonts w:cs="Calibri"/>
                <w:b/>
                <w:bCs/>
                <w:color w:val="000000"/>
                <w:sz w:val="20"/>
                <w:szCs w:val="20"/>
                <w:lang w:val="en-GB"/>
              </w:rPr>
              <w:t>962</w:t>
            </w:r>
          </w:p>
        </w:tc>
      </w:tr>
      <w:tr w:rsidR="002A6DCB" w:rsidRPr="00C6458F" w14:paraId="7AD037B0"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56DA66D2" w14:textId="736A9B3A" w:rsidR="002A6DCB" w:rsidRPr="00C6458F" w:rsidRDefault="002A6DCB" w:rsidP="002A6DCB">
            <w:pPr>
              <w:spacing w:after="120" w:line="240" w:lineRule="auto"/>
              <w:jc w:val="both"/>
              <w:rPr>
                <w:rFonts w:eastAsia="Times New Roman"/>
                <w:b/>
                <w:bCs/>
                <w:sz w:val="20"/>
                <w:szCs w:val="20"/>
                <w:lang w:val="en-GB" w:eastAsia="el-GR"/>
              </w:rPr>
            </w:pPr>
            <w:r w:rsidRPr="006C0543">
              <w:rPr>
                <w:b/>
                <w:color w:val="000000"/>
                <w:sz w:val="20"/>
              </w:rPr>
              <w:t>Σύνολο ενεργητικού</w:t>
            </w:r>
          </w:p>
        </w:tc>
        <w:tc>
          <w:tcPr>
            <w:tcW w:w="1985" w:type="dxa"/>
            <w:tcBorders>
              <w:top w:val="nil"/>
              <w:left w:val="nil"/>
              <w:bottom w:val="single" w:sz="4" w:space="0" w:color="auto"/>
              <w:right w:val="nil"/>
            </w:tcBorders>
            <w:shd w:val="clear" w:color="auto" w:fill="E2EFD9"/>
            <w:noWrap/>
            <w:vAlign w:val="bottom"/>
          </w:tcPr>
          <w:p w14:paraId="13A76168" w14:textId="093920DE" w:rsidR="002A6DCB" w:rsidRPr="00C6458F" w:rsidRDefault="002A6DCB" w:rsidP="002A6DCB">
            <w:pPr>
              <w:spacing w:after="120" w:line="240" w:lineRule="auto"/>
              <w:jc w:val="right"/>
              <w:rPr>
                <w:rFonts w:cs="Calibri"/>
                <w:b/>
                <w:bCs/>
                <w:color w:val="000000"/>
                <w:sz w:val="20"/>
                <w:szCs w:val="20"/>
                <w:lang w:val="en-GB"/>
              </w:rPr>
            </w:pPr>
            <w:r>
              <w:rPr>
                <w:rFonts w:cs="Calibri"/>
                <w:b/>
                <w:bCs/>
                <w:color w:val="000000"/>
                <w:sz w:val="20"/>
                <w:szCs w:val="20"/>
              </w:rPr>
              <w:t>1.954.587</w:t>
            </w:r>
          </w:p>
        </w:tc>
        <w:tc>
          <w:tcPr>
            <w:tcW w:w="283" w:type="dxa"/>
            <w:tcBorders>
              <w:top w:val="nil"/>
              <w:left w:val="nil"/>
              <w:bottom w:val="nil"/>
              <w:right w:val="nil"/>
            </w:tcBorders>
            <w:shd w:val="clear" w:color="auto" w:fill="auto"/>
            <w:noWrap/>
            <w:vAlign w:val="bottom"/>
          </w:tcPr>
          <w:p w14:paraId="17508177"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single" w:sz="4" w:space="0" w:color="auto"/>
              <w:right w:val="nil"/>
            </w:tcBorders>
            <w:shd w:val="clear" w:color="auto" w:fill="auto"/>
            <w:noWrap/>
            <w:vAlign w:val="bottom"/>
            <w:hideMark/>
          </w:tcPr>
          <w:p w14:paraId="06836BEE" w14:textId="28625CE9" w:rsidR="002A6DCB" w:rsidRPr="00C6458F" w:rsidRDefault="002A6DCB" w:rsidP="002A6DCB">
            <w:pPr>
              <w:spacing w:after="120" w:line="240" w:lineRule="auto"/>
              <w:jc w:val="right"/>
              <w:rPr>
                <w:rFonts w:cs="Calibri"/>
                <w:b/>
                <w:bCs/>
                <w:color w:val="000000"/>
                <w:sz w:val="20"/>
                <w:szCs w:val="20"/>
                <w:lang w:val="en-GB"/>
              </w:rPr>
            </w:pPr>
            <w:r w:rsidRPr="00C6458F">
              <w:rPr>
                <w:rFonts w:cs="Calibri"/>
                <w:b/>
                <w:bCs/>
                <w:color w:val="000000"/>
                <w:sz w:val="20"/>
                <w:szCs w:val="20"/>
                <w:lang w:val="en-GB"/>
              </w:rPr>
              <w:t>1</w:t>
            </w:r>
            <w:r>
              <w:rPr>
                <w:rFonts w:cs="Calibri"/>
                <w:b/>
                <w:bCs/>
                <w:color w:val="000000"/>
                <w:sz w:val="20"/>
                <w:szCs w:val="20"/>
              </w:rPr>
              <w:t>.</w:t>
            </w:r>
            <w:r w:rsidRPr="00C6458F">
              <w:rPr>
                <w:rFonts w:cs="Calibri"/>
                <w:b/>
                <w:bCs/>
                <w:color w:val="000000"/>
                <w:sz w:val="20"/>
                <w:szCs w:val="20"/>
                <w:lang w:val="en-GB"/>
              </w:rPr>
              <w:t>839</w:t>
            </w:r>
            <w:r>
              <w:rPr>
                <w:rFonts w:cs="Calibri"/>
                <w:b/>
                <w:bCs/>
                <w:color w:val="000000"/>
                <w:sz w:val="20"/>
                <w:szCs w:val="20"/>
              </w:rPr>
              <w:t>.</w:t>
            </w:r>
            <w:r w:rsidRPr="00C6458F">
              <w:rPr>
                <w:rFonts w:cs="Calibri"/>
                <w:b/>
                <w:bCs/>
                <w:color w:val="000000"/>
                <w:sz w:val="20"/>
                <w:szCs w:val="20"/>
                <w:lang w:val="en-GB"/>
              </w:rPr>
              <w:t>158</w:t>
            </w:r>
          </w:p>
        </w:tc>
      </w:tr>
      <w:tr w:rsidR="002A6DCB" w:rsidRPr="00C6458F" w14:paraId="0C0E6235"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20F55DEA" w14:textId="21617AC3" w:rsidR="002A6DCB" w:rsidRPr="00C6458F" w:rsidRDefault="002A6DCB" w:rsidP="002A6DCB">
            <w:pPr>
              <w:spacing w:after="120" w:line="240" w:lineRule="auto"/>
              <w:jc w:val="both"/>
              <w:rPr>
                <w:rFonts w:eastAsia="Times New Roman"/>
                <w:b/>
                <w:bCs/>
                <w:sz w:val="20"/>
                <w:szCs w:val="20"/>
                <w:lang w:val="en-GB" w:eastAsia="el-GR"/>
              </w:rPr>
            </w:pPr>
            <w:r w:rsidRPr="006C0543">
              <w:rPr>
                <w:b/>
                <w:color w:val="000000"/>
                <w:sz w:val="20"/>
              </w:rPr>
              <w:t>ΙΔΙΑ ΚΕΦΑΛΑΙΑ</w:t>
            </w:r>
          </w:p>
        </w:tc>
        <w:tc>
          <w:tcPr>
            <w:tcW w:w="1985" w:type="dxa"/>
            <w:tcBorders>
              <w:top w:val="nil"/>
              <w:left w:val="nil"/>
              <w:bottom w:val="nil"/>
              <w:right w:val="nil"/>
            </w:tcBorders>
            <w:shd w:val="clear" w:color="auto" w:fill="E2EFD9"/>
            <w:noWrap/>
            <w:vAlign w:val="bottom"/>
          </w:tcPr>
          <w:p w14:paraId="0020A0F8" w14:textId="6AE92781" w:rsidR="002A6DCB" w:rsidRPr="00C6458F" w:rsidRDefault="002A6DCB" w:rsidP="002A6DCB">
            <w:pPr>
              <w:spacing w:after="120" w:line="240" w:lineRule="auto"/>
              <w:rPr>
                <w:rFonts w:cs="Calibri"/>
                <w:color w:val="000000"/>
                <w:sz w:val="20"/>
                <w:szCs w:val="20"/>
                <w:lang w:val="en-GB"/>
              </w:rPr>
            </w:pPr>
            <w:r w:rsidRPr="00C6458F">
              <w:rPr>
                <w:rFonts w:cs="Calibri"/>
                <w:color w:val="000000"/>
                <w:sz w:val="20"/>
                <w:szCs w:val="20"/>
                <w:lang w:val="en-GB"/>
              </w:rPr>
              <w:t> </w:t>
            </w:r>
          </w:p>
        </w:tc>
        <w:tc>
          <w:tcPr>
            <w:tcW w:w="283" w:type="dxa"/>
            <w:tcBorders>
              <w:top w:val="nil"/>
              <w:left w:val="nil"/>
              <w:bottom w:val="nil"/>
              <w:right w:val="nil"/>
            </w:tcBorders>
            <w:shd w:val="clear" w:color="auto" w:fill="auto"/>
            <w:noWrap/>
            <w:vAlign w:val="bottom"/>
          </w:tcPr>
          <w:p w14:paraId="7ECBFE17"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72DFBACE" w14:textId="485B965D"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r>
      <w:tr w:rsidR="002A6DCB" w:rsidRPr="00C6458F" w14:paraId="08130B29"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1EDA37FD" w14:textId="6A34DEB3" w:rsidR="002A6DCB" w:rsidRPr="00C6458F" w:rsidRDefault="002A6DCB" w:rsidP="002A6DCB">
            <w:pPr>
              <w:spacing w:after="120" w:line="240" w:lineRule="auto"/>
              <w:jc w:val="both"/>
              <w:rPr>
                <w:rFonts w:eastAsia="Times New Roman"/>
                <w:sz w:val="20"/>
                <w:szCs w:val="20"/>
                <w:lang w:val="en-GB" w:eastAsia="el-GR"/>
              </w:rPr>
            </w:pPr>
            <w:r w:rsidRPr="006C0543">
              <w:rPr>
                <w:color w:val="000000"/>
                <w:sz w:val="20"/>
              </w:rPr>
              <w:t>Μετοχικό κεφάλαιο</w:t>
            </w:r>
          </w:p>
        </w:tc>
        <w:tc>
          <w:tcPr>
            <w:tcW w:w="1985" w:type="dxa"/>
            <w:tcBorders>
              <w:top w:val="nil"/>
              <w:left w:val="nil"/>
              <w:bottom w:val="nil"/>
              <w:right w:val="nil"/>
            </w:tcBorders>
            <w:shd w:val="clear" w:color="auto" w:fill="E2EFD9"/>
            <w:noWrap/>
            <w:vAlign w:val="bottom"/>
          </w:tcPr>
          <w:p w14:paraId="34A2A93F" w14:textId="198D2419"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117.892</w:t>
            </w:r>
          </w:p>
        </w:tc>
        <w:tc>
          <w:tcPr>
            <w:tcW w:w="283" w:type="dxa"/>
            <w:tcBorders>
              <w:top w:val="nil"/>
              <w:left w:val="nil"/>
              <w:bottom w:val="nil"/>
              <w:right w:val="nil"/>
            </w:tcBorders>
            <w:shd w:val="clear" w:color="auto" w:fill="auto"/>
            <w:noWrap/>
            <w:vAlign w:val="bottom"/>
          </w:tcPr>
          <w:p w14:paraId="5F43A289"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40BF5B01" w14:textId="715C75B0"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117</w:t>
            </w:r>
            <w:r>
              <w:rPr>
                <w:rFonts w:cs="Calibri"/>
                <w:color w:val="000000"/>
                <w:sz w:val="20"/>
                <w:szCs w:val="20"/>
              </w:rPr>
              <w:t>.</w:t>
            </w:r>
            <w:r w:rsidRPr="00C6458F">
              <w:rPr>
                <w:rFonts w:cs="Calibri"/>
                <w:color w:val="000000"/>
                <w:sz w:val="20"/>
                <w:szCs w:val="20"/>
                <w:lang w:val="en-GB"/>
              </w:rPr>
              <w:t>892</w:t>
            </w:r>
          </w:p>
        </w:tc>
      </w:tr>
      <w:tr w:rsidR="002A6DCB" w:rsidRPr="00C6458F" w14:paraId="19F11B33"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5D9FD68B" w14:textId="6E4209DF" w:rsidR="002A6DCB" w:rsidRPr="002A6DCB" w:rsidRDefault="002A6DCB" w:rsidP="002A6DCB">
            <w:pPr>
              <w:spacing w:after="120" w:line="240" w:lineRule="auto"/>
              <w:jc w:val="both"/>
              <w:rPr>
                <w:rFonts w:eastAsia="Times New Roman"/>
                <w:sz w:val="20"/>
                <w:szCs w:val="20"/>
                <w:lang w:eastAsia="el-GR"/>
              </w:rPr>
            </w:pPr>
            <w:r w:rsidRPr="006C0543">
              <w:rPr>
                <w:color w:val="000000"/>
                <w:sz w:val="20"/>
              </w:rPr>
              <w:t>Διαφορά από έκδοση μετοχών υπέρ το άρτιο</w:t>
            </w:r>
          </w:p>
        </w:tc>
        <w:tc>
          <w:tcPr>
            <w:tcW w:w="1985" w:type="dxa"/>
            <w:tcBorders>
              <w:top w:val="nil"/>
              <w:left w:val="nil"/>
              <w:bottom w:val="nil"/>
              <w:right w:val="nil"/>
            </w:tcBorders>
            <w:shd w:val="clear" w:color="auto" w:fill="E2EFD9"/>
            <w:noWrap/>
            <w:vAlign w:val="bottom"/>
          </w:tcPr>
          <w:p w14:paraId="57F68A9B" w14:textId="0477BF11"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58.600</w:t>
            </w:r>
          </w:p>
        </w:tc>
        <w:tc>
          <w:tcPr>
            <w:tcW w:w="283" w:type="dxa"/>
            <w:tcBorders>
              <w:top w:val="nil"/>
              <w:left w:val="nil"/>
              <w:bottom w:val="nil"/>
              <w:right w:val="nil"/>
            </w:tcBorders>
            <w:shd w:val="clear" w:color="auto" w:fill="auto"/>
            <w:noWrap/>
            <w:vAlign w:val="bottom"/>
          </w:tcPr>
          <w:p w14:paraId="28303CAB"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5D943639" w14:textId="5D938B1A"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58</w:t>
            </w:r>
            <w:r>
              <w:rPr>
                <w:rFonts w:cs="Calibri"/>
                <w:color w:val="000000"/>
                <w:sz w:val="20"/>
                <w:szCs w:val="20"/>
              </w:rPr>
              <w:t>.</w:t>
            </w:r>
            <w:r w:rsidRPr="00C6458F">
              <w:rPr>
                <w:rFonts w:cs="Calibri"/>
                <w:color w:val="000000"/>
                <w:sz w:val="20"/>
                <w:szCs w:val="20"/>
                <w:lang w:val="en-GB"/>
              </w:rPr>
              <w:t>600</w:t>
            </w:r>
          </w:p>
        </w:tc>
      </w:tr>
      <w:tr w:rsidR="002A6DCB" w:rsidRPr="00C6458F" w14:paraId="31F0FCB4"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51AD3BFB" w14:textId="66F62F73" w:rsidR="002A6DCB" w:rsidRPr="00C6458F" w:rsidRDefault="002A6DCB" w:rsidP="002A6DCB">
            <w:pPr>
              <w:spacing w:after="120" w:line="240" w:lineRule="auto"/>
              <w:jc w:val="both"/>
              <w:rPr>
                <w:rFonts w:eastAsia="Times New Roman"/>
                <w:sz w:val="20"/>
                <w:szCs w:val="20"/>
                <w:lang w:val="en-GB" w:eastAsia="el-GR"/>
              </w:rPr>
            </w:pPr>
            <w:r w:rsidRPr="006C0543">
              <w:rPr>
                <w:color w:val="000000"/>
                <w:sz w:val="20"/>
              </w:rPr>
              <w:t>Αποθεματικά</w:t>
            </w:r>
          </w:p>
        </w:tc>
        <w:tc>
          <w:tcPr>
            <w:tcW w:w="1985" w:type="dxa"/>
            <w:tcBorders>
              <w:top w:val="nil"/>
              <w:left w:val="nil"/>
              <w:bottom w:val="nil"/>
              <w:right w:val="nil"/>
            </w:tcBorders>
            <w:shd w:val="clear" w:color="auto" w:fill="E2EFD9"/>
            <w:noWrap/>
            <w:vAlign w:val="bottom"/>
          </w:tcPr>
          <w:p w14:paraId="7DE2FED2" w14:textId="1FE35D64"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44.200</w:t>
            </w:r>
          </w:p>
        </w:tc>
        <w:tc>
          <w:tcPr>
            <w:tcW w:w="283" w:type="dxa"/>
            <w:tcBorders>
              <w:top w:val="nil"/>
              <w:left w:val="nil"/>
              <w:bottom w:val="nil"/>
              <w:right w:val="nil"/>
            </w:tcBorders>
            <w:shd w:val="clear" w:color="auto" w:fill="auto"/>
            <w:noWrap/>
            <w:vAlign w:val="bottom"/>
          </w:tcPr>
          <w:p w14:paraId="0856BB0C"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02527F79" w14:textId="0AE6DDB4"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42</w:t>
            </w:r>
            <w:r>
              <w:rPr>
                <w:rFonts w:cs="Calibri"/>
                <w:color w:val="000000"/>
                <w:sz w:val="20"/>
                <w:szCs w:val="20"/>
              </w:rPr>
              <w:t>.</w:t>
            </w:r>
            <w:r w:rsidRPr="00C6458F">
              <w:rPr>
                <w:rFonts w:cs="Calibri"/>
                <w:color w:val="000000"/>
                <w:sz w:val="20"/>
                <w:szCs w:val="20"/>
                <w:lang w:val="en-GB"/>
              </w:rPr>
              <w:t>741</w:t>
            </w:r>
          </w:p>
        </w:tc>
      </w:tr>
      <w:tr w:rsidR="002A6DCB" w:rsidRPr="00C6458F" w14:paraId="2D9E8BAF"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051B64A1" w14:textId="17336FCB" w:rsidR="002A6DCB" w:rsidRPr="00C6458F" w:rsidRDefault="002A6DCB" w:rsidP="002A6DCB">
            <w:pPr>
              <w:spacing w:after="120" w:line="240" w:lineRule="auto"/>
              <w:jc w:val="both"/>
              <w:rPr>
                <w:rFonts w:eastAsia="Times New Roman"/>
                <w:sz w:val="20"/>
                <w:szCs w:val="20"/>
                <w:lang w:val="en-GB" w:eastAsia="el-GR"/>
              </w:rPr>
            </w:pPr>
            <w:r w:rsidRPr="006C0543">
              <w:rPr>
                <w:color w:val="000000"/>
                <w:sz w:val="20"/>
              </w:rPr>
              <w:t>Κέρδη εις νέο</w:t>
            </w:r>
          </w:p>
        </w:tc>
        <w:tc>
          <w:tcPr>
            <w:tcW w:w="1985" w:type="dxa"/>
            <w:tcBorders>
              <w:top w:val="nil"/>
              <w:left w:val="nil"/>
              <w:bottom w:val="nil"/>
              <w:right w:val="nil"/>
            </w:tcBorders>
            <w:shd w:val="clear" w:color="auto" w:fill="E2EFD9"/>
            <w:noWrap/>
            <w:vAlign w:val="bottom"/>
          </w:tcPr>
          <w:p w14:paraId="06F039CD" w14:textId="5BBFAD36"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229.169</w:t>
            </w:r>
          </w:p>
        </w:tc>
        <w:tc>
          <w:tcPr>
            <w:tcW w:w="283" w:type="dxa"/>
            <w:tcBorders>
              <w:top w:val="nil"/>
              <w:left w:val="nil"/>
              <w:bottom w:val="nil"/>
              <w:right w:val="nil"/>
            </w:tcBorders>
            <w:shd w:val="clear" w:color="auto" w:fill="auto"/>
            <w:noWrap/>
            <w:vAlign w:val="bottom"/>
          </w:tcPr>
          <w:p w14:paraId="48E6219F"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3FA4BAC9" w14:textId="3F24AA5A"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185</w:t>
            </w:r>
            <w:r>
              <w:rPr>
                <w:rFonts w:cs="Calibri"/>
                <w:color w:val="000000"/>
                <w:sz w:val="20"/>
                <w:szCs w:val="20"/>
              </w:rPr>
              <w:t>.</w:t>
            </w:r>
            <w:r w:rsidRPr="00C6458F">
              <w:rPr>
                <w:rFonts w:cs="Calibri"/>
                <w:color w:val="000000"/>
                <w:sz w:val="20"/>
                <w:szCs w:val="20"/>
                <w:lang w:val="en-GB"/>
              </w:rPr>
              <w:t>804</w:t>
            </w:r>
          </w:p>
        </w:tc>
      </w:tr>
      <w:tr w:rsidR="002A6DCB" w:rsidRPr="00C6458F" w14:paraId="6108F2CC"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36618A2C" w14:textId="656EDB2F" w:rsidR="002A6DCB" w:rsidRPr="002A6DCB" w:rsidRDefault="002A6DCB" w:rsidP="002A6DCB">
            <w:pPr>
              <w:spacing w:after="120" w:line="240" w:lineRule="auto"/>
              <w:jc w:val="both"/>
              <w:rPr>
                <w:rFonts w:eastAsia="Times New Roman"/>
                <w:b/>
                <w:bCs/>
                <w:sz w:val="20"/>
                <w:szCs w:val="20"/>
                <w:lang w:eastAsia="el-GR"/>
              </w:rPr>
            </w:pPr>
            <w:r w:rsidRPr="006C0543">
              <w:rPr>
                <w:b/>
                <w:color w:val="000000"/>
                <w:sz w:val="20"/>
              </w:rPr>
              <w:t>Ίδια κεφάλαια μετόχων της Εταιρείας</w:t>
            </w:r>
          </w:p>
        </w:tc>
        <w:tc>
          <w:tcPr>
            <w:tcW w:w="1985" w:type="dxa"/>
            <w:tcBorders>
              <w:top w:val="single" w:sz="4" w:space="0" w:color="auto"/>
              <w:left w:val="nil"/>
              <w:bottom w:val="single" w:sz="4" w:space="0" w:color="auto"/>
              <w:right w:val="nil"/>
            </w:tcBorders>
            <w:shd w:val="clear" w:color="auto" w:fill="E2EFD9"/>
            <w:noWrap/>
            <w:vAlign w:val="bottom"/>
          </w:tcPr>
          <w:p w14:paraId="56FE8C68" w14:textId="2D8C729B" w:rsidR="002A6DCB" w:rsidRPr="00C6458F" w:rsidRDefault="002A6DCB" w:rsidP="002A6DCB">
            <w:pPr>
              <w:spacing w:after="120" w:line="240" w:lineRule="auto"/>
              <w:jc w:val="right"/>
              <w:rPr>
                <w:rFonts w:cs="Calibri"/>
                <w:b/>
                <w:bCs/>
                <w:color w:val="000000"/>
                <w:sz w:val="20"/>
                <w:szCs w:val="20"/>
                <w:lang w:val="en-GB"/>
              </w:rPr>
            </w:pPr>
            <w:r>
              <w:rPr>
                <w:rFonts w:cs="Calibri"/>
                <w:b/>
                <w:bCs/>
                <w:color w:val="000000"/>
                <w:sz w:val="20"/>
                <w:szCs w:val="20"/>
              </w:rPr>
              <w:t>449.861</w:t>
            </w:r>
          </w:p>
        </w:tc>
        <w:tc>
          <w:tcPr>
            <w:tcW w:w="283" w:type="dxa"/>
            <w:tcBorders>
              <w:top w:val="nil"/>
              <w:left w:val="nil"/>
              <w:bottom w:val="nil"/>
              <w:right w:val="nil"/>
            </w:tcBorders>
            <w:shd w:val="clear" w:color="auto" w:fill="auto"/>
            <w:noWrap/>
            <w:vAlign w:val="bottom"/>
          </w:tcPr>
          <w:p w14:paraId="7E5D4420"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5B0B715D" w14:textId="59AABB74" w:rsidR="002A6DCB" w:rsidRPr="00C6458F" w:rsidRDefault="002A6DCB" w:rsidP="002A6DCB">
            <w:pPr>
              <w:spacing w:after="120" w:line="240" w:lineRule="auto"/>
              <w:jc w:val="right"/>
              <w:rPr>
                <w:rFonts w:cs="Calibri"/>
                <w:b/>
                <w:bCs/>
                <w:color w:val="000000"/>
                <w:sz w:val="20"/>
                <w:szCs w:val="20"/>
                <w:lang w:val="en-GB"/>
              </w:rPr>
            </w:pPr>
            <w:r w:rsidRPr="00C6458F">
              <w:rPr>
                <w:rFonts w:cs="Calibri"/>
                <w:b/>
                <w:bCs/>
                <w:color w:val="000000"/>
                <w:sz w:val="20"/>
                <w:szCs w:val="20"/>
                <w:lang w:val="en-GB"/>
              </w:rPr>
              <w:t>405</w:t>
            </w:r>
            <w:r>
              <w:rPr>
                <w:rFonts w:cs="Calibri"/>
                <w:b/>
                <w:bCs/>
                <w:color w:val="000000"/>
                <w:sz w:val="20"/>
                <w:szCs w:val="20"/>
              </w:rPr>
              <w:t>.</w:t>
            </w:r>
            <w:r w:rsidRPr="00C6458F">
              <w:rPr>
                <w:rFonts w:cs="Calibri"/>
                <w:b/>
                <w:bCs/>
                <w:color w:val="000000"/>
                <w:sz w:val="20"/>
                <w:szCs w:val="20"/>
                <w:lang w:val="en-GB"/>
              </w:rPr>
              <w:t>037</w:t>
            </w:r>
          </w:p>
        </w:tc>
      </w:tr>
      <w:tr w:rsidR="002A6DCB" w:rsidRPr="00C6458F" w14:paraId="071A6BF5"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2F57592C" w14:textId="1388330E" w:rsidR="002A6DCB" w:rsidRPr="00C6458F" w:rsidRDefault="002A6DCB" w:rsidP="002A6DCB">
            <w:pPr>
              <w:spacing w:after="120" w:line="240" w:lineRule="auto"/>
              <w:jc w:val="both"/>
              <w:rPr>
                <w:rFonts w:eastAsia="Times New Roman"/>
                <w:sz w:val="20"/>
                <w:szCs w:val="20"/>
                <w:lang w:val="en-GB" w:eastAsia="el-GR"/>
              </w:rPr>
            </w:pPr>
            <w:r w:rsidRPr="006C0543">
              <w:rPr>
                <w:color w:val="000000"/>
                <w:sz w:val="20"/>
              </w:rPr>
              <w:t>Δικαιώματα μειοψηφίας</w:t>
            </w:r>
          </w:p>
        </w:tc>
        <w:tc>
          <w:tcPr>
            <w:tcW w:w="1985" w:type="dxa"/>
            <w:tcBorders>
              <w:top w:val="nil"/>
              <w:left w:val="nil"/>
              <w:bottom w:val="nil"/>
              <w:right w:val="nil"/>
            </w:tcBorders>
            <w:shd w:val="clear" w:color="auto" w:fill="E2EFD9"/>
            <w:noWrap/>
            <w:vAlign w:val="bottom"/>
          </w:tcPr>
          <w:p w14:paraId="4504B763" w14:textId="641EBD42"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45</w:t>
            </w:r>
          </w:p>
        </w:tc>
        <w:tc>
          <w:tcPr>
            <w:tcW w:w="283" w:type="dxa"/>
            <w:tcBorders>
              <w:top w:val="nil"/>
              <w:left w:val="nil"/>
              <w:bottom w:val="nil"/>
              <w:right w:val="nil"/>
            </w:tcBorders>
            <w:shd w:val="clear" w:color="auto" w:fill="auto"/>
            <w:noWrap/>
            <w:vAlign w:val="bottom"/>
          </w:tcPr>
          <w:p w14:paraId="60FC38F7"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47223A11" w14:textId="47870D39"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41</w:t>
            </w:r>
          </w:p>
        </w:tc>
      </w:tr>
      <w:tr w:rsidR="002A6DCB" w:rsidRPr="00C6458F" w14:paraId="6F67ECC5"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1BAC37F3" w14:textId="133C0329" w:rsidR="002A6DCB" w:rsidRPr="00C6458F" w:rsidRDefault="002A6DCB" w:rsidP="002A6DCB">
            <w:pPr>
              <w:spacing w:after="120" w:line="240" w:lineRule="auto"/>
              <w:jc w:val="both"/>
              <w:rPr>
                <w:rFonts w:eastAsia="Times New Roman"/>
                <w:b/>
                <w:bCs/>
                <w:sz w:val="20"/>
                <w:szCs w:val="20"/>
                <w:lang w:val="en-GB" w:eastAsia="el-GR"/>
              </w:rPr>
            </w:pPr>
            <w:r w:rsidRPr="006C0543">
              <w:rPr>
                <w:b/>
                <w:color w:val="000000"/>
                <w:sz w:val="20"/>
              </w:rPr>
              <w:t>Σύνολο ιδίων κεφαλαίων</w:t>
            </w:r>
          </w:p>
        </w:tc>
        <w:tc>
          <w:tcPr>
            <w:tcW w:w="1985" w:type="dxa"/>
            <w:tcBorders>
              <w:top w:val="single" w:sz="4" w:space="0" w:color="auto"/>
              <w:left w:val="nil"/>
              <w:bottom w:val="single" w:sz="4" w:space="0" w:color="auto"/>
              <w:right w:val="nil"/>
            </w:tcBorders>
            <w:shd w:val="clear" w:color="auto" w:fill="E2EFD9"/>
            <w:noWrap/>
            <w:vAlign w:val="bottom"/>
          </w:tcPr>
          <w:p w14:paraId="38EB239E" w14:textId="53CEC6E4" w:rsidR="002A6DCB" w:rsidRPr="00C6458F" w:rsidRDefault="002A6DCB" w:rsidP="002A6DCB">
            <w:pPr>
              <w:spacing w:after="120" w:line="240" w:lineRule="auto"/>
              <w:jc w:val="right"/>
              <w:rPr>
                <w:rFonts w:cs="Calibri"/>
                <w:b/>
                <w:bCs/>
                <w:color w:val="000000"/>
                <w:sz w:val="20"/>
                <w:szCs w:val="20"/>
                <w:lang w:val="en-GB"/>
              </w:rPr>
            </w:pPr>
            <w:r>
              <w:rPr>
                <w:rFonts w:cs="Calibri"/>
                <w:b/>
                <w:bCs/>
                <w:color w:val="000000"/>
                <w:sz w:val="20"/>
                <w:szCs w:val="20"/>
              </w:rPr>
              <w:t>449.906</w:t>
            </w:r>
          </w:p>
        </w:tc>
        <w:tc>
          <w:tcPr>
            <w:tcW w:w="283" w:type="dxa"/>
            <w:tcBorders>
              <w:top w:val="nil"/>
              <w:left w:val="nil"/>
              <w:bottom w:val="nil"/>
              <w:right w:val="nil"/>
            </w:tcBorders>
            <w:shd w:val="clear" w:color="auto" w:fill="auto"/>
            <w:noWrap/>
            <w:vAlign w:val="bottom"/>
          </w:tcPr>
          <w:p w14:paraId="2FC24309"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4A92738E" w14:textId="6E3900BE" w:rsidR="002A6DCB" w:rsidRPr="00C6458F" w:rsidRDefault="002A6DCB" w:rsidP="002A6DCB">
            <w:pPr>
              <w:spacing w:after="120" w:line="240" w:lineRule="auto"/>
              <w:jc w:val="right"/>
              <w:rPr>
                <w:rFonts w:cs="Calibri"/>
                <w:b/>
                <w:bCs/>
                <w:color w:val="000000"/>
                <w:sz w:val="20"/>
                <w:szCs w:val="20"/>
                <w:lang w:val="en-GB"/>
              </w:rPr>
            </w:pPr>
            <w:r w:rsidRPr="00C6458F">
              <w:rPr>
                <w:rFonts w:cs="Calibri"/>
                <w:b/>
                <w:bCs/>
                <w:color w:val="000000"/>
                <w:sz w:val="20"/>
                <w:szCs w:val="20"/>
                <w:lang w:val="en-GB"/>
              </w:rPr>
              <w:t>405</w:t>
            </w:r>
            <w:r>
              <w:rPr>
                <w:rFonts w:cs="Calibri"/>
                <w:b/>
                <w:bCs/>
                <w:color w:val="000000"/>
                <w:sz w:val="20"/>
                <w:szCs w:val="20"/>
              </w:rPr>
              <w:t>.</w:t>
            </w:r>
            <w:r w:rsidRPr="00C6458F">
              <w:rPr>
                <w:rFonts w:cs="Calibri"/>
                <w:b/>
                <w:bCs/>
                <w:color w:val="000000"/>
                <w:sz w:val="20"/>
                <w:szCs w:val="20"/>
                <w:lang w:val="en-GB"/>
              </w:rPr>
              <w:t>078</w:t>
            </w:r>
          </w:p>
        </w:tc>
      </w:tr>
      <w:tr w:rsidR="002A6DCB" w:rsidRPr="00C6458F" w14:paraId="5F3892A3"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00F327C6" w14:textId="615BEC90" w:rsidR="002A6DCB" w:rsidRPr="00C6458F" w:rsidRDefault="002A6DCB" w:rsidP="002A6DCB">
            <w:pPr>
              <w:spacing w:after="120" w:line="240" w:lineRule="auto"/>
              <w:jc w:val="both"/>
              <w:rPr>
                <w:rFonts w:eastAsia="Times New Roman"/>
                <w:b/>
                <w:bCs/>
                <w:sz w:val="20"/>
                <w:szCs w:val="20"/>
                <w:lang w:val="en-GB" w:eastAsia="el-GR"/>
              </w:rPr>
            </w:pPr>
            <w:r w:rsidRPr="006C0543">
              <w:rPr>
                <w:b/>
                <w:color w:val="000000"/>
                <w:sz w:val="20"/>
              </w:rPr>
              <w:t>ΥΠΟΧΡΕΩΣΕΙΣ</w:t>
            </w:r>
          </w:p>
        </w:tc>
        <w:tc>
          <w:tcPr>
            <w:tcW w:w="1985" w:type="dxa"/>
            <w:tcBorders>
              <w:top w:val="nil"/>
              <w:left w:val="nil"/>
              <w:bottom w:val="nil"/>
              <w:right w:val="nil"/>
            </w:tcBorders>
            <w:shd w:val="clear" w:color="auto" w:fill="E2EFD9"/>
            <w:noWrap/>
            <w:vAlign w:val="bottom"/>
          </w:tcPr>
          <w:p w14:paraId="0B49811E" w14:textId="727A02F0" w:rsidR="002A6DCB" w:rsidRPr="00C6458F" w:rsidRDefault="002A6DCB" w:rsidP="002A6DCB">
            <w:pPr>
              <w:spacing w:after="120" w:line="240" w:lineRule="auto"/>
              <w:rPr>
                <w:rFonts w:cs="Calibri"/>
                <w:color w:val="000000"/>
                <w:sz w:val="20"/>
                <w:szCs w:val="20"/>
                <w:lang w:val="en-GB"/>
              </w:rPr>
            </w:pPr>
            <w:r w:rsidRPr="00C6458F">
              <w:rPr>
                <w:rFonts w:cs="Calibri"/>
                <w:color w:val="000000"/>
                <w:sz w:val="20"/>
                <w:szCs w:val="20"/>
                <w:lang w:val="en-GB"/>
              </w:rPr>
              <w:t> </w:t>
            </w:r>
          </w:p>
        </w:tc>
        <w:tc>
          <w:tcPr>
            <w:tcW w:w="283" w:type="dxa"/>
            <w:tcBorders>
              <w:top w:val="nil"/>
              <w:left w:val="nil"/>
              <w:bottom w:val="nil"/>
              <w:right w:val="nil"/>
            </w:tcBorders>
            <w:shd w:val="clear" w:color="auto" w:fill="auto"/>
            <w:noWrap/>
            <w:vAlign w:val="bottom"/>
          </w:tcPr>
          <w:p w14:paraId="1DEB197E"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5F3DC196" w14:textId="04B94A0C"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r>
      <w:tr w:rsidR="002A6DCB" w:rsidRPr="00C6458F" w14:paraId="46E1CCBE" w14:textId="77777777" w:rsidTr="009C6DB6">
        <w:trPr>
          <w:trHeight w:hRule="exact" w:val="255"/>
        </w:trPr>
        <w:tc>
          <w:tcPr>
            <w:tcW w:w="5953" w:type="dxa"/>
            <w:tcBorders>
              <w:top w:val="nil"/>
              <w:left w:val="nil"/>
              <w:bottom w:val="nil"/>
              <w:right w:val="nil"/>
            </w:tcBorders>
            <w:shd w:val="clear" w:color="000000" w:fill="FFFFFF"/>
            <w:noWrap/>
            <w:vAlign w:val="bottom"/>
            <w:hideMark/>
          </w:tcPr>
          <w:p w14:paraId="185E5208" w14:textId="77DA9CFF" w:rsidR="002A6DCB" w:rsidRPr="00C6458F" w:rsidRDefault="002A6DCB" w:rsidP="002A6DCB">
            <w:pPr>
              <w:spacing w:after="120" w:line="240" w:lineRule="auto"/>
              <w:jc w:val="both"/>
              <w:rPr>
                <w:rFonts w:eastAsia="Times New Roman"/>
                <w:b/>
                <w:bCs/>
                <w:sz w:val="20"/>
                <w:szCs w:val="20"/>
                <w:lang w:val="en-GB" w:eastAsia="el-GR"/>
              </w:rPr>
            </w:pPr>
            <w:r w:rsidRPr="006C0543">
              <w:rPr>
                <w:b/>
                <w:color w:val="000000"/>
                <w:sz w:val="20"/>
              </w:rPr>
              <w:t>Μακροπρόθεσμες υποχρεώσεις</w:t>
            </w:r>
          </w:p>
        </w:tc>
        <w:tc>
          <w:tcPr>
            <w:tcW w:w="1985" w:type="dxa"/>
            <w:tcBorders>
              <w:top w:val="nil"/>
              <w:left w:val="nil"/>
              <w:bottom w:val="nil"/>
              <w:right w:val="nil"/>
            </w:tcBorders>
            <w:shd w:val="clear" w:color="auto" w:fill="E2EFD9"/>
            <w:noWrap/>
            <w:vAlign w:val="bottom"/>
          </w:tcPr>
          <w:p w14:paraId="757DB613" w14:textId="4DCF9EF5" w:rsidR="002A6DCB" w:rsidRPr="00C6458F" w:rsidRDefault="002A6DCB" w:rsidP="002A6DCB">
            <w:pPr>
              <w:spacing w:after="120" w:line="240" w:lineRule="auto"/>
              <w:rPr>
                <w:rFonts w:cs="Calibri"/>
                <w:color w:val="000000"/>
                <w:sz w:val="20"/>
                <w:szCs w:val="20"/>
                <w:lang w:val="en-GB"/>
              </w:rPr>
            </w:pPr>
            <w:r w:rsidRPr="00C6458F">
              <w:rPr>
                <w:rFonts w:cs="Calibri"/>
                <w:color w:val="000000"/>
                <w:sz w:val="20"/>
                <w:szCs w:val="20"/>
                <w:lang w:val="en-GB"/>
              </w:rPr>
              <w:t> </w:t>
            </w:r>
          </w:p>
        </w:tc>
        <w:tc>
          <w:tcPr>
            <w:tcW w:w="283" w:type="dxa"/>
            <w:tcBorders>
              <w:top w:val="nil"/>
              <w:left w:val="nil"/>
              <w:bottom w:val="nil"/>
              <w:right w:val="nil"/>
            </w:tcBorders>
            <w:shd w:val="clear" w:color="auto" w:fill="auto"/>
            <w:noWrap/>
            <w:vAlign w:val="bottom"/>
          </w:tcPr>
          <w:p w14:paraId="72BEE771"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20C1D3A9" w14:textId="4EF7AE70"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r>
      <w:tr w:rsidR="002A6DCB" w:rsidRPr="00C6458F" w14:paraId="091F5DE9"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5F786066" w14:textId="6B05D49F" w:rsidR="002A6DCB" w:rsidRPr="00C6458F" w:rsidRDefault="002A6DCB" w:rsidP="002A6DCB">
            <w:pPr>
              <w:spacing w:after="120" w:line="240" w:lineRule="auto"/>
              <w:jc w:val="both"/>
              <w:rPr>
                <w:rFonts w:eastAsia="Times New Roman"/>
                <w:sz w:val="20"/>
                <w:szCs w:val="20"/>
                <w:lang w:val="en-GB" w:eastAsia="el-GR"/>
              </w:rPr>
            </w:pPr>
            <w:r w:rsidRPr="006C0543">
              <w:rPr>
                <w:color w:val="000000"/>
                <w:sz w:val="20"/>
              </w:rPr>
              <w:t>Δανεισμός</w:t>
            </w:r>
          </w:p>
        </w:tc>
        <w:tc>
          <w:tcPr>
            <w:tcW w:w="1985" w:type="dxa"/>
            <w:tcBorders>
              <w:top w:val="nil"/>
              <w:left w:val="nil"/>
              <w:bottom w:val="nil"/>
              <w:right w:val="nil"/>
            </w:tcBorders>
            <w:shd w:val="clear" w:color="auto" w:fill="E2EFD9"/>
            <w:noWrap/>
            <w:vAlign w:val="bottom"/>
          </w:tcPr>
          <w:p w14:paraId="28171EEB" w14:textId="246EB409"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267.831</w:t>
            </w:r>
          </w:p>
        </w:tc>
        <w:tc>
          <w:tcPr>
            <w:tcW w:w="283" w:type="dxa"/>
            <w:tcBorders>
              <w:top w:val="nil"/>
              <w:left w:val="nil"/>
              <w:bottom w:val="nil"/>
              <w:right w:val="nil"/>
            </w:tcBorders>
            <w:shd w:val="clear" w:color="auto" w:fill="auto"/>
            <w:noWrap/>
            <w:vAlign w:val="bottom"/>
          </w:tcPr>
          <w:p w14:paraId="1A09EC7F"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09C296C9" w14:textId="4105B602"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208</w:t>
            </w:r>
            <w:r>
              <w:rPr>
                <w:rFonts w:cs="Calibri"/>
                <w:color w:val="000000"/>
                <w:sz w:val="20"/>
                <w:szCs w:val="20"/>
              </w:rPr>
              <w:t>.</w:t>
            </w:r>
            <w:r w:rsidRPr="00C6458F">
              <w:rPr>
                <w:rFonts w:cs="Calibri"/>
                <w:color w:val="000000"/>
                <w:sz w:val="20"/>
                <w:szCs w:val="20"/>
                <w:lang w:val="en-GB"/>
              </w:rPr>
              <w:t>414</w:t>
            </w:r>
          </w:p>
        </w:tc>
      </w:tr>
      <w:tr w:rsidR="002A6DCB" w:rsidRPr="00C6458F" w14:paraId="634986D4" w14:textId="77777777" w:rsidTr="009C6DB6">
        <w:trPr>
          <w:trHeight w:hRule="exact" w:val="255"/>
        </w:trPr>
        <w:tc>
          <w:tcPr>
            <w:tcW w:w="5953" w:type="dxa"/>
            <w:tcBorders>
              <w:top w:val="nil"/>
              <w:left w:val="nil"/>
              <w:bottom w:val="nil"/>
              <w:right w:val="nil"/>
            </w:tcBorders>
            <w:shd w:val="clear" w:color="000000" w:fill="FFFFFF"/>
            <w:noWrap/>
            <w:vAlign w:val="center"/>
          </w:tcPr>
          <w:p w14:paraId="136272AA" w14:textId="6F947521" w:rsidR="002A6DCB" w:rsidRPr="00C6458F" w:rsidRDefault="002A6DCB" w:rsidP="002A6DCB">
            <w:pPr>
              <w:spacing w:after="120" w:line="240" w:lineRule="auto"/>
              <w:jc w:val="both"/>
              <w:rPr>
                <w:rFonts w:eastAsia="Times New Roman"/>
                <w:sz w:val="20"/>
                <w:szCs w:val="20"/>
                <w:lang w:val="en-GB" w:eastAsia="el-GR"/>
              </w:rPr>
            </w:pPr>
            <w:r w:rsidRPr="006C0543">
              <w:rPr>
                <w:color w:val="000000"/>
                <w:sz w:val="20"/>
              </w:rPr>
              <w:t>Υποχρεώσεις από μισθώσεις</w:t>
            </w:r>
          </w:p>
        </w:tc>
        <w:tc>
          <w:tcPr>
            <w:tcW w:w="1985" w:type="dxa"/>
            <w:tcBorders>
              <w:top w:val="nil"/>
              <w:left w:val="nil"/>
              <w:right w:val="nil"/>
            </w:tcBorders>
            <w:shd w:val="clear" w:color="auto" w:fill="E2EFD9"/>
            <w:noWrap/>
            <w:vAlign w:val="bottom"/>
          </w:tcPr>
          <w:p w14:paraId="42D58E04" w14:textId="2BC6286A"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6.164</w:t>
            </w:r>
          </w:p>
        </w:tc>
        <w:tc>
          <w:tcPr>
            <w:tcW w:w="283" w:type="dxa"/>
            <w:tcBorders>
              <w:top w:val="nil"/>
              <w:left w:val="nil"/>
              <w:right w:val="nil"/>
            </w:tcBorders>
            <w:shd w:val="clear" w:color="auto" w:fill="auto"/>
            <w:noWrap/>
            <w:vAlign w:val="bottom"/>
          </w:tcPr>
          <w:p w14:paraId="15B61A61"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right w:val="nil"/>
            </w:tcBorders>
            <w:shd w:val="clear" w:color="auto" w:fill="auto"/>
            <w:noWrap/>
            <w:vAlign w:val="bottom"/>
          </w:tcPr>
          <w:p w14:paraId="061EB66F" w14:textId="6F7BB676"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6</w:t>
            </w:r>
            <w:r>
              <w:rPr>
                <w:rFonts w:cs="Calibri"/>
                <w:color w:val="000000"/>
                <w:sz w:val="20"/>
                <w:szCs w:val="20"/>
              </w:rPr>
              <w:t>.</w:t>
            </w:r>
            <w:r w:rsidRPr="00C6458F">
              <w:rPr>
                <w:rFonts w:cs="Calibri"/>
                <w:color w:val="000000"/>
                <w:sz w:val="20"/>
                <w:szCs w:val="20"/>
                <w:lang w:val="en-GB"/>
              </w:rPr>
              <w:t>244</w:t>
            </w:r>
          </w:p>
        </w:tc>
      </w:tr>
      <w:tr w:rsidR="002A6DCB" w:rsidRPr="00C6458F" w14:paraId="49C5A45B" w14:textId="77777777" w:rsidTr="009C6DB6">
        <w:trPr>
          <w:trHeight w:hRule="exact" w:val="255"/>
        </w:trPr>
        <w:tc>
          <w:tcPr>
            <w:tcW w:w="5953" w:type="dxa"/>
            <w:tcBorders>
              <w:top w:val="nil"/>
              <w:left w:val="nil"/>
              <w:bottom w:val="nil"/>
              <w:right w:val="nil"/>
            </w:tcBorders>
            <w:shd w:val="clear" w:color="000000" w:fill="FFFFFF"/>
            <w:noWrap/>
            <w:vAlign w:val="bottom"/>
          </w:tcPr>
          <w:p w14:paraId="4BA85736" w14:textId="5A5154FD" w:rsidR="002A6DCB" w:rsidRPr="00C6458F" w:rsidRDefault="002A6DCB" w:rsidP="002A6DCB">
            <w:pPr>
              <w:spacing w:after="120" w:line="240" w:lineRule="auto"/>
              <w:jc w:val="both"/>
              <w:rPr>
                <w:rFonts w:eastAsia="Times New Roman"/>
                <w:sz w:val="20"/>
                <w:szCs w:val="20"/>
                <w:lang w:val="en-GB" w:eastAsia="el-GR"/>
              </w:rPr>
            </w:pPr>
            <w:r w:rsidRPr="006C0543">
              <w:rPr>
                <w:color w:val="000000"/>
                <w:sz w:val="20"/>
              </w:rPr>
              <w:t>Παράγωγα</w:t>
            </w:r>
          </w:p>
        </w:tc>
        <w:tc>
          <w:tcPr>
            <w:tcW w:w="1985" w:type="dxa"/>
            <w:tcBorders>
              <w:top w:val="nil"/>
              <w:left w:val="nil"/>
              <w:right w:val="nil"/>
            </w:tcBorders>
            <w:shd w:val="clear" w:color="auto" w:fill="E2EFD9"/>
            <w:noWrap/>
            <w:vAlign w:val="bottom"/>
          </w:tcPr>
          <w:p w14:paraId="14269932" w14:textId="4CA839F8" w:rsidR="002A6DCB" w:rsidRPr="00C6458F" w:rsidRDefault="002A6DCB" w:rsidP="002A6DCB">
            <w:pPr>
              <w:spacing w:after="120" w:line="240" w:lineRule="auto"/>
              <w:jc w:val="right"/>
              <w:rPr>
                <w:rFonts w:cs="Calibri"/>
                <w:color w:val="000000"/>
                <w:sz w:val="20"/>
                <w:szCs w:val="20"/>
              </w:rPr>
            </w:pPr>
            <w:r>
              <w:rPr>
                <w:rFonts w:cs="Calibri"/>
                <w:color w:val="000000"/>
                <w:sz w:val="20"/>
                <w:szCs w:val="20"/>
              </w:rPr>
              <w:t>330</w:t>
            </w:r>
          </w:p>
        </w:tc>
        <w:tc>
          <w:tcPr>
            <w:tcW w:w="283" w:type="dxa"/>
            <w:tcBorders>
              <w:top w:val="nil"/>
              <w:left w:val="nil"/>
              <w:right w:val="nil"/>
            </w:tcBorders>
            <w:shd w:val="clear" w:color="auto" w:fill="auto"/>
            <w:noWrap/>
            <w:vAlign w:val="bottom"/>
          </w:tcPr>
          <w:p w14:paraId="27CFE031" w14:textId="77777777" w:rsidR="002A6DCB" w:rsidRPr="00C6458F" w:rsidRDefault="002A6DCB" w:rsidP="002A6DCB">
            <w:pPr>
              <w:spacing w:after="120" w:line="240" w:lineRule="auto"/>
              <w:jc w:val="right"/>
              <w:rPr>
                <w:rFonts w:cs="Calibri"/>
                <w:color w:val="000000"/>
                <w:sz w:val="20"/>
                <w:szCs w:val="20"/>
                <w:lang w:val="en-GB"/>
              </w:rPr>
            </w:pPr>
          </w:p>
        </w:tc>
        <w:tc>
          <w:tcPr>
            <w:tcW w:w="1985" w:type="dxa"/>
            <w:tcBorders>
              <w:top w:val="nil"/>
              <w:left w:val="nil"/>
              <w:right w:val="nil"/>
            </w:tcBorders>
            <w:shd w:val="clear" w:color="auto" w:fill="auto"/>
            <w:noWrap/>
            <w:vAlign w:val="bottom"/>
          </w:tcPr>
          <w:p w14:paraId="6CD88726" w14:textId="37E8EDA4" w:rsidR="002A6DCB" w:rsidRPr="00C6458F" w:rsidRDefault="002A6DCB" w:rsidP="002A6DCB">
            <w:pPr>
              <w:spacing w:after="120" w:line="240" w:lineRule="auto"/>
              <w:jc w:val="right"/>
              <w:rPr>
                <w:rFonts w:cs="Calibri"/>
                <w:color w:val="000000"/>
                <w:sz w:val="20"/>
                <w:szCs w:val="20"/>
              </w:rPr>
            </w:pPr>
            <w:r w:rsidRPr="00C6458F">
              <w:rPr>
                <w:rFonts w:cs="Calibri"/>
                <w:color w:val="000000"/>
                <w:sz w:val="20"/>
                <w:szCs w:val="20"/>
              </w:rPr>
              <w:t>-</w:t>
            </w:r>
          </w:p>
        </w:tc>
      </w:tr>
      <w:tr w:rsidR="002A6DCB" w:rsidRPr="00C6458F" w14:paraId="5133181A"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16C6704C" w14:textId="2AABE270" w:rsidR="002A6DCB" w:rsidRPr="00C6458F" w:rsidRDefault="002A6DCB" w:rsidP="002A6DCB">
            <w:pPr>
              <w:spacing w:after="120" w:line="240" w:lineRule="auto"/>
              <w:jc w:val="both"/>
              <w:rPr>
                <w:rFonts w:eastAsia="Times New Roman"/>
                <w:sz w:val="20"/>
                <w:szCs w:val="20"/>
                <w:lang w:val="en-GB" w:eastAsia="el-GR"/>
              </w:rPr>
            </w:pPr>
            <w:r w:rsidRPr="006C0543">
              <w:rPr>
                <w:color w:val="000000"/>
                <w:sz w:val="20"/>
              </w:rPr>
              <w:t>Υποχρεώσεις παροχών προσωπικού</w:t>
            </w:r>
          </w:p>
        </w:tc>
        <w:tc>
          <w:tcPr>
            <w:tcW w:w="1985" w:type="dxa"/>
            <w:tcBorders>
              <w:top w:val="nil"/>
              <w:left w:val="nil"/>
              <w:right w:val="nil"/>
            </w:tcBorders>
            <w:shd w:val="clear" w:color="auto" w:fill="E2EFD9"/>
            <w:noWrap/>
            <w:vAlign w:val="bottom"/>
          </w:tcPr>
          <w:p w14:paraId="55CEE20F" w14:textId="3A33E025"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3.824</w:t>
            </w:r>
          </w:p>
        </w:tc>
        <w:tc>
          <w:tcPr>
            <w:tcW w:w="283" w:type="dxa"/>
            <w:tcBorders>
              <w:top w:val="nil"/>
              <w:left w:val="nil"/>
              <w:right w:val="nil"/>
            </w:tcBorders>
            <w:shd w:val="clear" w:color="auto" w:fill="auto"/>
            <w:noWrap/>
            <w:vAlign w:val="bottom"/>
          </w:tcPr>
          <w:p w14:paraId="7CC33A1A"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right w:val="nil"/>
            </w:tcBorders>
            <w:shd w:val="clear" w:color="auto" w:fill="auto"/>
            <w:noWrap/>
            <w:vAlign w:val="bottom"/>
            <w:hideMark/>
          </w:tcPr>
          <w:p w14:paraId="689903C9" w14:textId="26FD47E9"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3</w:t>
            </w:r>
            <w:r>
              <w:rPr>
                <w:rFonts w:cs="Calibri"/>
                <w:color w:val="000000"/>
                <w:sz w:val="20"/>
                <w:szCs w:val="20"/>
              </w:rPr>
              <w:t>.</w:t>
            </w:r>
            <w:r w:rsidRPr="00C6458F">
              <w:rPr>
                <w:rFonts w:cs="Calibri"/>
                <w:color w:val="000000"/>
                <w:sz w:val="20"/>
                <w:szCs w:val="20"/>
                <w:lang w:val="en-GB"/>
              </w:rPr>
              <w:t>555</w:t>
            </w:r>
          </w:p>
        </w:tc>
      </w:tr>
      <w:tr w:rsidR="002A6DCB" w:rsidRPr="00C6458F" w14:paraId="48BFF363"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30306E5F" w14:textId="5D7AB2D6" w:rsidR="002A6DCB" w:rsidRPr="00C6458F" w:rsidRDefault="002A6DCB" w:rsidP="002A6DCB">
            <w:pPr>
              <w:spacing w:after="120" w:line="240" w:lineRule="auto"/>
              <w:jc w:val="both"/>
              <w:rPr>
                <w:rFonts w:eastAsia="Times New Roman"/>
                <w:sz w:val="20"/>
                <w:szCs w:val="20"/>
                <w:lang w:val="en-GB" w:eastAsia="el-GR"/>
              </w:rPr>
            </w:pPr>
            <w:r w:rsidRPr="006C0543">
              <w:rPr>
                <w:color w:val="000000"/>
                <w:sz w:val="20"/>
              </w:rPr>
              <w:t>Επιχορηγήσεις</w:t>
            </w:r>
          </w:p>
        </w:tc>
        <w:tc>
          <w:tcPr>
            <w:tcW w:w="1985" w:type="dxa"/>
            <w:tcBorders>
              <w:top w:val="nil"/>
              <w:left w:val="nil"/>
              <w:bottom w:val="nil"/>
              <w:right w:val="nil"/>
            </w:tcBorders>
            <w:shd w:val="clear" w:color="auto" w:fill="E2EFD9"/>
            <w:noWrap/>
            <w:vAlign w:val="bottom"/>
          </w:tcPr>
          <w:p w14:paraId="4D06EC95" w14:textId="4797D297"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13.761</w:t>
            </w:r>
          </w:p>
        </w:tc>
        <w:tc>
          <w:tcPr>
            <w:tcW w:w="283" w:type="dxa"/>
            <w:tcBorders>
              <w:top w:val="nil"/>
              <w:left w:val="nil"/>
              <w:bottom w:val="nil"/>
              <w:right w:val="nil"/>
            </w:tcBorders>
            <w:shd w:val="clear" w:color="auto" w:fill="auto"/>
            <w:noWrap/>
            <w:vAlign w:val="bottom"/>
          </w:tcPr>
          <w:p w14:paraId="1DAEE134"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59024FE5" w14:textId="2418EDE5"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14</w:t>
            </w:r>
            <w:r>
              <w:rPr>
                <w:rFonts w:cs="Calibri"/>
                <w:color w:val="000000"/>
                <w:sz w:val="20"/>
                <w:szCs w:val="20"/>
              </w:rPr>
              <w:t>.</w:t>
            </w:r>
            <w:r w:rsidRPr="00C6458F">
              <w:rPr>
                <w:rFonts w:cs="Calibri"/>
                <w:color w:val="000000"/>
                <w:sz w:val="20"/>
                <w:szCs w:val="20"/>
                <w:lang w:val="en-GB"/>
              </w:rPr>
              <w:t>123</w:t>
            </w:r>
          </w:p>
        </w:tc>
      </w:tr>
      <w:tr w:rsidR="002A6DCB" w:rsidRPr="00C6458F" w14:paraId="1D1900BE" w14:textId="77777777" w:rsidTr="009C6DB6">
        <w:trPr>
          <w:trHeight w:hRule="exact" w:val="255"/>
        </w:trPr>
        <w:tc>
          <w:tcPr>
            <w:tcW w:w="5953" w:type="dxa"/>
            <w:tcBorders>
              <w:top w:val="nil"/>
              <w:left w:val="nil"/>
              <w:bottom w:val="nil"/>
              <w:right w:val="nil"/>
            </w:tcBorders>
            <w:shd w:val="clear" w:color="000000" w:fill="FFFFFF"/>
            <w:noWrap/>
            <w:vAlign w:val="bottom"/>
          </w:tcPr>
          <w:p w14:paraId="493AFA51" w14:textId="1BC72B39" w:rsidR="002A6DCB" w:rsidRPr="00C6458F" w:rsidRDefault="002A6DCB" w:rsidP="002A6DCB">
            <w:pPr>
              <w:spacing w:after="120" w:line="240" w:lineRule="auto"/>
              <w:jc w:val="both"/>
              <w:rPr>
                <w:rFonts w:eastAsia="Times New Roman"/>
                <w:sz w:val="20"/>
                <w:szCs w:val="20"/>
                <w:lang w:val="en-GB" w:eastAsia="el-GR"/>
              </w:rPr>
            </w:pPr>
            <w:r w:rsidRPr="006C0543">
              <w:rPr>
                <w:color w:val="000000"/>
                <w:sz w:val="20"/>
              </w:rPr>
              <w:t>Προμηθευτές και λοιπές υποχρεώσεις</w:t>
            </w:r>
          </w:p>
        </w:tc>
        <w:tc>
          <w:tcPr>
            <w:tcW w:w="1985" w:type="dxa"/>
            <w:tcBorders>
              <w:top w:val="nil"/>
              <w:left w:val="nil"/>
              <w:bottom w:val="nil"/>
              <w:right w:val="nil"/>
            </w:tcBorders>
            <w:shd w:val="clear" w:color="auto" w:fill="E2EFD9"/>
            <w:noWrap/>
            <w:vAlign w:val="bottom"/>
          </w:tcPr>
          <w:p w14:paraId="76A1C0E0" w14:textId="449CFEBF"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23</w:t>
            </w:r>
          </w:p>
        </w:tc>
        <w:tc>
          <w:tcPr>
            <w:tcW w:w="283" w:type="dxa"/>
            <w:tcBorders>
              <w:top w:val="nil"/>
              <w:left w:val="nil"/>
              <w:bottom w:val="nil"/>
              <w:right w:val="nil"/>
            </w:tcBorders>
            <w:shd w:val="clear" w:color="auto" w:fill="auto"/>
            <w:noWrap/>
            <w:vAlign w:val="bottom"/>
          </w:tcPr>
          <w:p w14:paraId="36714E35" w14:textId="77777777" w:rsidR="002A6DCB" w:rsidRPr="00C6458F" w:rsidRDefault="002A6DCB" w:rsidP="002A6DCB">
            <w:pPr>
              <w:spacing w:after="120" w:line="240" w:lineRule="auto"/>
              <w:jc w:val="right"/>
              <w:rPr>
                <w:rFonts w:cs="Calibri"/>
                <w:color w:val="000000"/>
                <w:sz w:val="20"/>
                <w:szCs w:val="20"/>
                <w:lang w:val="en-GB"/>
              </w:rPr>
            </w:pPr>
          </w:p>
        </w:tc>
        <w:tc>
          <w:tcPr>
            <w:tcW w:w="1985" w:type="dxa"/>
            <w:tcBorders>
              <w:top w:val="nil"/>
              <w:left w:val="nil"/>
              <w:bottom w:val="nil"/>
              <w:right w:val="nil"/>
            </w:tcBorders>
            <w:shd w:val="clear" w:color="auto" w:fill="auto"/>
            <w:noWrap/>
            <w:vAlign w:val="bottom"/>
          </w:tcPr>
          <w:p w14:paraId="33D21268" w14:textId="5D5E55D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w:t>
            </w:r>
          </w:p>
        </w:tc>
      </w:tr>
      <w:tr w:rsidR="002A6DCB" w:rsidRPr="00C6458F" w14:paraId="724774C2"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6B38230B" w14:textId="13604C63" w:rsidR="002A6DCB" w:rsidRPr="00C6458F" w:rsidRDefault="002A6DCB" w:rsidP="002A6DCB">
            <w:pPr>
              <w:spacing w:after="120" w:line="240" w:lineRule="auto"/>
              <w:jc w:val="both"/>
              <w:rPr>
                <w:rFonts w:eastAsia="Times New Roman"/>
                <w:sz w:val="20"/>
                <w:szCs w:val="20"/>
                <w:lang w:val="en-GB" w:eastAsia="el-GR"/>
              </w:rPr>
            </w:pPr>
            <w:r w:rsidRPr="006C0543">
              <w:rPr>
                <w:color w:val="000000"/>
                <w:sz w:val="20"/>
              </w:rPr>
              <w:t>Αναβαλλόμενες φορολογικές υποχρεώσεις</w:t>
            </w:r>
          </w:p>
        </w:tc>
        <w:tc>
          <w:tcPr>
            <w:tcW w:w="1985" w:type="dxa"/>
            <w:tcBorders>
              <w:top w:val="nil"/>
              <w:left w:val="nil"/>
              <w:right w:val="nil"/>
            </w:tcBorders>
            <w:shd w:val="clear" w:color="auto" w:fill="E2EFD9"/>
            <w:noWrap/>
            <w:vAlign w:val="bottom"/>
          </w:tcPr>
          <w:p w14:paraId="63A55F25" w14:textId="37759A8A"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53.421</w:t>
            </w:r>
          </w:p>
        </w:tc>
        <w:tc>
          <w:tcPr>
            <w:tcW w:w="283" w:type="dxa"/>
            <w:tcBorders>
              <w:top w:val="nil"/>
              <w:left w:val="nil"/>
              <w:right w:val="nil"/>
            </w:tcBorders>
            <w:shd w:val="clear" w:color="auto" w:fill="auto"/>
            <w:noWrap/>
            <w:vAlign w:val="bottom"/>
          </w:tcPr>
          <w:p w14:paraId="5A3FFBE9"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right w:val="nil"/>
            </w:tcBorders>
            <w:shd w:val="clear" w:color="auto" w:fill="auto"/>
            <w:noWrap/>
            <w:vAlign w:val="bottom"/>
            <w:hideMark/>
          </w:tcPr>
          <w:p w14:paraId="63B001F1" w14:textId="0BA80965"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43</w:t>
            </w:r>
            <w:r>
              <w:rPr>
                <w:rFonts w:cs="Calibri"/>
                <w:color w:val="000000"/>
                <w:sz w:val="20"/>
                <w:szCs w:val="20"/>
              </w:rPr>
              <w:t>.</w:t>
            </w:r>
            <w:r w:rsidRPr="00C6458F">
              <w:rPr>
                <w:rFonts w:cs="Calibri"/>
                <w:color w:val="000000"/>
                <w:sz w:val="20"/>
                <w:szCs w:val="20"/>
                <w:lang w:val="en-GB"/>
              </w:rPr>
              <w:t>332</w:t>
            </w:r>
          </w:p>
        </w:tc>
      </w:tr>
      <w:tr w:rsidR="002A6DCB" w:rsidRPr="00C6458F" w14:paraId="7E800D91" w14:textId="77777777" w:rsidTr="009C6DB6">
        <w:trPr>
          <w:trHeight w:hRule="exact" w:val="255"/>
        </w:trPr>
        <w:tc>
          <w:tcPr>
            <w:tcW w:w="5953" w:type="dxa"/>
            <w:tcBorders>
              <w:top w:val="nil"/>
              <w:left w:val="nil"/>
              <w:bottom w:val="nil"/>
              <w:right w:val="nil"/>
            </w:tcBorders>
            <w:shd w:val="clear" w:color="000000" w:fill="FFFFFF"/>
            <w:noWrap/>
            <w:vAlign w:val="center"/>
          </w:tcPr>
          <w:p w14:paraId="3A571A22" w14:textId="104B4DC6" w:rsidR="002A6DCB" w:rsidRPr="00C6458F" w:rsidRDefault="002A6DCB" w:rsidP="002A6DCB">
            <w:pPr>
              <w:spacing w:after="120" w:line="240" w:lineRule="auto"/>
              <w:jc w:val="both"/>
              <w:rPr>
                <w:rFonts w:eastAsia="Times New Roman"/>
                <w:b/>
                <w:bCs/>
                <w:sz w:val="20"/>
                <w:szCs w:val="20"/>
                <w:lang w:val="en-GB" w:eastAsia="el-GR"/>
              </w:rPr>
            </w:pPr>
            <w:r w:rsidRPr="006C0543">
              <w:rPr>
                <w:color w:val="000000"/>
                <w:sz w:val="20"/>
              </w:rPr>
              <w:t>Συμβατικές υποχρεώσεις</w:t>
            </w:r>
          </w:p>
        </w:tc>
        <w:tc>
          <w:tcPr>
            <w:tcW w:w="1985" w:type="dxa"/>
            <w:tcBorders>
              <w:left w:val="nil"/>
              <w:bottom w:val="single" w:sz="4" w:space="0" w:color="auto"/>
              <w:right w:val="nil"/>
            </w:tcBorders>
            <w:shd w:val="clear" w:color="auto" w:fill="E2EFD9"/>
            <w:noWrap/>
            <w:vAlign w:val="bottom"/>
          </w:tcPr>
          <w:p w14:paraId="3A92544E" w14:textId="35B9C863"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14.232</w:t>
            </w:r>
          </w:p>
        </w:tc>
        <w:tc>
          <w:tcPr>
            <w:tcW w:w="283" w:type="dxa"/>
            <w:tcBorders>
              <w:left w:val="nil"/>
              <w:right w:val="nil"/>
            </w:tcBorders>
            <w:shd w:val="clear" w:color="auto" w:fill="auto"/>
            <w:noWrap/>
            <w:vAlign w:val="bottom"/>
          </w:tcPr>
          <w:p w14:paraId="1AB918E4"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left w:val="nil"/>
              <w:bottom w:val="single" w:sz="4" w:space="0" w:color="auto"/>
              <w:right w:val="nil"/>
            </w:tcBorders>
            <w:shd w:val="clear" w:color="auto" w:fill="auto"/>
            <w:noWrap/>
            <w:vAlign w:val="bottom"/>
          </w:tcPr>
          <w:p w14:paraId="49FCB387" w14:textId="02431567" w:rsidR="002A6DCB" w:rsidRPr="00C6458F" w:rsidRDefault="002A6DCB" w:rsidP="002A6DCB">
            <w:pPr>
              <w:spacing w:after="120" w:line="240" w:lineRule="auto"/>
              <w:jc w:val="right"/>
              <w:rPr>
                <w:rFonts w:cs="Calibri"/>
                <w:b/>
                <w:bCs/>
                <w:color w:val="000000"/>
                <w:sz w:val="20"/>
                <w:szCs w:val="20"/>
                <w:lang w:val="en-GB"/>
              </w:rPr>
            </w:pPr>
            <w:r w:rsidRPr="00C6458F">
              <w:rPr>
                <w:rFonts w:cs="Calibri"/>
                <w:color w:val="000000"/>
                <w:sz w:val="20"/>
                <w:szCs w:val="20"/>
                <w:lang w:val="en-GB"/>
              </w:rPr>
              <w:t>12</w:t>
            </w:r>
            <w:r>
              <w:rPr>
                <w:rFonts w:cs="Calibri"/>
                <w:color w:val="000000"/>
                <w:sz w:val="20"/>
                <w:szCs w:val="20"/>
              </w:rPr>
              <w:t>.</w:t>
            </w:r>
            <w:r w:rsidRPr="00C6458F">
              <w:rPr>
                <w:rFonts w:cs="Calibri"/>
                <w:color w:val="000000"/>
                <w:sz w:val="20"/>
                <w:szCs w:val="20"/>
                <w:lang w:val="en-GB"/>
              </w:rPr>
              <w:t>606</w:t>
            </w:r>
          </w:p>
        </w:tc>
      </w:tr>
      <w:tr w:rsidR="002A6DCB" w:rsidRPr="00C6458F" w14:paraId="630C224E" w14:textId="77777777" w:rsidTr="009C6DB6">
        <w:trPr>
          <w:trHeight w:hRule="exact" w:val="255"/>
        </w:trPr>
        <w:tc>
          <w:tcPr>
            <w:tcW w:w="5953" w:type="dxa"/>
            <w:tcBorders>
              <w:top w:val="nil"/>
              <w:left w:val="nil"/>
              <w:bottom w:val="nil"/>
              <w:right w:val="nil"/>
            </w:tcBorders>
            <w:shd w:val="clear" w:color="000000" w:fill="FFFFFF"/>
            <w:noWrap/>
            <w:vAlign w:val="bottom"/>
            <w:hideMark/>
          </w:tcPr>
          <w:p w14:paraId="1195777A" w14:textId="77777777" w:rsidR="002A6DCB" w:rsidRPr="00C6458F" w:rsidRDefault="002A6DCB" w:rsidP="002A6DCB">
            <w:pPr>
              <w:spacing w:after="120" w:line="240" w:lineRule="auto"/>
              <w:jc w:val="both"/>
              <w:rPr>
                <w:rFonts w:eastAsia="Times New Roman"/>
                <w:b/>
                <w:bCs/>
                <w:sz w:val="20"/>
                <w:szCs w:val="20"/>
                <w:lang w:val="en-GB" w:eastAsia="el-GR"/>
              </w:rPr>
            </w:pPr>
          </w:p>
        </w:tc>
        <w:tc>
          <w:tcPr>
            <w:tcW w:w="1985" w:type="dxa"/>
            <w:tcBorders>
              <w:top w:val="single" w:sz="4" w:space="0" w:color="auto"/>
              <w:left w:val="nil"/>
              <w:bottom w:val="single" w:sz="4" w:space="0" w:color="auto"/>
              <w:right w:val="nil"/>
            </w:tcBorders>
            <w:shd w:val="clear" w:color="auto" w:fill="E2EFD9"/>
            <w:noWrap/>
            <w:vAlign w:val="bottom"/>
          </w:tcPr>
          <w:p w14:paraId="2E154A47" w14:textId="1E3EDC95" w:rsidR="002A6DCB" w:rsidRPr="00C6458F" w:rsidRDefault="002A6DCB" w:rsidP="002A6DCB">
            <w:pPr>
              <w:spacing w:after="120" w:line="240" w:lineRule="auto"/>
              <w:jc w:val="right"/>
              <w:rPr>
                <w:rFonts w:cs="Calibri"/>
                <w:b/>
                <w:bCs/>
                <w:color w:val="000000"/>
                <w:sz w:val="20"/>
                <w:szCs w:val="20"/>
                <w:lang w:val="en-GB"/>
              </w:rPr>
            </w:pPr>
            <w:r>
              <w:rPr>
                <w:rFonts w:cs="Calibri"/>
                <w:b/>
                <w:bCs/>
                <w:color w:val="000000"/>
                <w:sz w:val="20"/>
                <w:szCs w:val="20"/>
              </w:rPr>
              <w:t>359.586</w:t>
            </w:r>
          </w:p>
        </w:tc>
        <w:tc>
          <w:tcPr>
            <w:tcW w:w="283" w:type="dxa"/>
            <w:tcBorders>
              <w:left w:val="nil"/>
              <w:right w:val="nil"/>
            </w:tcBorders>
            <w:shd w:val="clear" w:color="auto" w:fill="auto"/>
            <w:noWrap/>
            <w:vAlign w:val="bottom"/>
          </w:tcPr>
          <w:p w14:paraId="01CF6029"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0BA8BA9F" w14:textId="1721D694" w:rsidR="002A6DCB" w:rsidRPr="00C6458F" w:rsidRDefault="002A6DCB" w:rsidP="002A6DCB">
            <w:pPr>
              <w:spacing w:after="120" w:line="240" w:lineRule="auto"/>
              <w:jc w:val="right"/>
              <w:rPr>
                <w:rFonts w:cs="Calibri"/>
                <w:b/>
                <w:bCs/>
                <w:color w:val="000000"/>
                <w:sz w:val="20"/>
                <w:szCs w:val="20"/>
                <w:lang w:val="en-GB"/>
              </w:rPr>
            </w:pPr>
            <w:r w:rsidRPr="00C6458F">
              <w:rPr>
                <w:rFonts w:cs="Calibri"/>
                <w:b/>
                <w:bCs/>
                <w:color w:val="000000"/>
                <w:sz w:val="20"/>
                <w:szCs w:val="20"/>
                <w:lang w:val="en-GB"/>
              </w:rPr>
              <w:t>288</w:t>
            </w:r>
            <w:r>
              <w:rPr>
                <w:rFonts w:cs="Calibri"/>
                <w:b/>
                <w:bCs/>
                <w:color w:val="000000"/>
                <w:sz w:val="20"/>
                <w:szCs w:val="20"/>
              </w:rPr>
              <w:t>.</w:t>
            </w:r>
            <w:r w:rsidRPr="00C6458F">
              <w:rPr>
                <w:rFonts w:cs="Calibri"/>
                <w:b/>
                <w:bCs/>
                <w:color w:val="000000"/>
                <w:sz w:val="20"/>
                <w:szCs w:val="20"/>
                <w:lang w:val="en-GB"/>
              </w:rPr>
              <w:t>273</w:t>
            </w:r>
          </w:p>
        </w:tc>
      </w:tr>
      <w:tr w:rsidR="002A6DCB" w:rsidRPr="00C6458F" w14:paraId="6FB54B70" w14:textId="77777777" w:rsidTr="009C6DB6">
        <w:trPr>
          <w:trHeight w:hRule="exact" w:val="255"/>
        </w:trPr>
        <w:tc>
          <w:tcPr>
            <w:tcW w:w="5953" w:type="dxa"/>
            <w:tcBorders>
              <w:top w:val="nil"/>
              <w:left w:val="nil"/>
              <w:bottom w:val="nil"/>
              <w:right w:val="nil"/>
            </w:tcBorders>
            <w:shd w:val="clear" w:color="000000" w:fill="FFFFFF"/>
            <w:noWrap/>
            <w:vAlign w:val="bottom"/>
            <w:hideMark/>
          </w:tcPr>
          <w:p w14:paraId="638CF22D" w14:textId="4EB7B0F7" w:rsidR="002A6DCB" w:rsidRPr="00C6458F" w:rsidRDefault="002A6DCB" w:rsidP="002A6DCB">
            <w:pPr>
              <w:spacing w:after="120" w:line="240" w:lineRule="auto"/>
              <w:jc w:val="both"/>
              <w:rPr>
                <w:rFonts w:eastAsia="Times New Roman"/>
                <w:b/>
                <w:bCs/>
                <w:sz w:val="20"/>
                <w:szCs w:val="20"/>
                <w:lang w:val="en-GB" w:eastAsia="el-GR"/>
              </w:rPr>
            </w:pPr>
            <w:r w:rsidRPr="006C0543">
              <w:rPr>
                <w:b/>
                <w:color w:val="000000"/>
                <w:sz w:val="20"/>
              </w:rPr>
              <w:t>Βραχυπρόθεσμες υποχρεώσεις</w:t>
            </w:r>
          </w:p>
        </w:tc>
        <w:tc>
          <w:tcPr>
            <w:tcW w:w="1985" w:type="dxa"/>
            <w:tcBorders>
              <w:top w:val="single" w:sz="4" w:space="0" w:color="auto"/>
              <w:left w:val="nil"/>
              <w:bottom w:val="nil"/>
              <w:right w:val="nil"/>
            </w:tcBorders>
            <w:shd w:val="clear" w:color="auto" w:fill="E2EFD9"/>
            <w:noWrap/>
            <w:vAlign w:val="bottom"/>
          </w:tcPr>
          <w:p w14:paraId="31338FD3" w14:textId="18334A8A" w:rsidR="002A6DCB" w:rsidRPr="00C6458F" w:rsidRDefault="002A6DCB" w:rsidP="002A6DCB">
            <w:pPr>
              <w:spacing w:after="120" w:line="240" w:lineRule="auto"/>
              <w:rPr>
                <w:rFonts w:cs="Calibri"/>
                <w:color w:val="000000"/>
                <w:sz w:val="20"/>
                <w:szCs w:val="20"/>
                <w:lang w:val="en-GB"/>
              </w:rPr>
            </w:pPr>
            <w:r>
              <w:rPr>
                <w:rFonts w:cs="Calibri"/>
                <w:color w:val="000000"/>
                <w:sz w:val="20"/>
                <w:szCs w:val="20"/>
              </w:rPr>
              <w:t> </w:t>
            </w:r>
          </w:p>
        </w:tc>
        <w:tc>
          <w:tcPr>
            <w:tcW w:w="283" w:type="dxa"/>
            <w:tcBorders>
              <w:top w:val="nil"/>
              <w:left w:val="nil"/>
              <w:bottom w:val="nil"/>
              <w:right w:val="nil"/>
            </w:tcBorders>
            <w:shd w:val="clear" w:color="auto" w:fill="auto"/>
            <w:noWrap/>
            <w:vAlign w:val="bottom"/>
          </w:tcPr>
          <w:p w14:paraId="22216593"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single" w:sz="4" w:space="0" w:color="auto"/>
              <w:left w:val="nil"/>
              <w:bottom w:val="nil"/>
              <w:right w:val="nil"/>
            </w:tcBorders>
            <w:shd w:val="clear" w:color="auto" w:fill="auto"/>
            <w:noWrap/>
            <w:vAlign w:val="bottom"/>
            <w:hideMark/>
          </w:tcPr>
          <w:p w14:paraId="76427CA9" w14:textId="40F6EA62"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r>
      <w:tr w:rsidR="002A6DCB" w:rsidRPr="00C6458F" w14:paraId="4A9182C2"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191C0532" w14:textId="1F370034" w:rsidR="002A6DCB" w:rsidRPr="00C6458F" w:rsidRDefault="002A6DCB" w:rsidP="002A6DCB">
            <w:pPr>
              <w:spacing w:after="120" w:line="240" w:lineRule="auto"/>
              <w:jc w:val="both"/>
              <w:rPr>
                <w:rFonts w:eastAsia="Times New Roman"/>
                <w:sz w:val="20"/>
                <w:szCs w:val="20"/>
                <w:lang w:val="en-GB" w:eastAsia="el-GR"/>
              </w:rPr>
            </w:pPr>
            <w:r w:rsidRPr="006C0543">
              <w:rPr>
                <w:color w:val="000000"/>
                <w:sz w:val="20"/>
              </w:rPr>
              <w:t>Δανεισμός</w:t>
            </w:r>
          </w:p>
        </w:tc>
        <w:tc>
          <w:tcPr>
            <w:tcW w:w="1985" w:type="dxa"/>
            <w:tcBorders>
              <w:top w:val="nil"/>
              <w:left w:val="nil"/>
              <w:bottom w:val="nil"/>
              <w:right w:val="nil"/>
            </w:tcBorders>
            <w:shd w:val="clear" w:color="auto" w:fill="E2EFD9"/>
            <w:noWrap/>
            <w:vAlign w:val="bottom"/>
          </w:tcPr>
          <w:p w14:paraId="63000C3B" w14:textId="76A587DB"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373.228</w:t>
            </w:r>
          </w:p>
        </w:tc>
        <w:tc>
          <w:tcPr>
            <w:tcW w:w="283" w:type="dxa"/>
            <w:tcBorders>
              <w:top w:val="nil"/>
              <w:left w:val="nil"/>
              <w:bottom w:val="nil"/>
              <w:right w:val="nil"/>
            </w:tcBorders>
            <w:shd w:val="clear" w:color="auto" w:fill="auto"/>
            <w:noWrap/>
            <w:vAlign w:val="bottom"/>
          </w:tcPr>
          <w:p w14:paraId="13E20EB3"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625AA5A4" w14:textId="7537E25A"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343</w:t>
            </w:r>
            <w:r>
              <w:rPr>
                <w:rFonts w:cs="Calibri"/>
                <w:color w:val="000000"/>
                <w:sz w:val="20"/>
                <w:szCs w:val="20"/>
              </w:rPr>
              <w:t>.</w:t>
            </w:r>
            <w:r w:rsidRPr="00C6458F">
              <w:rPr>
                <w:rFonts w:cs="Calibri"/>
                <w:color w:val="000000"/>
                <w:sz w:val="20"/>
                <w:szCs w:val="20"/>
                <w:lang w:val="en-GB"/>
              </w:rPr>
              <w:t>962</w:t>
            </w:r>
          </w:p>
        </w:tc>
      </w:tr>
      <w:tr w:rsidR="002A6DCB" w:rsidRPr="00C6458F" w14:paraId="28BDB3B0" w14:textId="77777777" w:rsidTr="009C6DB6">
        <w:trPr>
          <w:trHeight w:hRule="exact" w:val="255"/>
        </w:trPr>
        <w:tc>
          <w:tcPr>
            <w:tcW w:w="5953" w:type="dxa"/>
            <w:tcBorders>
              <w:top w:val="nil"/>
              <w:left w:val="nil"/>
              <w:bottom w:val="nil"/>
              <w:right w:val="nil"/>
            </w:tcBorders>
            <w:shd w:val="clear" w:color="000000" w:fill="FFFFFF"/>
            <w:noWrap/>
            <w:vAlign w:val="center"/>
          </w:tcPr>
          <w:p w14:paraId="4B5221D2" w14:textId="1BE8115F" w:rsidR="002A6DCB" w:rsidRPr="00C6458F" w:rsidRDefault="002A6DCB" w:rsidP="002A6DCB">
            <w:pPr>
              <w:spacing w:after="120" w:line="240" w:lineRule="auto"/>
              <w:jc w:val="both"/>
              <w:rPr>
                <w:rFonts w:eastAsia="Times New Roman"/>
                <w:sz w:val="20"/>
                <w:szCs w:val="20"/>
                <w:lang w:val="en-GB" w:eastAsia="el-GR"/>
              </w:rPr>
            </w:pPr>
            <w:r w:rsidRPr="006C0543">
              <w:rPr>
                <w:color w:val="000000"/>
                <w:sz w:val="20"/>
              </w:rPr>
              <w:t>Υποχρεώσεις από μισθώσεις</w:t>
            </w:r>
          </w:p>
        </w:tc>
        <w:tc>
          <w:tcPr>
            <w:tcW w:w="1985" w:type="dxa"/>
            <w:tcBorders>
              <w:top w:val="nil"/>
              <w:left w:val="nil"/>
              <w:bottom w:val="nil"/>
              <w:right w:val="nil"/>
            </w:tcBorders>
            <w:shd w:val="clear" w:color="auto" w:fill="E2EFD9"/>
            <w:noWrap/>
            <w:vAlign w:val="bottom"/>
          </w:tcPr>
          <w:p w14:paraId="28E84ADC" w14:textId="5C070724"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2.556</w:t>
            </w:r>
          </w:p>
        </w:tc>
        <w:tc>
          <w:tcPr>
            <w:tcW w:w="283" w:type="dxa"/>
            <w:tcBorders>
              <w:top w:val="nil"/>
              <w:left w:val="nil"/>
              <w:bottom w:val="nil"/>
              <w:right w:val="nil"/>
            </w:tcBorders>
            <w:shd w:val="clear" w:color="auto" w:fill="auto"/>
            <w:noWrap/>
            <w:vAlign w:val="bottom"/>
          </w:tcPr>
          <w:p w14:paraId="728C9E07"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tcPr>
          <w:p w14:paraId="17977705" w14:textId="4B21A50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2</w:t>
            </w:r>
            <w:r>
              <w:rPr>
                <w:rFonts w:cs="Calibri"/>
                <w:color w:val="000000"/>
                <w:sz w:val="20"/>
                <w:szCs w:val="20"/>
              </w:rPr>
              <w:t>.</w:t>
            </w:r>
            <w:r w:rsidRPr="00C6458F">
              <w:rPr>
                <w:rFonts w:cs="Calibri"/>
                <w:color w:val="000000"/>
                <w:sz w:val="20"/>
                <w:szCs w:val="20"/>
                <w:lang w:val="en-GB"/>
              </w:rPr>
              <w:t>352</w:t>
            </w:r>
          </w:p>
        </w:tc>
      </w:tr>
      <w:tr w:rsidR="002A6DCB" w:rsidRPr="00C6458F" w14:paraId="3FB235C7" w14:textId="77777777" w:rsidTr="009C6DB6">
        <w:trPr>
          <w:trHeight w:hRule="exact" w:val="255"/>
        </w:trPr>
        <w:tc>
          <w:tcPr>
            <w:tcW w:w="5953" w:type="dxa"/>
            <w:tcBorders>
              <w:top w:val="nil"/>
              <w:left w:val="nil"/>
              <w:bottom w:val="nil"/>
              <w:right w:val="nil"/>
            </w:tcBorders>
            <w:shd w:val="clear" w:color="000000" w:fill="FFFFFF"/>
            <w:noWrap/>
            <w:vAlign w:val="center"/>
          </w:tcPr>
          <w:p w14:paraId="10A33B9C" w14:textId="6243100B" w:rsidR="002A6DCB" w:rsidRPr="00C6458F" w:rsidRDefault="002A6DCB" w:rsidP="002A6DCB">
            <w:pPr>
              <w:spacing w:after="120" w:line="240" w:lineRule="auto"/>
              <w:jc w:val="both"/>
              <w:rPr>
                <w:rFonts w:eastAsia="Times New Roman"/>
                <w:sz w:val="20"/>
                <w:szCs w:val="20"/>
                <w:lang w:val="en-GB" w:eastAsia="el-GR"/>
              </w:rPr>
            </w:pPr>
            <w:r w:rsidRPr="006C0543">
              <w:rPr>
                <w:color w:val="000000"/>
                <w:sz w:val="20"/>
              </w:rPr>
              <w:t>Προμηθευτές και λοιπές υποχρεώσεις</w:t>
            </w:r>
          </w:p>
        </w:tc>
        <w:tc>
          <w:tcPr>
            <w:tcW w:w="1985" w:type="dxa"/>
            <w:tcBorders>
              <w:top w:val="nil"/>
              <w:left w:val="nil"/>
              <w:bottom w:val="nil"/>
              <w:right w:val="nil"/>
            </w:tcBorders>
            <w:shd w:val="clear" w:color="auto" w:fill="E2EFD9"/>
            <w:noWrap/>
            <w:vAlign w:val="bottom"/>
          </w:tcPr>
          <w:p w14:paraId="61328CE3" w14:textId="503E3358"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525.544</w:t>
            </w:r>
          </w:p>
        </w:tc>
        <w:tc>
          <w:tcPr>
            <w:tcW w:w="283" w:type="dxa"/>
            <w:tcBorders>
              <w:top w:val="nil"/>
              <w:left w:val="nil"/>
              <w:bottom w:val="nil"/>
              <w:right w:val="nil"/>
            </w:tcBorders>
            <w:shd w:val="clear" w:color="auto" w:fill="auto"/>
            <w:noWrap/>
            <w:vAlign w:val="bottom"/>
          </w:tcPr>
          <w:p w14:paraId="6B53C9A9"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tcPr>
          <w:p w14:paraId="086C5980" w14:textId="6F791168"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519</w:t>
            </w:r>
            <w:r>
              <w:rPr>
                <w:rFonts w:cs="Calibri"/>
                <w:color w:val="000000"/>
                <w:sz w:val="20"/>
                <w:szCs w:val="20"/>
              </w:rPr>
              <w:t>.</w:t>
            </w:r>
            <w:r w:rsidRPr="00C6458F">
              <w:rPr>
                <w:rFonts w:cs="Calibri"/>
                <w:color w:val="000000"/>
                <w:sz w:val="20"/>
                <w:szCs w:val="20"/>
                <w:lang w:val="en-GB"/>
              </w:rPr>
              <w:t>926</w:t>
            </w:r>
          </w:p>
        </w:tc>
      </w:tr>
      <w:tr w:rsidR="002A6DCB" w:rsidRPr="00C6458F" w14:paraId="074043F3" w14:textId="77777777" w:rsidTr="009C6DB6">
        <w:trPr>
          <w:trHeight w:hRule="exact" w:val="255"/>
        </w:trPr>
        <w:tc>
          <w:tcPr>
            <w:tcW w:w="5953" w:type="dxa"/>
            <w:tcBorders>
              <w:top w:val="nil"/>
              <w:left w:val="nil"/>
              <w:bottom w:val="nil"/>
              <w:right w:val="nil"/>
            </w:tcBorders>
            <w:shd w:val="clear" w:color="000000" w:fill="FFFFFF"/>
            <w:noWrap/>
            <w:vAlign w:val="bottom"/>
            <w:hideMark/>
          </w:tcPr>
          <w:p w14:paraId="32C5E890" w14:textId="32467972" w:rsidR="002A6DCB" w:rsidRPr="00C6458F" w:rsidRDefault="002A6DCB" w:rsidP="002A6DCB">
            <w:pPr>
              <w:spacing w:after="120" w:line="240" w:lineRule="auto"/>
              <w:jc w:val="both"/>
              <w:rPr>
                <w:rFonts w:eastAsia="Times New Roman"/>
                <w:sz w:val="20"/>
                <w:szCs w:val="20"/>
                <w:lang w:val="en-GB" w:eastAsia="el-GR"/>
              </w:rPr>
            </w:pPr>
            <w:r>
              <w:rPr>
                <w:rFonts w:eastAsia="Times New Roman"/>
                <w:sz w:val="20"/>
                <w:szCs w:val="20"/>
                <w:lang w:eastAsia="el-GR"/>
              </w:rPr>
              <w:t>Προβλέψεις</w:t>
            </w:r>
          </w:p>
        </w:tc>
        <w:tc>
          <w:tcPr>
            <w:tcW w:w="1985" w:type="dxa"/>
            <w:tcBorders>
              <w:top w:val="nil"/>
              <w:left w:val="nil"/>
              <w:bottom w:val="nil"/>
              <w:right w:val="nil"/>
            </w:tcBorders>
            <w:shd w:val="clear" w:color="auto" w:fill="E2EFD9"/>
            <w:noWrap/>
            <w:vAlign w:val="bottom"/>
          </w:tcPr>
          <w:p w14:paraId="6D77AAE9" w14:textId="4CB5ECE0"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15.958</w:t>
            </w:r>
          </w:p>
        </w:tc>
        <w:tc>
          <w:tcPr>
            <w:tcW w:w="283" w:type="dxa"/>
            <w:tcBorders>
              <w:top w:val="nil"/>
              <w:left w:val="nil"/>
              <w:bottom w:val="nil"/>
              <w:right w:val="nil"/>
            </w:tcBorders>
            <w:shd w:val="clear" w:color="auto" w:fill="auto"/>
            <w:noWrap/>
            <w:vAlign w:val="bottom"/>
          </w:tcPr>
          <w:p w14:paraId="22E49B3E"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372450E5" w14:textId="491A519F"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15</w:t>
            </w:r>
            <w:r>
              <w:rPr>
                <w:rFonts w:cs="Calibri"/>
                <w:color w:val="000000"/>
                <w:sz w:val="20"/>
                <w:szCs w:val="20"/>
              </w:rPr>
              <w:t>.</w:t>
            </w:r>
            <w:r w:rsidRPr="00C6458F">
              <w:rPr>
                <w:rFonts w:cs="Calibri"/>
                <w:color w:val="000000"/>
                <w:sz w:val="20"/>
                <w:szCs w:val="20"/>
                <w:lang w:val="en-GB"/>
              </w:rPr>
              <w:t>460</w:t>
            </w:r>
          </w:p>
        </w:tc>
      </w:tr>
      <w:tr w:rsidR="002A6DCB" w:rsidRPr="00C6458F" w14:paraId="0E259548"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477B8430" w14:textId="2DAD2833" w:rsidR="002A6DCB" w:rsidRPr="00C6458F" w:rsidRDefault="002A6DCB" w:rsidP="002A6DCB">
            <w:pPr>
              <w:spacing w:after="120" w:line="240" w:lineRule="auto"/>
              <w:jc w:val="both"/>
              <w:rPr>
                <w:rFonts w:eastAsia="Times New Roman"/>
                <w:sz w:val="20"/>
                <w:szCs w:val="20"/>
                <w:lang w:val="en-GB" w:eastAsia="el-GR"/>
              </w:rPr>
            </w:pPr>
            <w:r w:rsidRPr="006C0543">
              <w:rPr>
                <w:color w:val="000000"/>
                <w:sz w:val="20"/>
              </w:rPr>
              <w:t xml:space="preserve">Συμβατικές υποχρεώσεις </w:t>
            </w:r>
          </w:p>
        </w:tc>
        <w:tc>
          <w:tcPr>
            <w:tcW w:w="1985" w:type="dxa"/>
            <w:tcBorders>
              <w:top w:val="nil"/>
              <w:left w:val="nil"/>
              <w:bottom w:val="nil"/>
              <w:right w:val="nil"/>
            </w:tcBorders>
            <w:shd w:val="clear" w:color="auto" w:fill="E2EFD9"/>
            <w:noWrap/>
            <w:vAlign w:val="bottom"/>
          </w:tcPr>
          <w:p w14:paraId="688B0724" w14:textId="7F30A044"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204.683</w:t>
            </w:r>
          </w:p>
        </w:tc>
        <w:tc>
          <w:tcPr>
            <w:tcW w:w="283" w:type="dxa"/>
            <w:tcBorders>
              <w:top w:val="nil"/>
              <w:left w:val="nil"/>
              <w:bottom w:val="nil"/>
              <w:right w:val="nil"/>
            </w:tcBorders>
            <w:shd w:val="clear" w:color="auto" w:fill="auto"/>
            <w:noWrap/>
            <w:vAlign w:val="bottom"/>
          </w:tcPr>
          <w:p w14:paraId="389DEAE3"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1D48D524" w14:textId="2C33B0C4"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252</w:t>
            </w:r>
            <w:r>
              <w:rPr>
                <w:rFonts w:cs="Calibri"/>
                <w:color w:val="000000"/>
                <w:sz w:val="20"/>
                <w:szCs w:val="20"/>
              </w:rPr>
              <w:t>.</w:t>
            </w:r>
            <w:r w:rsidRPr="00C6458F">
              <w:rPr>
                <w:rFonts w:cs="Calibri"/>
                <w:color w:val="000000"/>
                <w:sz w:val="20"/>
                <w:szCs w:val="20"/>
                <w:lang w:val="en-GB"/>
              </w:rPr>
              <w:t>627</w:t>
            </w:r>
          </w:p>
        </w:tc>
      </w:tr>
      <w:tr w:rsidR="002A6DCB" w:rsidRPr="00C6458F" w14:paraId="4BA83897"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52DC9E68" w14:textId="0824912B" w:rsidR="002A6DCB" w:rsidRPr="00C6458F" w:rsidRDefault="002A6DCB" w:rsidP="002A6DCB">
            <w:pPr>
              <w:spacing w:after="120" w:line="240" w:lineRule="auto"/>
              <w:jc w:val="both"/>
              <w:rPr>
                <w:rFonts w:eastAsia="Times New Roman"/>
                <w:sz w:val="20"/>
                <w:szCs w:val="20"/>
                <w:lang w:val="en-GB" w:eastAsia="el-GR"/>
              </w:rPr>
            </w:pPr>
            <w:r w:rsidRPr="001E1018">
              <w:rPr>
                <w:color w:val="000000"/>
                <w:sz w:val="20"/>
              </w:rPr>
              <w:t>Υποχρέωση από φόρο εισοδήματος</w:t>
            </w:r>
          </w:p>
        </w:tc>
        <w:tc>
          <w:tcPr>
            <w:tcW w:w="1985" w:type="dxa"/>
            <w:tcBorders>
              <w:top w:val="nil"/>
              <w:left w:val="nil"/>
              <w:bottom w:val="nil"/>
              <w:right w:val="nil"/>
            </w:tcBorders>
            <w:shd w:val="clear" w:color="auto" w:fill="E2EFD9"/>
            <w:noWrap/>
            <w:vAlign w:val="bottom"/>
          </w:tcPr>
          <w:p w14:paraId="74B5DEE9" w14:textId="077CA0DC"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20.286</w:t>
            </w:r>
          </w:p>
        </w:tc>
        <w:tc>
          <w:tcPr>
            <w:tcW w:w="283" w:type="dxa"/>
            <w:tcBorders>
              <w:top w:val="nil"/>
              <w:left w:val="nil"/>
              <w:bottom w:val="nil"/>
              <w:right w:val="nil"/>
            </w:tcBorders>
            <w:shd w:val="clear" w:color="auto" w:fill="auto"/>
            <w:noWrap/>
            <w:vAlign w:val="bottom"/>
          </w:tcPr>
          <w:p w14:paraId="00357667"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1E0BF44F" w14:textId="6752AB5A"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10</w:t>
            </w:r>
            <w:r>
              <w:rPr>
                <w:rFonts w:cs="Calibri"/>
                <w:color w:val="000000"/>
                <w:sz w:val="20"/>
                <w:szCs w:val="20"/>
              </w:rPr>
              <w:t>.</w:t>
            </w:r>
            <w:r w:rsidRPr="00C6458F">
              <w:rPr>
                <w:rFonts w:cs="Calibri"/>
                <w:color w:val="000000"/>
                <w:sz w:val="20"/>
                <w:szCs w:val="20"/>
                <w:lang w:val="en-GB"/>
              </w:rPr>
              <w:t>815</w:t>
            </w:r>
          </w:p>
        </w:tc>
      </w:tr>
      <w:tr w:rsidR="002A6DCB" w:rsidRPr="00C6458F" w14:paraId="01B59B83"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0F8FE26F" w14:textId="5BF812BC" w:rsidR="002A6DCB" w:rsidRPr="00C6458F" w:rsidRDefault="002A6DCB" w:rsidP="002A6DCB">
            <w:pPr>
              <w:spacing w:after="120" w:line="240" w:lineRule="auto"/>
              <w:jc w:val="both"/>
              <w:rPr>
                <w:rFonts w:eastAsia="Times New Roman"/>
                <w:sz w:val="20"/>
                <w:szCs w:val="20"/>
                <w:lang w:val="en-GB" w:eastAsia="el-GR"/>
              </w:rPr>
            </w:pPr>
            <w:r w:rsidRPr="006C0543">
              <w:rPr>
                <w:color w:val="000000"/>
                <w:sz w:val="20"/>
              </w:rPr>
              <w:t>Παράγωγα</w:t>
            </w:r>
          </w:p>
        </w:tc>
        <w:tc>
          <w:tcPr>
            <w:tcW w:w="1985" w:type="dxa"/>
            <w:tcBorders>
              <w:top w:val="nil"/>
              <w:left w:val="nil"/>
              <w:bottom w:val="single" w:sz="4" w:space="0" w:color="auto"/>
              <w:right w:val="nil"/>
            </w:tcBorders>
            <w:shd w:val="clear" w:color="auto" w:fill="E2EFD9"/>
            <w:noWrap/>
            <w:vAlign w:val="bottom"/>
          </w:tcPr>
          <w:p w14:paraId="1DEE6D2E" w14:textId="04540223" w:rsidR="002A6DCB" w:rsidRPr="00C6458F" w:rsidRDefault="002A6DCB" w:rsidP="002A6DCB">
            <w:pPr>
              <w:spacing w:after="120" w:line="240" w:lineRule="auto"/>
              <w:jc w:val="right"/>
              <w:rPr>
                <w:rFonts w:cs="Calibri"/>
                <w:color w:val="000000"/>
                <w:sz w:val="20"/>
                <w:szCs w:val="20"/>
                <w:lang w:val="en-GB"/>
              </w:rPr>
            </w:pPr>
            <w:r>
              <w:rPr>
                <w:rFonts w:cs="Calibri"/>
                <w:color w:val="000000"/>
                <w:sz w:val="20"/>
                <w:szCs w:val="20"/>
              </w:rPr>
              <w:t>2.840</w:t>
            </w:r>
          </w:p>
        </w:tc>
        <w:tc>
          <w:tcPr>
            <w:tcW w:w="283" w:type="dxa"/>
            <w:tcBorders>
              <w:top w:val="nil"/>
              <w:left w:val="nil"/>
              <w:bottom w:val="nil"/>
              <w:right w:val="nil"/>
            </w:tcBorders>
            <w:shd w:val="clear" w:color="auto" w:fill="auto"/>
            <w:noWrap/>
            <w:vAlign w:val="bottom"/>
          </w:tcPr>
          <w:p w14:paraId="5EDF41AB"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nil"/>
              <w:left w:val="nil"/>
              <w:bottom w:val="single" w:sz="4" w:space="0" w:color="auto"/>
              <w:right w:val="nil"/>
            </w:tcBorders>
            <w:shd w:val="clear" w:color="auto" w:fill="auto"/>
            <w:noWrap/>
            <w:vAlign w:val="bottom"/>
            <w:hideMark/>
          </w:tcPr>
          <w:p w14:paraId="35E733A9" w14:textId="361B50AB"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665</w:t>
            </w:r>
          </w:p>
        </w:tc>
      </w:tr>
      <w:tr w:rsidR="002A6DCB" w:rsidRPr="00C6458F" w14:paraId="0A569DDD" w14:textId="77777777" w:rsidTr="009C6DB6">
        <w:trPr>
          <w:trHeight w:hRule="exact" w:val="255"/>
        </w:trPr>
        <w:tc>
          <w:tcPr>
            <w:tcW w:w="5953" w:type="dxa"/>
            <w:tcBorders>
              <w:top w:val="nil"/>
              <w:left w:val="nil"/>
              <w:bottom w:val="nil"/>
              <w:right w:val="nil"/>
            </w:tcBorders>
            <w:shd w:val="clear" w:color="000000" w:fill="FFFFFF"/>
            <w:noWrap/>
            <w:vAlign w:val="bottom"/>
            <w:hideMark/>
          </w:tcPr>
          <w:p w14:paraId="2F1B9E26" w14:textId="77777777" w:rsidR="002A6DCB" w:rsidRPr="00C6458F" w:rsidRDefault="002A6DCB" w:rsidP="002A6DCB">
            <w:pPr>
              <w:spacing w:after="120" w:line="240" w:lineRule="auto"/>
              <w:jc w:val="both"/>
              <w:rPr>
                <w:rFonts w:eastAsia="Times New Roman"/>
                <w:b/>
                <w:bCs/>
                <w:sz w:val="20"/>
                <w:szCs w:val="20"/>
                <w:lang w:val="en-GB" w:eastAsia="el-GR"/>
              </w:rPr>
            </w:pPr>
          </w:p>
        </w:tc>
        <w:tc>
          <w:tcPr>
            <w:tcW w:w="1985" w:type="dxa"/>
            <w:tcBorders>
              <w:top w:val="single" w:sz="4" w:space="0" w:color="auto"/>
              <w:left w:val="nil"/>
              <w:bottom w:val="single" w:sz="4" w:space="0" w:color="auto"/>
              <w:right w:val="nil"/>
            </w:tcBorders>
            <w:shd w:val="clear" w:color="auto" w:fill="E2EFD9"/>
            <w:noWrap/>
            <w:vAlign w:val="bottom"/>
          </w:tcPr>
          <w:p w14:paraId="518EDC11" w14:textId="310B2D84" w:rsidR="002A6DCB" w:rsidRPr="00C6458F" w:rsidRDefault="002A6DCB" w:rsidP="002A6DCB">
            <w:pPr>
              <w:spacing w:after="120" w:line="240" w:lineRule="auto"/>
              <w:jc w:val="right"/>
              <w:rPr>
                <w:rFonts w:cs="Calibri"/>
                <w:b/>
                <w:bCs/>
                <w:color w:val="000000"/>
                <w:sz w:val="20"/>
                <w:szCs w:val="20"/>
                <w:lang w:val="en-GB"/>
              </w:rPr>
            </w:pPr>
            <w:r>
              <w:rPr>
                <w:rFonts w:cs="Calibri"/>
                <w:b/>
                <w:bCs/>
                <w:color w:val="000000"/>
                <w:sz w:val="20"/>
                <w:szCs w:val="20"/>
              </w:rPr>
              <w:t>1.145.095</w:t>
            </w:r>
          </w:p>
        </w:tc>
        <w:tc>
          <w:tcPr>
            <w:tcW w:w="283" w:type="dxa"/>
            <w:tcBorders>
              <w:left w:val="nil"/>
              <w:right w:val="nil"/>
            </w:tcBorders>
            <w:shd w:val="clear" w:color="auto" w:fill="auto"/>
            <w:noWrap/>
            <w:vAlign w:val="bottom"/>
          </w:tcPr>
          <w:p w14:paraId="709D54DC"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5ECD7036" w14:textId="3DA8AEF7" w:rsidR="002A6DCB" w:rsidRPr="00C6458F" w:rsidRDefault="002A6DCB" w:rsidP="002A6DCB">
            <w:pPr>
              <w:spacing w:after="120" w:line="240" w:lineRule="auto"/>
              <w:jc w:val="right"/>
              <w:rPr>
                <w:rFonts w:cs="Calibri"/>
                <w:b/>
                <w:bCs/>
                <w:color w:val="000000"/>
                <w:sz w:val="20"/>
                <w:szCs w:val="20"/>
                <w:lang w:val="en-GB"/>
              </w:rPr>
            </w:pPr>
            <w:r w:rsidRPr="00C6458F">
              <w:rPr>
                <w:rFonts w:cs="Calibri"/>
                <w:b/>
                <w:bCs/>
                <w:color w:val="000000"/>
                <w:sz w:val="20"/>
                <w:szCs w:val="20"/>
                <w:lang w:val="en-GB"/>
              </w:rPr>
              <w:t>1</w:t>
            </w:r>
            <w:r>
              <w:rPr>
                <w:rFonts w:cs="Calibri"/>
                <w:b/>
                <w:bCs/>
                <w:color w:val="000000"/>
                <w:sz w:val="20"/>
                <w:szCs w:val="20"/>
              </w:rPr>
              <w:t>.</w:t>
            </w:r>
            <w:r w:rsidRPr="00C6458F">
              <w:rPr>
                <w:rFonts w:cs="Calibri"/>
                <w:b/>
                <w:bCs/>
                <w:color w:val="000000"/>
                <w:sz w:val="20"/>
                <w:szCs w:val="20"/>
                <w:lang w:val="en-GB"/>
              </w:rPr>
              <w:t>145</w:t>
            </w:r>
            <w:r>
              <w:rPr>
                <w:rFonts w:cs="Calibri"/>
                <w:b/>
                <w:bCs/>
                <w:color w:val="000000"/>
                <w:sz w:val="20"/>
                <w:szCs w:val="20"/>
              </w:rPr>
              <w:t>.</w:t>
            </w:r>
            <w:r w:rsidRPr="00C6458F">
              <w:rPr>
                <w:rFonts w:cs="Calibri"/>
                <w:b/>
                <w:bCs/>
                <w:color w:val="000000"/>
                <w:sz w:val="20"/>
                <w:szCs w:val="20"/>
                <w:lang w:val="en-GB"/>
              </w:rPr>
              <w:t>807</w:t>
            </w:r>
          </w:p>
        </w:tc>
      </w:tr>
      <w:tr w:rsidR="002A6DCB" w:rsidRPr="00C6458F" w14:paraId="6D7ACECF"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37F2DD62" w14:textId="5AD04AA9" w:rsidR="002A6DCB" w:rsidRPr="00C6458F" w:rsidRDefault="002A6DCB" w:rsidP="002A6DCB">
            <w:pPr>
              <w:spacing w:after="120" w:line="240" w:lineRule="auto"/>
              <w:jc w:val="both"/>
              <w:rPr>
                <w:rFonts w:eastAsia="Times New Roman"/>
                <w:b/>
                <w:bCs/>
                <w:sz w:val="20"/>
                <w:szCs w:val="20"/>
                <w:lang w:val="en-GB" w:eastAsia="el-GR"/>
              </w:rPr>
            </w:pPr>
            <w:r w:rsidRPr="006C0543">
              <w:rPr>
                <w:b/>
                <w:color w:val="000000"/>
                <w:sz w:val="20"/>
              </w:rPr>
              <w:t>Σύνολο υποχρεώσεων</w:t>
            </w:r>
          </w:p>
        </w:tc>
        <w:tc>
          <w:tcPr>
            <w:tcW w:w="1985" w:type="dxa"/>
            <w:tcBorders>
              <w:top w:val="single" w:sz="4" w:space="0" w:color="auto"/>
              <w:left w:val="nil"/>
              <w:bottom w:val="single" w:sz="4" w:space="0" w:color="auto"/>
              <w:right w:val="nil"/>
            </w:tcBorders>
            <w:shd w:val="clear" w:color="auto" w:fill="E2EFD9"/>
            <w:noWrap/>
            <w:vAlign w:val="bottom"/>
          </w:tcPr>
          <w:p w14:paraId="7B23D7FB" w14:textId="74404A93" w:rsidR="002A6DCB" w:rsidRPr="00C6458F" w:rsidRDefault="002A6DCB" w:rsidP="002A6DCB">
            <w:pPr>
              <w:spacing w:after="120" w:line="240" w:lineRule="auto"/>
              <w:jc w:val="right"/>
              <w:rPr>
                <w:rFonts w:cs="Calibri"/>
                <w:b/>
                <w:bCs/>
                <w:color w:val="000000"/>
                <w:sz w:val="20"/>
                <w:szCs w:val="20"/>
                <w:lang w:val="en-GB"/>
              </w:rPr>
            </w:pPr>
            <w:r>
              <w:rPr>
                <w:rFonts w:cs="Calibri"/>
                <w:b/>
                <w:bCs/>
                <w:color w:val="000000"/>
                <w:sz w:val="20"/>
                <w:szCs w:val="20"/>
              </w:rPr>
              <w:t>1.504.681</w:t>
            </w:r>
          </w:p>
        </w:tc>
        <w:tc>
          <w:tcPr>
            <w:tcW w:w="283" w:type="dxa"/>
            <w:tcBorders>
              <w:top w:val="nil"/>
              <w:left w:val="nil"/>
              <w:right w:val="nil"/>
            </w:tcBorders>
            <w:shd w:val="clear" w:color="auto" w:fill="auto"/>
            <w:noWrap/>
            <w:vAlign w:val="bottom"/>
          </w:tcPr>
          <w:p w14:paraId="2921C127"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0EFBD082" w14:textId="52A38F6C" w:rsidR="002A6DCB" w:rsidRPr="00C6458F" w:rsidRDefault="002A6DCB" w:rsidP="002A6DCB">
            <w:pPr>
              <w:spacing w:after="120" w:line="240" w:lineRule="auto"/>
              <w:jc w:val="right"/>
              <w:rPr>
                <w:rFonts w:cs="Calibri"/>
                <w:b/>
                <w:bCs/>
                <w:color w:val="000000"/>
                <w:sz w:val="20"/>
                <w:szCs w:val="20"/>
                <w:lang w:val="en-GB"/>
              </w:rPr>
            </w:pPr>
            <w:r w:rsidRPr="00C6458F">
              <w:rPr>
                <w:rFonts w:cs="Calibri"/>
                <w:b/>
                <w:bCs/>
                <w:color w:val="000000"/>
                <w:sz w:val="20"/>
                <w:szCs w:val="20"/>
                <w:lang w:val="en-GB"/>
              </w:rPr>
              <w:t>1</w:t>
            </w:r>
            <w:r>
              <w:rPr>
                <w:rFonts w:cs="Calibri"/>
                <w:b/>
                <w:bCs/>
                <w:color w:val="000000"/>
                <w:sz w:val="20"/>
                <w:szCs w:val="20"/>
              </w:rPr>
              <w:t>.</w:t>
            </w:r>
            <w:r w:rsidRPr="00C6458F">
              <w:rPr>
                <w:rFonts w:cs="Calibri"/>
                <w:b/>
                <w:bCs/>
                <w:color w:val="000000"/>
                <w:sz w:val="20"/>
                <w:szCs w:val="20"/>
                <w:lang w:val="en-GB"/>
              </w:rPr>
              <w:t>434</w:t>
            </w:r>
            <w:r>
              <w:rPr>
                <w:rFonts w:cs="Calibri"/>
                <w:b/>
                <w:bCs/>
                <w:color w:val="000000"/>
                <w:sz w:val="20"/>
                <w:szCs w:val="20"/>
              </w:rPr>
              <w:t>.</w:t>
            </w:r>
            <w:r w:rsidRPr="00C6458F">
              <w:rPr>
                <w:rFonts w:cs="Calibri"/>
                <w:b/>
                <w:bCs/>
                <w:color w:val="000000"/>
                <w:sz w:val="20"/>
                <w:szCs w:val="20"/>
                <w:lang w:val="en-GB"/>
              </w:rPr>
              <w:t>080</w:t>
            </w:r>
          </w:p>
        </w:tc>
      </w:tr>
      <w:tr w:rsidR="002A6DCB" w:rsidRPr="00C6458F" w14:paraId="7F9132BB" w14:textId="77777777" w:rsidTr="009C6DB6">
        <w:trPr>
          <w:trHeight w:hRule="exact" w:val="255"/>
        </w:trPr>
        <w:tc>
          <w:tcPr>
            <w:tcW w:w="5953" w:type="dxa"/>
            <w:tcBorders>
              <w:top w:val="nil"/>
              <w:left w:val="nil"/>
              <w:bottom w:val="nil"/>
              <w:right w:val="nil"/>
            </w:tcBorders>
            <w:shd w:val="clear" w:color="000000" w:fill="FFFFFF"/>
            <w:noWrap/>
            <w:vAlign w:val="center"/>
            <w:hideMark/>
          </w:tcPr>
          <w:p w14:paraId="1B5CD543" w14:textId="6C780659" w:rsidR="002A6DCB" w:rsidRPr="002A6DCB" w:rsidRDefault="002A6DCB" w:rsidP="002A6DCB">
            <w:pPr>
              <w:spacing w:after="120" w:line="240" w:lineRule="auto"/>
              <w:jc w:val="both"/>
              <w:rPr>
                <w:rFonts w:eastAsia="Times New Roman"/>
                <w:b/>
                <w:bCs/>
                <w:sz w:val="20"/>
                <w:szCs w:val="20"/>
                <w:lang w:eastAsia="el-GR"/>
              </w:rPr>
            </w:pPr>
            <w:r w:rsidRPr="006C0543">
              <w:rPr>
                <w:b/>
                <w:color w:val="000000"/>
                <w:sz w:val="20"/>
              </w:rPr>
              <w:t>Σύνολο ιδίων κεφαλαίων και υποχρεώσεων</w:t>
            </w:r>
          </w:p>
        </w:tc>
        <w:tc>
          <w:tcPr>
            <w:tcW w:w="1985" w:type="dxa"/>
            <w:tcBorders>
              <w:top w:val="single" w:sz="4" w:space="0" w:color="auto"/>
              <w:left w:val="nil"/>
              <w:bottom w:val="single" w:sz="4" w:space="0" w:color="auto"/>
              <w:right w:val="nil"/>
            </w:tcBorders>
            <w:shd w:val="clear" w:color="auto" w:fill="E2EFD9"/>
            <w:noWrap/>
            <w:vAlign w:val="bottom"/>
          </w:tcPr>
          <w:p w14:paraId="536E1AC5" w14:textId="7058C5AC" w:rsidR="002A6DCB" w:rsidRPr="00C6458F" w:rsidRDefault="002A6DCB" w:rsidP="002A6DCB">
            <w:pPr>
              <w:spacing w:after="120" w:line="240" w:lineRule="auto"/>
              <w:jc w:val="right"/>
              <w:rPr>
                <w:rFonts w:cs="Calibri"/>
                <w:b/>
                <w:bCs/>
                <w:color w:val="000000"/>
                <w:sz w:val="20"/>
                <w:szCs w:val="20"/>
                <w:lang w:val="en-GB"/>
              </w:rPr>
            </w:pPr>
            <w:r>
              <w:rPr>
                <w:rFonts w:cs="Calibri"/>
                <w:b/>
                <w:bCs/>
                <w:color w:val="000000"/>
                <w:sz w:val="20"/>
                <w:szCs w:val="20"/>
              </w:rPr>
              <w:t>1.954.587</w:t>
            </w:r>
          </w:p>
        </w:tc>
        <w:tc>
          <w:tcPr>
            <w:tcW w:w="283" w:type="dxa"/>
            <w:tcBorders>
              <w:top w:val="nil"/>
              <w:left w:val="nil"/>
              <w:right w:val="nil"/>
            </w:tcBorders>
            <w:shd w:val="clear" w:color="auto" w:fill="auto"/>
            <w:noWrap/>
            <w:vAlign w:val="bottom"/>
          </w:tcPr>
          <w:p w14:paraId="4205D095" w14:textId="77777777" w:rsidR="002A6DCB" w:rsidRPr="00C6458F" w:rsidRDefault="002A6DCB" w:rsidP="002A6DCB">
            <w:pPr>
              <w:spacing w:after="120" w:line="240" w:lineRule="auto"/>
              <w:jc w:val="right"/>
              <w:rPr>
                <w:rFonts w:cs="Calibri"/>
                <w:color w:val="000000"/>
                <w:sz w:val="20"/>
                <w:szCs w:val="20"/>
                <w:lang w:val="en-GB"/>
              </w:rPr>
            </w:pPr>
            <w:r w:rsidRPr="00C6458F">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741FB5DF" w14:textId="2C6680D7" w:rsidR="002A6DCB" w:rsidRPr="00C6458F" w:rsidRDefault="002A6DCB" w:rsidP="002A6DCB">
            <w:pPr>
              <w:spacing w:after="120" w:line="240" w:lineRule="auto"/>
              <w:jc w:val="right"/>
              <w:rPr>
                <w:rFonts w:cs="Calibri"/>
                <w:b/>
                <w:bCs/>
                <w:color w:val="000000"/>
                <w:sz w:val="20"/>
                <w:szCs w:val="20"/>
                <w:lang w:val="en-GB"/>
              </w:rPr>
            </w:pPr>
            <w:r w:rsidRPr="00C6458F">
              <w:rPr>
                <w:rFonts w:cs="Calibri"/>
                <w:b/>
                <w:bCs/>
                <w:color w:val="000000"/>
                <w:sz w:val="20"/>
                <w:szCs w:val="20"/>
                <w:lang w:val="en-GB"/>
              </w:rPr>
              <w:t>1</w:t>
            </w:r>
            <w:r>
              <w:rPr>
                <w:rFonts w:cs="Calibri"/>
                <w:b/>
                <w:bCs/>
                <w:color w:val="000000"/>
                <w:sz w:val="20"/>
                <w:szCs w:val="20"/>
              </w:rPr>
              <w:t>.</w:t>
            </w:r>
            <w:r w:rsidRPr="00C6458F">
              <w:rPr>
                <w:rFonts w:cs="Calibri"/>
                <w:b/>
                <w:bCs/>
                <w:color w:val="000000"/>
                <w:sz w:val="20"/>
                <w:szCs w:val="20"/>
                <w:lang w:val="en-GB"/>
              </w:rPr>
              <w:t>839</w:t>
            </w:r>
            <w:r>
              <w:rPr>
                <w:rFonts w:cs="Calibri"/>
                <w:b/>
                <w:bCs/>
                <w:color w:val="000000"/>
                <w:sz w:val="20"/>
                <w:szCs w:val="20"/>
              </w:rPr>
              <w:t>.</w:t>
            </w:r>
            <w:r w:rsidRPr="00C6458F">
              <w:rPr>
                <w:rFonts w:cs="Calibri"/>
                <w:b/>
                <w:bCs/>
                <w:color w:val="000000"/>
                <w:sz w:val="20"/>
                <w:szCs w:val="20"/>
                <w:lang w:val="en-GB"/>
              </w:rPr>
              <w:t>158</w:t>
            </w:r>
          </w:p>
        </w:tc>
      </w:tr>
    </w:tbl>
    <w:p w14:paraId="36719B5D" w14:textId="2F80FF70" w:rsidR="00733D55" w:rsidRPr="00CC26A8" w:rsidRDefault="00DC445D" w:rsidP="006B321F">
      <w:pPr>
        <w:keepNext/>
        <w:keepLines/>
        <w:spacing w:after="120" w:line="240" w:lineRule="auto"/>
        <w:jc w:val="both"/>
        <w:outlineLvl w:val="1"/>
        <w:rPr>
          <w:rFonts w:eastAsia="SimSun" w:cs="Calibri"/>
          <w:b/>
          <w:bCs/>
          <w:color w:val="4F6228"/>
          <w:sz w:val="24"/>
          <w:szCs w:val="24"/>
        </w:rPr>
      </w:pPr>
      <w:r w:rsidRPr="00CC26A8">
        <w:rPr>
          <w:rFonts w:eastAsia="SimSun" w:cs="Calibri"/>
          <w:b/>
          <w:bCs/>
          <w:color w:val="4F6228"/>
          <w:sz w:val="24"/>
          <w:szCs w:val="24"/>
        </w:rPr>
        <w:br w:type="page"/>
      </w:r>
      <w:bookmarkStart w:id="27" w:name="_Hlk174309681"/>
      <w:r w:rsidR="00CC26A8" w:rsidRPr="00CC26A8">
        <w:rPr>
          <w:rFonts w:eastAsia="SimSun" w:cs="Calibri"/>
          <w:b/>
          <w:bCs/>
          <w:color w:val="4F6228"/>
          <w:sz w:val="24"/>
          <w:szCs w:val="24"/>
        </w:rPr>
        <w:t xml:space="preserve">Παράρτημα </w:t>
      </w:r>
      <w:r w:rsidR="00CC26A8">
        <w:rPr>
          <w:rFonts w:eastAsia="SimSun" w:cs="Calibri"/>
          <w:b/>
          <w:bCs/>
          <w:color w:val="4F6228"/>
          <w:sz w:val="24"/>
          <w:szCs w:val="24"/>
        </w:rPr>
        <w:t>Δ</w:t>
      </w:r>
      <w:r w:rsidR="00CC26A8" w:rsidRPr="00CC26A8">
        <w:rPr>
          <w:rFonts w:eastAsia="SimSun" w:cs="Calibri"/>
          <w:b/>
          <w:bCs/>
          <w:color w:val="4F6228"/>
          <w:sz w:val="24"/>
          <w:szCs w:val="24"/>
        </w:rPr>
        <w:t xml:space="preserve"> – Εναλλακτικά μέτρα απόδοσης</w:t>
      </w:r>
    </w:p>
    <w:p w14:paraId="3125A53F" w14:textId="77777777" w:rsidR="00CC26A8" w:rsidRPr="00A46933" w:rsidRDefault="00CC26A8" w:rsidP="00CC26A8">
      <w:pPr>
        <w:spacing w:after="120" w:line="240" w:lineRule="auto"/>
        <w:jc w:val="both"/>
        <w:rPr>
          <w:rFonts w:cs="Calibri"/>
          <w:sz w:val="20"/>
          <w:szCs w:val="20"/>
        </w:rPr>
      </w:pPr>
      <w:r w:rsidRPr="00A46933">
        <w:rPr>
          <w:rFonts w:eastAsia="MS Mincho"/>
          <w:sz w:val="20"/>
          <w:szCs w:val="24"/>
        </w:rPr>
        <w:t xml:space="preserve">Παράλληλα με τα αποτελέσματα που αναφέρονται σύμφωνα με τα Διεθνή Πρότυπα Χρηματοοικονομικής Αναφοράς («ΔΠΧΑ»), όπως υιοθετήθηκαν από την Ευρωπαϊκή Ένωση, </w:t>
      </w:r>
      <w:r>
        <w:rPr>
          <w:rFonts w:eastAsia="MS Mincho"/>
          <w:sz w:val="20"/>
          <w:szCs w:val="24"/>
        </w:rPr>
        <w:t>το</w:t>
      </w:r>
      <w:r w:rsidRPr="00A46933">
        <w:rPr>
          <w:rFonts w:eastAsia="MS Mincho"/>
          <w:sz w:val="20"/>
          <w:szCs w:val="24"/>
        </w:rPr>
        <w:t xml:space="preserve"> </w:t>
      </w:r>
      <w:r>
        <w:rPr>
          <w:rFonts w:eastAsia="MS Mincho"/>
          <w:sz w:val="20"/>
          <w:szCs w:val="24"/>
        </w:rPr>
        <w:t>παρόν</w:t>
      </w:r>
      <w:r w:rsidRPr="00A46933">
        <w:rPr>
          <w:rFonts w:eastAsia="MS Mincho"/>
          <w:sz w:val="20"/>
          <w:szCs w:val="24"/>
        </w:rPr>
        <w:t xml:space="preserve"> </w:t>
      </w:r>
      <w:r>
        <w:rPr>
          <w:rFonts w:eastAsia="MS Mincho"/>
          <w:sz w:val="20"/>
          <w:szCs w:val="24"/>
        </w:rPr>
        <w:t>δελτίο τύπου</w:t>
      </w:r>
      <w:r w:rsidRPr="00A46933">
        <w:rPr>
          <w:rFonts w:eastAsia="MS Mincho"/>
          <w:sz w:val="20"/>
          <w:szCs w:val="24"/>
        </w:rPr>
        <w:t xml:space="preserve"> περιέχει πληροφορίες σχετικά με ορισμένα εναλλακτικά μέτρα απόδοσης που δεν καταρτίζονται σύμφωνα με τα ΔΠΧΑ («Εναλλακτικά Μέτρα Απόδοσης» ή «ΕΜΑ»). Τα ΕΜΑ που χρησιμοποιούνται στ</w:t>
      </w:r>
      <w:r>
        <w:rPr>
          <w:rFonts w:eastAsia="MS Mincho"/>
          <w:sz w:val="20"/>
          <w:szCs w:val="24"/>
        </w:rPr>
        <w:t>ο</w:t>
      </w:r>
      <w:r w:rsidRPr="00A46933">
        <w:rPr>
          <w:rFonts w:eastAsia="MS Mincho"/>
          <w:sz w:val="20"/>
          <w:szCs w:val="24"/>
        </w:rPr>
        <w:t xml:space="preserve"> παρ</w:t>
      </w:r>
      <w:r>
        <w:rPr>
          <w:rFonts w:eastAsia="MS Mincho"/>
          <w:sz w:val="20"/>
          <w:szCs w:val="24"/>
        </w:rPr>
        <w:t>όν</w:t>
      </w:r>
      <w:r w:rsidRPr="00A46933">
        <w:rPr>
          <w:rFonts w:eastAsia="MS Mincho"/>
          <w:sz w:val="20"/>
          <w:szCs w:val="24"/>
        </w:rPr>
        <w:t xml:space="preserve"> </w:t>
      </w:r>
      <w:r>
        <w:rPr>
          <w:rFonts w:eastAsia="MS Mincho"/>
          <w:sz w:val="20"/>
          <w:szCs w:val="24"/>
        </w:rPr>
        <w:t>δελτίο τύπου</w:t>
      </w:r>
      <w:r w:rsidRPr="00A46933">
        <w:rPr>
          <w:rFonts w:eastAsia="MS Mincho"/>
          <w:sz w:val="20"/>
          <w:szCs w:val="24"/>
        </w:rPr>
        <w:t xml:space="preserve"> είναι τα εξής: </w:t>
      </w:r>
      <w:r w:rsidRPr="00A46933">
        <w:rPr>
          <w:rFonts w:eastAsia="MS Mincho"/>
          <w:b/>
          <w:sz w:val="20"/>
          <w:szCs w:val="24"/>
        </w:rPr>
        <w:t xml:space="preserve">Κέρδη προ φόρων, χρηματοδοτικών και επενδυτικών αποτελεσμάτων (EBIT), Αναπροσαρμοσμένα κέρδη προ φόρων, χρηματοδοτικών και επενδυτικών αποτελεσμάτων (α-EBIT), Κέρδη προ φόρων, χρηματοδοτικών, επενδυτικών αποτελεσμάτων και αποσβέσεων (EBITDA), Αναπροσαρμοσμένα κέρδη προ φόρων, χρηματοδοτικών, επενδυτικών αποτελεσμάτων και αποσβέσεων (α-EBITDA) </w:t>
      </w:r>
      <w:r w:rsidRPr="00A46933">
        <w:rPr>
          <w:rFonts w:eastAsia="MS Mincho"/>
          <w:sz w:val="20"/>
          <w:szCs w:val="24"/>
        </w:rPr>
        <w:t>και</w:t>
      </w:r>
      <w:r w:rsidRPr="00A46933">
        <w:rPr>
          <w:rFonts w:eastAsia="MS Mincho"/>
          <w:b/>
          <w:sz w:val="20"/>
          <w:szCs w:val="24"/>
        </w:rPr>
        <w:t xml:space="preserve"> Καθαρός δανεισμός.</w:t>
      </w:r>
      <w:r w:rsidRPr="00A46933">
        <w:rPr>
          <w:rFonts w:eastAsia="MS Mincho"/>
          <w:sz w:val="20"/>
          <w:szCs w:val="24"/>
        </w:rPr>
        <w:t xml:space="preserve"> Οι συμφωνίες με τα άμεσα συγκρίσιμα χρηματοοικονομικά μέτρα των ΔΠΧΑ παρουσιάζονται στη συνέχεια.</w:t>
      </w:r>
    </w:p>
    <w:p w14:paraId="0C41294C" w14:textId="77777777" w:rsidR="00CC26A8" w:rsidRPr="00A46933" w:rsidRDefault="00CC26A8" w:rsidP="00CC26A8">
      <w:pPr>
        <w:spacing w:after="120" w:line="240" w:lineRule="auto"/>
        <w:jc w:val="both"/>
      </w:pPr>
      <w:r w:rsidRPr="00A46933">
        <w:rPr>
          <w:rFonts w:eastAsia="MS Mincho"/>
          <w:sz w:val="20"/>
          <w:szCs w:val="24"/>
        </w:rPr>
        <w:t xml:space="preserve">Πιστεύουμε ότι αυτά τα ΕΜΑ είναι σημαντικά συμπληρωματικά μέτρα των λειτουργικών και οικονομικών επιδόσεών μας και χρησιμοποιούνται συχνά από οικονομικούς αναλυτές, επενδυτές και άλλα μέρη που δραστηριοποιούνται στην αξιολόγηση εταιρειών στον </w:t>
      </w:r>
      <w:r>
        <w:rPr>
          <w:rFonts w:eastAsia="MS Mincho"/>
          <w:sz w:val="20"/>
          <w:szCs w:val="24"/>
        </w:rPr>
        <w:t>τομέα</w:t>
      </w:r>
      <w:r w:rsidRPr="00A46933">
        <w:rPr>
          <w:rFonts w:eastAsia="MS Mincho"/>
          <w:sz w:val="20"/>
          <w:szCs w:val="24"/>
        </w:rPr>
        <w:t xml:space="preserve"> των σωλήνων χάλυβα καθώς και στον </w:t>
      </w:r>
      <w:r>
        <w:rPr>
          <w:rFonts w:eastAsia="MS Mincho"/>
          <w:sz w:val="20"/>
          <w:szCs w:val="24"/>
        </w:rPr>
        <w:t>τομέα</w:t>
      </w:r>
      <w:r w:rsidRPr="00A46933">
        <w:rPr>
          <w:rFonts w:eastAsia="MS Mincho"/>
          <w:sz w:val="20"/>
          <w:szCs w:val="24"/>
        </w:rPr>
        <w:t xml:space="preserve"> παραγωγής, διανομής και εμπορίας καλωδίων. Παρέχοντας αυτές τις πληροφορίες μαζί με τις συμφωνίες που περιλαμβάνονται στο παρόν παράρτημα, πιστεύουμε ότι οι επενδυτές θα έχουν τη δυνατότητα να κατανοήσουν καλύτερα τις δραστηριότητές μας, τα αποτελέσματα των λειτουργιών μας και την οικονομική κατάστασή μας. Ωστόσο, αυτά τα ΕΜΑ δεν πρέπει να θεωρούνται ως εναλλακτικά αυτών που ήδη έχουν υιοθετηθεί από τα ΔΠΧΑ.</w:t>
      </w:r>
    </w:p>
    <w:p w14:paraId="3ADA000F" w14:textId="77777777" w:rsidR="00CC26A8" w:rsidRPr="00A46933" w:rsidRDefault="00CC26A8" w:rsidP="00CC26A8">
      <w:pPr>
        <w:spacing w:after="120" w:line="240" w:lineRule="auto"/>
        <w:jc w:val="both"/>
        <w:rPr>
          <w:rFonts w:cs="Calibri"/>
          <w:sz w:val="20"/>
          <w:szCs w:val="20"/>
        </w:rPr>
      </w:pPr>
      <w:r w:rsidRPr="00A46933">
        <w:rPr>
          <w:rFonts w:eastAsia="MS Mincho"/>
          <w:sz w:val="20"/>
          <w:szCs w:val="24"/>
        </w:rPr>
        <w:t>Αυτά τα ΕΜΑ αποτελούν επίσης κύριους δείκτες επιδόσεων βάσει των οποίων η Cenergy Holdings καταρτίζει, παρακολουθεί και αξιολογεί τους ετήσιους προϋπολογισμούς και τα μακροπρόθεσμα (5ετή) προγράμματά της. Ωστόσο, πρέπει να επισημανθεί ότι τα αναπροσαρμοσμένα στοιχεία δεν πρέπει να θεωρούνται μη λειτουργικά ή μη επαναλαμβανόμενα.</w:t>
      </w:r>
    </w:p>
    <w:p w14:paraId="584102CF" w14:textId="77777777" w:rsidR="00CC26A8" w:rsidRPr="00A46933" w:rsidRDefault="00CC26A8" w:rsidP="00CC26A8">
      <w:pPr>
        <w:spacing w:after="120" w:line="240" w:lineRule="auto"/>
        <w:jc w:val="both"/>
        <w:rPr>
          <w:rFonts w:cs="Calibri"/>
          <w:sz w:val="20"/>
          <w:szCs w:val="20"/>
        </w:rPr>
      </w:pPr>
      <w:r w:rsidRPr="00A46933">
        <w:rPr>
          <w:rFonts w:eastAsia="MS Mincho"/>
          <w:sz w:val="20"/>
          <w:szCs w:val="24"/>
        </w:rPr>
        <w:t>Τα EBIT, αναπροσαρμοσμένα ΕΒΙΤ, EBITDA και αναπροσαρμοσμένα EBITDA έχουν περιορισμούς ως αναλυτικά εργαλεία και οι επενδυτές δεν πρέπει να τα εξετάζουν μεμονωμένα ή ως υποκατάστατο της ανάλυσης των αποτελεσμάτων εκμετάλλευσης όπως αναφέρονται βάσει των ΔΠΧΑ και ενδέχεται να μην είναι συγκρίσιμα με μέτρα άλλων εταιρειών με παρεμφερή τίτλο.</w:t>
      </w:r>
    </w:p>
    <w:p w14:paraId="5115A45A" w14:textId="77777777" w:rsidR="00CC26A8" w:rsidRPr="00A46933" w:rsidRDefault="00CC26A8" w:rsidP="00CC26A8">
      <w:pPr>
        <w:spacing w:after="120" w:line="240" w:lineRule="auto"/>
        <w:jc w:val="both"/>
        <w:rPr>
          <w:rFonts w:cs="Calibri"/>
          <w:b/>
          <w:sz w:val="20"/>
          <w:szCs w:val="20"/>
          <w:u w:val="single"/>
        </w:rPr>
      </w:pPr>
      <w:r w:rsidRPr="00A46933">
        <w:rPr>
          <w:rFonts w:eastAsia="MS Mincho"/>
          <w:sz w:val="20"/>
          <w:szCs w:val="24"/>
        </w:rPr>
        <w:t>Οι ορισμοί των ΕΜΑ παρέμειναν αμετάβλητοι σε σχέση με αυτούς που ίσχυαν στις 31 Δεκεμβρίου 202</w:t>
      </w:r>
      <w:r>
        <w:rPr>
          <w:rFonts w:eastAsia="MS Mincho"/>
          <w:sz w:val="20"/>
          <w:szCs w:val="24"/>
        </w:rPr>
        <w:t>2</w:t>
      </w:r>
      <w:r w:rsidRPr="00A46933">
        <w:rPr>
          <w:rFonts w:eastAsia="MS Mincho"/>
          <w:sz w:val="20"/>
          <w:szCs w:val="24"/>
        </w:rPr>
        <w:t>.</w:t>
      </w:r>
      <w:r>
        <w:rPr>
          <w:rFonts w:eastAsia="MS Mincho"/>
          <w:sz w:val="20"/>
          <w:szCs w:val="24"/>
        </w:rPr>
        <w:t xml:space="preserve"> </w:t>
      </w:r>
      <w:r w:rsidRPr="00A46933">
        <w:rPr>
          <w:rFonts w:eastAsia="MS Mincho"/>
          <w:sz w:val="20"/>
          <w:szCs w:val="24"/>
        </w:rPr>
        <w:t xml:space="preserve">Οι ορισμοί των ΕΜΑ είναι οι εξής: </w:t>
      </w:r>
    </w:p>
    <w:p w14:paraId="464EF2C7" w14:textId="77777777" w:rsidR="00CC26A8" w:rsidRPr="00A46933" w:rsidRDefault="00CC26A8" w:rsidP="00CC26A8">
      <w:pPr>
        <w:spacing w:after="0"/>
        <w:jc w:val="both"/>
        <w:rPr>
          <w:rFonts w:cs="Calibri"/>
          <w:sz w:val="20"/>
          <w:szCs w:val="20"/>
        </w:rPr>
      </w:pPr>
      <w:r w:rsidRPr="00A46933">
        <w:rPr>
          <w:rFonts w:eastAsia="MS Mincho"/>
          <w:sz w:val="20"/>
          <w:szCs w:val="24"/>
        </w:rPr>
        <w:t xml:space="preserve">Ως </w:t>
      </w:r>
      <w:r w:rsidRPr="00A46933">
        <w:rPr>
          <w:rFonts w:eastAsia="MS Mincho"/>
          <w:b/>
          <w:sz w:val="20"/>
          <w:szCs w:val="24"/>
        </w:rPr>
        <w:t xml:space="preserve">EBIT </w:t>
      </w:r>
      <w:r w:rsidRPr="00A46933">
        <w:rPr>
          <w:rFonts w:eastAsia="MS Mincho"/>
          <w:sz w:val="20"/>
          <w:szCs w:val="24"/>
        </w:rPr>
        <w:t>ορίζεται το αποτέλεσμα της περιόδου (κέρδη μετά από φόρους) πριν από:</w:t>
      </w:r>
    </w:p>
    <w:p w14:paraId="5DC48D37" w14:textId="77777777" w:rsidR="00CC26A8" w:rsidRPr="00A46933" w:rsidRDefault="00CC26A8" w:rsidP="00CC26A8">
      <w:pPr>
        <w:numPr>
          <w:ilvl w:val="0"/>
          <w:numId w:val="5"/>
        </w:numPr>
        <w:spacing w:after="120" w:line="252" w:lineRule="auto"/>
        <w:ind w:left="851" w:hanging="567"/>
        <w:contextualSpacing/>
        <w:jc w:val="both"/>
        <w:rPr>
          <w:rFonts w:eastAsia="SimSun" w:cs="Calibri"/>
          <w:sz w:val="20"/>
          <w:szCs w:val="20"/>
        </w:rPr>
      </w:pPr>
      <w:r w:rsidRPr="00A46933">
        <w:rPr>
          <w:rFonts w:eastAsia="MS Mincho"/>
          <w:sz w:val="20"/>
          <w:szCs w:val="24"/>
        </w:rPr>
        <w:t>φόρο εισοδήματος,</w:t>
      </w:r>
    </w:p>
    <w:p w14:paraId="586A5769" w14:textId="77777777" w:rsidR="00CC26A8" w:rsidRPr="00A46933" w:rsidRDefault="00CC26A8" w:rsidP="00CC26A8">
      <w:pPr>
        <w:numPr>
          <w:ilvl w:val="0"/>
          <w:numId w:val="5"/>
        </w:numPr>
        <w:spacing w:after="120" w:line="252" w:lineRule="auto"/>
        <w:ind w:left="851" w:hanging="567"/>
        <w:contextualSpacing/>
        <w:jc w:val="both"/>
        <w:rPr>
          <w:rFonts w:eastAsia="SimSun" w:cs="Calibri"/>
          <w:sz w:val="20"/>
          <w:szCs w:val="20"/>
        </w:rPr>
      </w:pPr>
      <w:r w:rsidRPr="00A46933">
        <w:rPr>
          <w:rFonts w:eastAsia="MS Mincho"/>
          <w:sz w:val="20"/>
          <w:szCs w:val="24"/>
        </w:rPr>
        <w:t>καθαρά χρηματοοικονομικά έξοδα</w:t>
      </w:r>
    </w:p>
    <w:p w14:paraId="02A84E96" w14:textId="77777777" w:rsidR="00CC26A8" w:rsidRPr="00A46933" w:rsidRDefault="00CC26A8" w:rsidP="00CC26A8">
      <w:pPr>
        <w:spacing w:after="0"/>
        <w:jc w:val="both"/>
        <w:rPr>
          <w:rFonts w:cs="Calibri"/>
          <w:sz w:val="20"/>
          <w:szCs w:val="20"/>
        </w:rPr>
      </w:pPr>
      <w:r w:rsidRPr="00A46933">
        <w:rPr>
          <w:rFonts w:eastAsia="MS Mincho"/>
          <w:sz w:val="20"/>
          <w:szCs w:val="24"/>
        </w:rPr>
        <w:t xml:space="preserve">Ως </w:t>
      </w:r>
      <w:r w:rsidRPr="00A46933">
        <w:rPr>
          <w:rFonts w:eastAsia="MS Mincho"/>
          <w:b/>
          <w:sz w:val="20"/>
          <w:szCs w:val="24"/>
        </w:rPr>
        <w:t xml:space="preserve">EBITDA </w:t>
      </w:r>
      <w:r w:rsidRPr="00A46933">
        <w:rPr>
          <w:rFonts w:eastAsia="MS Mincho"/>
          <w:sz w:val="20"/>
          <w:szCs w:val="24"/>
        </w:rPr>
        <w:t>ορίζεται το αποτέλεσμα της περιόδου (κέρδη μετά από φόρους) πριν από:</w:t>
      </w:r>
    </w:p>
    <w:p w14:paraId="0DDB7223" w14:textId="77777777" w:rsidR="00CC26A8" w:rsidRPr="00A46933" w:rsidRDefault="00CC26A8" w:rsidP="00CC26A8">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φόρο εισοδήματος,</w:t>
      </w:r>
    </w:p>
    <w:p w14:paraId="36B6718C" w14:textId="77777777" w:rsidR="00CC26A8" w:rsidRPr="00A46933" w:rsidRDefault="00CC26A8" w:rsidP="00CC26A8">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καθαρά χρηματοοικονομικά έξοδα</w:t>
      </w:r>
    </w:p>
    <w:p w14:paraId="102EE79F" w14:textId="77777777" w:rsidR="00CC26A8" w:rsidRPr="00A46933" w:rsidRDefault="00CC26A8" w:rsidP="00CC26A8">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αποσβέσεις</w:t>
      </w:r>
    </w:p>
    <w:p w14:paraId="7278777B" w14:textId="77777777" w:rsidR="00CC26A8" w:rsidRPr="00A46933" w:rsidRDefault="00CC26A8" w:rsidP="00CC26A8">
      <w:pPr>
        <w:spacing w:after="0"/>
        <w:jc w:val="both"/>
        <w:rPr>
          <w:rFonts w:cs="Calibri"/>
          <w:b/>
          <w:sz w:val="20"/>
          <w:szCs w:val="20"/>
        </w:rPr>
      </w:pPr>
      <w:r w:rsidRPr="00A46933">
        <w:rPr>
          <w:rFonts w:eastAsia="MS Mincho"/>
          <w:sz w:val="20"/>
          <w:szCs w:val="24"/>
        </w:rPr>
        <w:t xml:space="preserve">Τα </w:t>
      </w:r>
      <w:r w:rsidRPr="00A46933">
        <w:rPr>
          <w:rFonts w:eastAsia="MS Mincho"/>
          <w:b/>
          <w:sz w:val="20"/>
          <w:szCs w:val="24"/>
        </w:rPr>
        <w:t xml:space="preserve">α-EBIT </w:t>
      </w:r>
      <w:r w:rsidRPr="00A46933">
        <w:rPr>
          <w:rFonts w:eastAsia="MS Mincho"/>
          <w:sz w:val="20"/>
          <w:szCs w:val="24"/>
        </w:rPr>
        <w:t>και</w:t>
      </w:r>
      <w:r w:rsidRPr="00A46933">
        <w:rPr>
          <w:rFonts w:eastAsia="MS Mincho"/>
          <w:b/>
          <w:sz w:val="20"/>
          <w:szCs w:val="24"/>
        </w:rPr>
        <w:t xml:space="preserve"> α-EBITDA </w:t>
      </w:r>
      <w:r w:rsidRPr="00A46933">
        <w:rPr>
          <w:rFonts w:eastAsia="MS Mincho"/>
          <w:sz w:val="20"/>
          <w:szCs w:val="24"/>
        </w:rPr>
        <w:t>ορίζονται ως EBIT και EBITDA, αντίστοιχα, αναπροσαρμοσμένα ώστε να μην περιλαμβάνουν:</w:t>
      </w:r>
    </w:p>
    <w:p w14:paraId="128C96C8" w14:textId="77777777" w:rsidR="00CC26A8" w:rsidRPr="00A46933" w:rsidRDefault="00CC26A8" w:rsidP="00CC26A8">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αποτέλεσμα μετάλλου,</w:t>
      </w:r>
    </w:p>
    <w:p w14:paraId="36813C1E" w14:textId="77777777" w:rsidR="00CC26A8" w:rsidRPr="00A46933" w:rsidRDefault="00CC26A8" w:rsidP="00CC26A8">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απομείωση</w:t>
      </w:r>
      <w:r>
        <w:rPr>
          <w:rFonts w:eastAsia="MS Mincho"/>
          <w:sz w:val="20"/>
          <w:szCs w:val="24"/>
        </w:rPr>
        <w:t xml:space="preserve"> </w:t>
      </w:r>
      <w:r w:rsidRPr="00A46933">
        <w:rPr>
          <w:rFonts w:eastAsia="MS Mincho"/>
          <w:sz w:val="20"/>
          <w:szCs w:val="24"/>
        </w:rPr>
        <w:t xml:space="preserve">/ αντιλογισμό απομείωσης από ενσώματα, άυλα πάγια στοιχεία και επενδύσεις σε ακίνητα, </w:t>
      </w:r>
    </w:p>
    <w:p w14:paraId="16EC0CFD" w14:textId="77777777" w:rsidR="00CC26A8" w:rsidRPr="00A46933" w:rsidRDefault="00CC26A8" w:rsidP="00CC26A8">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απομείωση / αντιλογισμό απομείωσης επενδύσεων,</w:t>
      </w:r>
    </w:p>
    <w:p w14:paraId="78BB0153" w14:textId="77777777" w:rsidR="00CC26A8" w:rsidRPr="00A46933" w:rsidRDefault="00CC26A8" w:rsidP="00CC26A8">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κέρδη</w:t>
      </w:r>
      <w:r>
        <w:rPr>
          <w:rFonts w:eastAsia="MS Mincho"/>
          <w:sz w:val="20"/>
          <w:szCs w:val="24"/>
        </w:rPr>
        <w:t xml:space="preserve"> </w:t>
      </w:r>
      <w:r w:rsidRPr="00A46933">
        <w:rPr>
          <w:rFonts w:eastAsia="MS Mincho"/>
          <w:sz w:val="20"/>
          <w:szCs w:val="24"/>
        </w:rPr>
        <w:t>/</w:t>
      </w:r>
      <w:r>
        <w:rPr>
          <w:rFonts w:eastAsia="MS Mincho"/>
          <w:sz w:val="20"/>
          <w:szCs w:val="24"/>
        </w:rPr>
        <w:t xml:space="preserve"> </w:t>
      </w:r>
      <w:r w:rsidRPr="00A46933">
        <w:rPr>
          <w:rFonts w:eastAsia="MS Mincho"/>
          <w:sz w:val="20"/>
          <w:szCs w:val="24"/>
        </w:rPr>
        <w:t>ζημιές από πωλήσεις ενσώματων στοιχείων, άυλων περιουσιακών στοιχείων, επενδύσεων σε ακίνητα και επενδύσεων,</w:t>
      </w:r>
    </w:p>
    <w:p w14:paraId="392ECEEE" w14:textId="77777777" w:rsidR="00CC26A8" w:rsidRPr="00A46933" w:rsidRDefault="00CC26A8" w:rsidP="00CC26A8">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έκτακτα δικαστικά έξοδα και πρόστιμα, και</w:t>
      </w:r>
    </w:p>
    <w:p w14:paraId="53C54B04" w14:textId="77777777" w:rsidR="00CC26A8" w:rsidRPr="00A46933" w:rsidRDefault="00CC26A8" w:rsidP="00CC26A8">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λοιπά έκτακτα ή ασυνήθη έσοδα</w:t>
      </w:r>
      <w:r>
        <w:rPr>
          <w:rFonts w:eastAsia="MS Mincho"/>
          <w:sz w:val="20"/>
          <w:szCs w:val="24"/>
        </w:rPr>
        <w:t xml:space="preserve"> </w:t>
      </w:r>
      <w:r w:rsidRPr="00A46933">
        <w:rPr>
          <w:rFonts w:eastAsia="MS Mincho"/>
          <w:sz w:val="20"/>
          <w:szCs w:val="24"/>
        </w:rPr>
        <w:t>/</w:t>
      </w:r>
      <w:r>
        <w:rPr>
          <w:rFonts w:eastAsia="MS Mincho"/>
          <w:sz w:val="20"/>
          <w:szCs w:val="24"/>
        </w:rPr>
        <w:t xml:space="preserve"> </w:t>
      </w:r>
      <w:r w:rsidRPr="00A46933">
        <w:rPr>
          <w:rFonts w:eastAsia="MS Mincho"/>
          <w:sz w:val="20"/>
          <w:szCs w:val="24"/>
        </w:rPr>
        <w:t>έξοδα.</w:t>
      </w:r>
    </w:p>
    <w:p w14:paraId="52DBA807" w14:textId="77777777" w:rsidR="00CC26A8" w:rsidRPr="00A46933" w:rsidRDefault="00CC26A8" w:rsidP="00CC26A8">
      <w:pPr>
        <w:spacing w:after="0"/>
        <w:jc w:val="both"/>
        <w:rPr>
          <w:rFonts w:cs="Calibri"/>
          <w:sz w:val="20"/>
          <w:szCs w:val="20"/>
        </w:rPr>
      </w:pPr>
      <w:r w:rsidRPr="00A46933">
        <w:rPr>
          <w:rFonts w:eastAsia="MS Mincho"/>
          <w:sz w:val="20"/>
          <w:szCs w:val="24"/>
        </w:rPr>
        <w:t xml:space="preserve">Ο </w:t>
      </w:r>
      <w:r w:rsidRPr="00A46933">
        <w:rPr>
          <w:rFonts w:eastAsia="MS Mincho"/>
          <w:b/>
          <w:bCs/>
          <w:sz w:val="20"/>
          <w:szCs w:val="24"/>
        </w:rPr>
        <w:t>καθαρός δανεισμός</w:t>
      </w:r>
      <w:r w:rsidRPr="00A46933">
        <w:rPr>
          <w:rFonts w:eastAsia="MS Mincho"/>
          <w:sz w:val="20"/>
          <w:szCs w:val="24"/>
        </w:rPr>
        <w:t xml:space="preserve"> ορίζεται ως το σύνολο από:</w:t>
      </w:r>
    </w:p>
    <w:p w14:paraId="4FC9EAA3" w14:textId="77777777" w:rsidR="00CC26A8" w:rsidRPr="00A46933" w:rsidRDefault="00CC26A8" w:rsidP="00CC26A8">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Μακροπρόθεσμα δάνεια και υποχρεώσεις από μισθώσεις</w:t>
      </w:r>
    </w:p>
    <w:p w14:paraId="103B3DBE" w14:textId="77777777" w:rsidR="00CC26A8" w:rsidRPr="00A46933" w:rsidRDefault="00CC26A8" w:rsidP="00CC26A8">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Βραχυπρόθεσμα δάνεια και υποχρεώσεις από μισθώσεις</w:t>
      </w:r>
    </w:p>
    <w:p w14:paraId="4BBC6349" w14:textId="77777777" w:rsidR="00CC26A8" w:rsidRPr="00A46933" w:rsidRDefault="00CC26A8" w:rsidP="00CC26A8">
      <w:pPr>
        <w:spacing w:after="0"/>
        <w:jc w:val="both"/>
        <w:rPr>
          <w:rFonts w:cs="Calibri"/>
          <w:sz w:val="20"/>
          <w:szCs w:val="20"/>
        </w:rPr>
      </w:pPr>
      <w:r w:rsidRPr="00A46933">
        <w:rPr>
          <w:rFonts w:eastAsia="MS Mincho"/>
          <w:sz w:val="20"/>
          <w:szCs w:val="24"/>
        </w:rPr>
        <w:t>Μείον:</w:t>
      </w:r>
    </w:p>
    <w:p w14:paraId="1539C961" w14:textId="77777777" w:rsidR="00CC26A8" w:rsidRPr="00A46933" w:rsidRDefault="00CC26A8" w:rsidP="00CC26A8">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Ταμειακά διαθέσιμα και ισοδύναμα</w:t>
      </w:r>
    </w:p>
    <w:bookmarkEnd w:id="27"/>
    <w:p w14:paraId="4A9FCA12" w14:textId="77777777" w:rsidR="00413083" w:rsidRPr="008414D9" w:rsidRDefault="00413083" w:rsidP="006B321F">
      <w:pPr>
        <w:spacing w:after="120" w:line="240" w:lineRule="auto"/>
        <w:rPr>
          <w:rFonts w:cs="Calibri"/>
          <w:sz w:val="20"/>
          <w:szCs w:val="20"/>
          <w:lang w:val="en-GB" w:eastAsia="x-none"/>
        </w:rPr>
      </w:pPr>
      <w:r w:rsidRPr="008414D9">
        <w:rPr>
          <w:rFonts w:cs="Calibri"/>
          <w:sz w:val="20"/>
          <w:szCs w:val="20"/>
          <w:lang w:val="en-GB" w:eastAsia="x-none"/>
        </w:rPr>
        <w:br w:type="page"/>
      </w:r>
    </w:p>
    <w:p w14:paraId="38B58581" w14:textId="77777777" w:rsidR="00CC26A8" w:rsidRPr="00CB265F" w:rsidRDefault="00CC26A8" w:rsidP="00CC26A8">
      <w:pPr>
        <w:spacing w:after="120" w:line="240" w:lineRule="auto"/>
        <w:jc w:val="both"/>
        <w:rPr>
          <w:rFonts w:cs="Calibri"/>
          <w:b/>
          <w:sz w:val="20"/>
          <w:szCs w:val="20"/>
          <w:u w:val="single"/>
          <w:lang w:eastAsia="x-none"/>
        </w:rPr>
      </w:pPr>
      <w:r>
        <w:rPr>
          <w:rFonts w:cs="Calibri"/>
          <w:b/>
          <w:sz w:val="20"/>
          <w:szCs w:val="20"/>
          <w:u w:val="single"/>
          <w:lang w:eastAsia="x-none"/>
        </w:rPr>
        <w:t>Πίνακες συμφωνίας</w:t>
      </w:r>
      <w:r w:rsidRPr="00CB265F">
        <w:rPr>
          <w:rFonts w:cs="Calibri"/>
          <w:b/>
          <w:sz w:val="20"/>
          <w:szCs w:val="20"/>
          <w:u w:val="single"/>
          <w:lang w:eastAsia="x-none"/>
        </w:rPr>
        <w:t>:</w:t>
      </w:r>
    </w:p>
    <w:p w14:paraId="06B3134C" w14:textId="77777777" w:rsidR="000829A8" w:rsidRPr="008414D9" w:rsidRDefault="00677257" w:rsidP="006B321F">
      <w:pPr>
        <w:spacing w:after="120" w:line="240" w:lineRule="auto"/>
        <w:jc w:val="both"/>
        <w:rPr>
          <w:rFonts w:cs="Calibri"/>
          <w:b/>
          <w:sz w:val="20"/>
          <w:szCs w:val="20"/>
          <w:u w:val="single"/>
          <w:lang w:val="en-GB" w:eastAsia="x-none"/>
        </w:rPr>
      </w:pPr>
      <w:r w:rsidRPr="008414D9">
        <w:rPr>
          <w:rFonts w:cs="Calibri"/>
          <w:b/>
          <w:sz w:val="20"/>
          <w:szCs w:val="20"/>
          <w:u w:val="single"/>
          <w:lang w:val="en-GB" w:eastAsia="x-none"/>
        </w:rPr>
        <w:t xml:space="preserve">EBIT and </w:t>
      </w:r>
      <w:r w:rsidR="000829A8" w:rsidRPr="008414D9">
        <w:rPr>
          <w:rFonts w:cs="Calibri"/>
          <w:b/>
          <w:sz w:val="20"/>
          <w:szCs w:val="20"/>
          <w:u w:val="single"/>
          <w:lang w:val="en-GB" w:eastAsia="x-none"/>
        </w:rPr>
        <w:t>EBITDA:</w:t>
      </w:r>
    </w:p>
    <w:tbl>
      <w:tblPr>
        <w:tblW w:w="10458" w:type="dxa"/>
        <w:tblLayout w:type="fixed"/>
        <w:tblLook w:val="04A0" w:firstRow="1" w:lastRow="0" w:firstColumn="1" w:lastColumn="0" w:noHBand="0" w:noVBand="1"/>
      </w:tblPr>
      <w:tblGrid>
        <w:gridCol w:w="3348"/>
        <w:gridCol w:w="888"/>
        <w:gridCol w:w="889"/>
        <w:gridCol w:w="889"/>
        <w:gridCol w:w="889"/>
        <w:gridCol w:w="888"/>
        <w:gridCol w:w="889"/>
        <w:gridCol w:w="889"/>
        <w:gridCol w:w="889"/>
      </w:tblGrid>
      <w:tr w:rsidR="00CC26A8" w:rsidRPr="008414D9" w14:paraId="00629CAA" w14:textId="77777777" w:rsidTr="00864BD3">
        <w:trPr>
          <w:trHeight w:val="300"/>
        </w:trPr>
        <w:tc>
          <w:tcPr>
            <w:tcW w:w="3348" w:type="dxa"/>
            <w:tcBorders>
              <w:top w:val="single" w:sz="4" w:space="0" w:color="476C2E"/>
              <w:left w:val="single" w:sz="4" w:space="0" w:color="476C2E"/>
              <w:bottom w:val="nil"/>
              <w:right w:val="nil"/>
            </w:tcBorders>
            <w:shd w:val="clear" w:color="auto" w:fill="476C2E"/>
            <w:noWrap/>
            <w:vAlign w:val="center"/>
            <w:hideMark/>
          </w:tcPr>
          <w:p w14:paraId="1EF80D13" w14:textId="77777777" w:rsidR="00CC26A8" w:rsidRPr="008414D9" w:rsidRDefault="00CC26A8" w:rsidP="00CC26A8">
            <w:pPr>
              <w:spacing w:after="0" w:line="240" w:lineRule="auto"/>
              <w:jc w:val="both"/>
              <w:rPr>
                <w:rFonts w:eastAsia="Times New Roman" w:cs="Arial"/>
                <w:b/>
                <w:bCs/>
                <w:color w:val="FFFFFF"/>
                <w:sz w:val="20"/>
                <w:szCs w:val="20"/>
                <w:lang w:val="en-GB"/>
              </w:rPr>
            </w:pPr>
          </w:p>
        </w:tc>
        <w:tc>
          <w:tcPr>
            <w:tcW w:w="1777" w:type="dxa"/>
            <w:gridSpan w:val="2"/>
            <w:tcBorders>
              <w:top w:val="single" w:sz="4" w:space="0" w:color="476C2E"/>
              <w:left w:val="nil"/>
              <w:bottom w:val="nil"/>
              <w:right w:val="nil"/>
            </w:tcBorders>
            <w:shd w:val="clear" w:color="auto" w:fill="476C2E"/>
            <w:noWrap/>
            <w:vAlign w:val="center"/>
            <w:hideMark/>
          </w:tcPr>
          <w:p w14:paraId="2D1A49CD" w14:textId="343F7C55" w:rsidR="00CC26A8" w:rsidRPr="008414D9" w:rsidRDefault="00CC26A8" w:rsidP="00CC26A8">
            <w:pPr>
              <w:spacing w:after="0" w:line="240" w:lineRule="auto"/>
              <w:jc w:val="center"/>
              <w:rPr>
                <w:rFonts w:eastAsia="Times New Roman" w:cs="Arial"/>
                <w:b/>
                <w:bCs/>
                <w:color w:val="FFFFFF"/>
                <w:sz w:val="20"/>
                <w:szCs w:val="20"/>
                <w:u w:val="single"/>
                <w:lang w:val="en-GB"/>
              </w:rPr>
            </w:pPr>
            <w:r w:rsidRPr="006C0543">
              <w:rPr>
                <w:b/>
                <w:color w:val="FFFFFF"/>
                <w:sz w:val="20"/>
                <w:u w:val="single"/>
              </w:rPr>
              <w:t>Καλώδια</w:t>
            </w:r>
          </w:p>
        </w:tc>
        <w:tc>
          <w:tcPr>
            <w:tcW w:w="1778" w:type="dxa"/>
            <w:gridSpan w:val="2"/>
            <w:tcBorders>
              <w:top w:val="single" w:sz="4" w:space="0" w:color="476C2E"/>
              <w:left w:val="nil"/>
              <w:bottom w:val="nil"/>
              <w:right w:val="nil"/>
            </w:tcBorders>
            <w:shd w:val="clear" w:color="auto" w:fill="476C2E"/>
            <w:noWrap/>
            <w:vAlign w:val="center"/>
            <w:hideMark/>
          </w:tcPr>
          <w:p w14:paraId="648E0447" w14:textId="25B51A31" w:rsidR="00CC26A8" w:rsidRPr="008414D9" w:rsidRDefault="00CC26A8" w:rsidP="00CC26A8">
            <w:pPr>
              <w:spacing w:after="0" w:line="240" w:lineRule="auto"/>
              <w:jc w:val="center"/>
              <w:rPr>
                <w:rFonts w:eastAsia="Times New Roman" w:cs="Arial"/>
                <w:b/>
                <w:bCs/>
                <w:color w:val="FFFFFF"/>
                <w:sz w:val="20"/>
                <w:szCs w:val="20"/>
                <w:u w:val="single"/>
                <w:lang w:val="en-GB"/>
              </w:rPr>
            </w:pPr>
            <w:r w:rsidRPr="006C0543">
              <w:rPr>
                <w:b/>
                <w:color w:val="FFFFFF"/>
                <w:sz w:val="20"/>
                <w:u w:val="single"/>
              </w:rPr>
              <w:t>Σωλήνες χάλυβα</w:t>
            </w:r>
          </w:p>
        </w:tc>
        <w:tc>
          <w:tcPr>
            <w:tcW w:w="1777" w:type="dxa"/>
            <w:gridSpan w:val="2"/>
            <w:tcBorders>
              <w:top w:val="single" w:sz="4" w:space="0" w:color="476C2E"/>
              <w:left w:val="nil"/>
              <w:bottom w:val="nil"/>
              <w:right w:val="nil"/>
            </w:tcBorders>
            <w:shd w:val="clear" w:color="auto" w:fill="476C2E"/>
            <w:noWrap/>
            <w:vAlign w:val="center"/>
            <w:hideMark/>
          </w:tcPr>
          <w:p w14:paraId="37470A95" w14:textId="260234CF" w:rsidR="00CC26A8" w:rsidRPr="008414D9" w:rsidRDefault="00CC26A8" w:rsidP="00CC26A8">
            <w:pPr>
              <w:spacing w:after="0" w:line="240" w:lineRule="auto"/>
              <w:jc w:val="center"/>
              <w:rPr>
                <w:rFonts w:eastAsia="Times New Roman" w:cs="Arial"/>
                <w:b/>
                <w:bCs/>
                <w:color w:val="FFFFFF"/>
                <w:sz w:val="20"/>
                <w:szCs w:val="20"/>
                <w:u w:val="single"/>
                <w:lang w:val="en-GB"/>
              </w:rPr>
            </w:pPr>
            <w:r w:rsidRPr="006C0543">
              <w:rPr>
                <w:b/>
                <w:color w:val="FFFFFF"/>
                <w:sz w:val="20"/>
                <w:u w:val="single"/>
              </w:rPr>
              <w:t>Λοιπές δραστηριότητες</w:t>
            </w:r>
          </w:p>
        </w:tc>
        <w:tc>
          <w:tcPr>
            <w:tcW w:w="1778" w:type="dxa"/>
            <w:gridSpan w:val="2"/>
            <w:tcBorders>
              <w:top w:val="single" w:sz="4" w:space="0" w:color="476C2E"/>
              <w:left w:val="nil"/>
              <w:bottom w:val="nil"/>
              <w:right w:val="single" w:sz="4" w:space="0" w:color="476C2E"/>
            </w:tcBorders>
            <w:shd w:val="clear" w:color="auto" w:fill="476C2E"/>
            <w:noWrap/>
            <w:vAlign w:val="center"/>
            <w:hideMark/>
          </w:tcPr>
          <w:p w14:paraId="3B6DDA75" w14:textId="3BB3C7CE" w:rsidR="00CC26A8" w:rsidRPr="008414D9" w:rsidRDefault="00CC26A8" w:rsidP="00CC26A8">
            <w:pPr>
              <w:spacing w:after="0" w:line="240" w:lineRule="auto"/>
              <w:jc w:val="center"/>
              <w:rPr>
                <w:rFonts w:eastAsia="Times New Roman" w:cs="Arial"/>
                <w:b/>
                <w:bCs/>
                <w:color w:val="FFFFFF"/>
                <w:sz w:val="20"/>
                <w:szCs w:val="20"/>
                <w:u w:val="single"/>
                <w:lang w:val="en-GB"/>
              </w:rPr>
            </w:pPr>
            <w:r w:rsidRPr="006C0543">
              <w:rPr>
                <w:b/>
                <w:color w:val="FFFFFF"/>
                <w:sz w:val="20"/>
                <w:u w:val="single"/>
              </w:rPr>
              <w:t>Σύνολο</w:t>
            </w:r>
          </w:p>
        </w:tc>
      </w:tr>
      <w:tr w:rsidR="00CC26A8" w:rsidRPr="008414D9" w14:paraId="65C7CB37" w14:textId="77777777" w:rsidTr="003A569C">
        <w:trPr>
          <w:trHeight w:val="300"/>
        </w:trPr>
        <w:tc>
          <w:tcPr>
            <w:tcW w:w="3348" w:type="dxa"/>
            <w:tcBorders>
              <w:top w:val="nil"/>
              <w:left w:val="single" w:sz="4" w:space="0" w:color="476C2E"/>
              <w:right w:val="nil"/>
            </w:tcBorders>
            <w:shd w:val="clear" w:color="auto" w:fill="476C2E"/>
            <w:noWrap/>
            <w:vAlign w:val="bottom"/>
            <w:hideMark/>
          </w:tcPr>
          <w:p w14:paraId="6220D749" w14:textId="41D8FACA" w:rsidR="00CC26A8" w:rsidRPr="008414D9" w:rsidRDefault="00CC26A8" w:rsidP="00CC26A8">
            <w:pPr>
              <w:spacing w:after="0" w:line="240" w:lineRule="auto"/>
              <w:rPr>
                <w:rFonts w:eastAsia="Times New Roman" w:cs="Arial"/>
                <w:b/>
                <w:bCs/>
                <w:color w:val="FFFFFF"/>
                <w:sz w:val="20"/>
                <w:szCs w:val="20"/>
                <w:lang w:val="en-GB"/>
              </w:rPr>
            </w:pPr>
            <w:r w:rsidRPr="006C0543">
              <w:rPr>
                <w:b/>
                <w:color w:val="FFFFFF"/>
                <w:sz w:val="18"/>
              </w:rPr>
              <w:t>Ποσά σε χιλιάδες ευρώ</w:t>
            </w:r>
          </w:p>
        </w:tc>
        <w:tc>
          <w:tcPr>
            <w:tcW w:w="888" w:type="dxa"/>
            <w:tcBorders>
              <w:top w:val="nil"/>
              <w:left w:val="nil"/>
              <w:right w:val="nil"/>
            </w:tcBorders>
            <w:shd w:val="clear" w:color="auto" w:fill="476C2E"/>
            <w:noWrap/>
            <w:vAlign w:val="center"/>
            <w:hideMark/>
          </w:tcPr>
          <w:p w14:paraId="20EFE7D6" w14:textId="6C2AE4B1" w:rsidR="00CC26A8" w:rsidRPr="008414D9" w:rsidRDefault="00CC26A8" w:rsidP="00CC26A8">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rPr>
              <w:t>4</w:t>
            </w:r>
          </w:p>
        </w:tc>
        <w:tc>
          <w:tcPr>
            <w:tcW w:w="889" w:type="dxa"/>
            <w:tcBorders>
              <w:top w:val="nil"/>
              <w:left w:val="nil"/>
              <w:right w:val="nil"/>
            </w:tcBorders>
            <w:shd w:val="clear" w:color="auto" w:fill="476C2E"/>
            <w:noWrap/>
            <w:vAlign w:val="center"/>
            <w:hideMark/>
          </w:tcPr>
          <w:p w14:paraId="2E9DB637" w14:textId="0ACB33C1" w:rsidR="00CC26A8" w:rsidRPr="008414D9" w:rsidRDefault="00CC26A8" w:rsidP="00CC26A8">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rPr>
              <w:t>3</w:t>
            </w:r>
          </w:p>
        </w:tc>
        <w:tc>
          <w:tcPr>
            <w:tcW w:w="889" w:type="dxa"/>
            <w:tcBorders>
              <w:top w:val="nil"/>
              <w:left w:val="nil"/>
              <w:right w:val="nil"/>
            </w:tcBorders>
            <w:shd w:val="clear" w:color="auto" w:fill="476C2E"/>
            <w:noWrap/>
            <w:vAlign w:val="center"/>
            <w:hideMark/>
          </w:tcPr>
          <w:p w14:paraId="73641BAB" w14:textId="32225FA0" w:rsidR="00CC26A8" w:rsidRPr="008414D9" w:rsidRDefault="00CC26A8" w:rsidP="00CC26A8">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rPr>
              <w:t>4</w:t>
            </w:r>
          </w:p>
        </w:tc>
        <w:tc>
          <w:tcPr>
            <w:tcW w:w="889" w:type="dxa"/>
            <w:tcBorders>
              <w:top w:val="nil"/>
              <w:left w:val="nil"/>
              <w:right w:val="nil"/>
            </w:tcBorders>
            <w:shd w:val="clear" w:color="auto" w:fill="476C2E"/>
            <w:noWrap/>
            <w:vAlign w:val="center"/>
            <w:hideMark/>
          </w:tcPr>
          <w:p w14:paraId="62865818" w14:textId="08A025F9" w:rsidR="00CC26A8" w:rsidRPr="008414D9" w:rsidRDefault="00CC26A8" w:rsidP="00CC26A8">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rPr>
              <w:t>3</w:t>
            </w:r>
          </w:p>
        </w:tc>
        <w:tc>
          <w:tcPr>
            <w:tcW w:w="888" w:type="dxa"/>
            <w:tcBorders>
              <w:top w:val="nil"/>
              <w:left w:val="nil"/>
              <w:right w:val="nil"/>
            </w:tcBorders>
            <w:shd w:val="clear" w:color="auto" w:fill="476C2E"/>
            <w:noWrap/>
            <w:vAlign w:val="center"/>
            <w:hideMark/>
          </w:tcPr>
          <w:p w14:paraId="56EE7CFD" w14:textId="28B860C5" w:rsidR="00CC26A8" w:rsidRPr="008414D9" w:rsidRDefault="00CC26A8" w:rsidP="00CC26A8">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rPr>
              <w:t>4</w:t>
            </w:r>
          </w:p>
        </w:tc>
        <w:tc>
          <w:tcPr>
            <w:tcW w:w="889" w:type="dxa"/>
            <w:tcBorders>
              <w:top w:val="nil"/>
              <w:left w:val="nil"/>
              <w:right w:val="nil"/>
            </w:tcBorders>
            <w:shd w:val="clear" w:color="auto" w:fill="476C2E"/>
            <w:noWrap/>
            <w:vAlign w:val="center"/>
            <w:hideMark/>
          </w:tcPr>
          <w:p w14:paraId="163DE1CF" w14:textId="79BFFBA6" w:rsidR="00CC26A8" w:rsidRPr="008414D9" w:rsidRDefault="00CC26A8" w:rsidP="00CC26A8">
            <w:pPr>
              <w:spacing w:after="0" w:line="240" w:lineRule="auto"/>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rPr>
              <w:t>3</w:t>
            </w:r>
          </w:p>
        </w:tc>
        <w:tc>
          <w:tcPr>
            <w:tcW w:w="889" w:type="dxa"/>
            <w:tcBorders>
              <w:top w:val="nil"/>
              <w:left w:val="nil"/>
              <w:right w:val="nil"/>
            </w:tcBorders>
            <w:shd w:val="clear" w:color="auto" w:fill="476C2E"/>
            <w:noWrap/>
            <w:vAlign w:val="center"/>
            <w:hideMark/>
          </w:tcPr>
          <w:p w14:paraId="5F0C8B41" w14:textId="31C30DAA" w:rsidR="00CC26A8" w:rsidRPr="008414D9" w:rsidRDefault="00CC26A8" w:rsidP="00CC26A8">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rPr>
              <w:t>4</w:t>
            </w:r>
          </w:p>
        </w:tc>
        <w:tc>
          <w:tcPr>
            <w:tcW w:w="889" w:type="dxa"/>
            <w:tcBorders>
              <w:top w:val="nil"/>
              <w:left w:val="nil"/>
              <w:right w:val="single" w:sz="4" w:space="0" w:color="476C2E"/>
            </w:tcBorders>
            <w:shd w:val="clear" w:color="auto" w:fill="476C2E"/>
            <w:noWrap/>
            <w:vAlign w:val="center"/>
            <w:hideMark/>
          </w:tcPr>
          <w:p w14:paraId="7F471A45" w14:textId="11AAA22B" w:rsidR="00CC26A8" w:rsidRPr="008414D9" w:rsidRDefault="00CC26A8" w:rsidP="00CC26A8">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rPr>
              <w:t>3</w:t>
            </w:r>
          </w:p>
        </w:tc>
      </w:tr>
      <w:tr w:rsidR="00CC26A8" w:rsidRPr="008414D9" w14:paraId="6C31EA5C" w14:textId="77777777" w:rsidTr="00AB1A9A">
        <w:trPr>
          <w:trHeight w:val="300"/>
        </w:trPr>
        <w:tc>
          <w:tcPr>
            <w:tcW w:w="3348" w:type="dxa"/>
            <w:tcBorders>
              <w:top w:val="nil"/>
              <w:left w:val="single" w:sz="4" w:space="0" w:color="476C2E"/>
              <w:bottom w:val="single" w:sz="4" w:space="0" w:color="476C2E"/>
              <w:right w:val="single" w:sz="4" w:space="0" w:color="476C2E"/>
            </w:tcBorders>
            <w:shd w:val="clear" w:color="auto" w:fill="auto"/>
            <w:noWrap/>
            <w:vAlign w:val="bottom"/>
            <w:hideMark/>
          </w:tcPr>
          <w:p w14:paraId="3CCBEA74" w14:textId="3B61636B" w:rsidR="00CC26A8" w:rsidRPr="00CC26A8" w:rsidRDefault="00CC26A8" w:rsidP="00CC26A8">
            <w:pPr>
              <w:spacing w:after="0" w:line="240" w:lineRule="auto"/>
              <w:rPr>
                <w:rFonts w:eastAsia="Times New Roman" w:cs="Arial"/>
                <w:color w:val="000000"/>
                <w:sz w:val="18"/>
                <w:szCs w:val="18"/>
              </w:rPr>
            </w:pPr>
            <w:r w:rsidRPr="006C0543">
              <w:rPr>
                <w:b/>
                <w:color w:val="000000"/>
                <w:sz w:val="18"/>
              </w:rPr>
              <w:t>Κέρδη</w:t>
            </w:r>
            <w:r>
              <w:rPr>
                <w:b/>
                <w:color w:val="000000"/>
                <w:sz w:val="18"/>
              </w:rPr>
              <w:t xml:space="preserve"> </w:t>
            </w:r>
            <w:r w:rsidRPr="006C0543">
              <w:rPr>
                <w:b/>
                <w:color w:val="000000"/>
                <w:sz w:val="18"/>
              </w:rPr>
              <w:t>/</w:t>
            </w:r>
            <w:r>
              <w:rPr>
                <w:b/>
                <w:color w:val="000000"/>
                <w:sz w:val="18"/>
              </w:rPr>
              <w:t xml:space="preserve"> </w:t>
            </w:r>
            <w:r w:rsidRPr="006C0543">
              <w:rPr>
                <w:b/>
                <w:color w:val="000000"/>
                <w:sz w:val="18"/>
              </w:rPr>
              <w:t>(Ζημίες) προ φόρων (όπως δημοσιεύ</w:t>
            </w:r>
            <w:r>
              <w:rPr>
                <w:b/>
                <w:color w:val="000000"/>
                <w:sz w:val="18"/>
              </w:rPr>
              <w:t>ον</w:t>
            </w:r>
            <w:r w:rsidRPr="006C0543">
              <w:rPr>
                <w:b/>
                <w:color w:val="000000"/>
                <w:sz w:val="18"/>
              </w:rPr>
              <w:t xml:space="preserve">ται στην </w:t>
            </w:r>
            <w:r>
              <w:rPr>
                <w:b/>
                <w:color w:val="000000"/>
                <w:sz w:val="18"/>
              </w:rPr>
              <w:t xml:space="preserve">Ενοποιημένη </w:t>
            </w:r>
            <w:r w:rsidRPr="006C0543">
              <w:rPr>
                <w:b/>
                <w:color w:val="000000"/>
                <w:sz w:val="18"/>
              </w:rPr>
              <w:t>Κατάσταση Αποτελεσμάτων)</w:t>
            </w:r>
          </w:p>
        </w:tc>
        <w:tc>
          <w:tcPr>
            <w:tcW w:w="888" w:type="dxa"/>
            <w:tcBorders>
              <w:top w:val="nil"/>
              <w:left w:val="single" w:sz="4" w:space="0" w:color="476C2E"/>
              <w:bottom w:val="single" w:sz="4" w:space="0" w:color="476C2E"/>
              <w:right w:val="nil"/>
            </w:tcBorders>
            <w:shd w:val="clear" w:color="auto" w:fill="auto"/>
            <w:noWrap/>
            <w:vAlign w:val="center"/>
          </w:tcPr>
          <w:p w14:paraId="75EE2613" w14:textId="38B21FA8" w:rsidR="00CC26A8" w:rsidRPr="008414D9" w:rsidRDefault="00CC26A8" w:rsidP="00CC26A8">
            <w:pPr>
              <w:spacing w:after="0" w:line="240" w:lineRule="auto"/>
              <w:jc w:val="right"/>
              <w:rPr>
                <w:rFonts w:cs="Calibri"/>
                <w:b/>
                <w:bCs/>
                <w:color w:val="000000"/>
                <w:sz w:val="18"/>
                <w:szCs w:val="18"/>
                <w:lang w:val="en-GB"/>
              </w:rPr>
            </w:pPr>
            <w:r>
              <w:rPr>
                <w:rFonts w:cs="Calibri"/>
                <w:b/>
                <w:bCs/>
                <w:color w:val="000000"/>
                <w:sz w:val="18"/>
                <w:szCs w:val="18"/>
              </w:rPr>
              <w:t>47.088</w:t>
            </w:r>
          </w:p>
        </w:tc>
        <w:tc>
          <w:tcPr>
            <w:tcW w:w="889" w:type="dxa"/>
            <w:tcBorders>
              <w:top w:val="nil"/>
              <w:left w:val="nil"/>
              <w:bottom w:val="single" w:sz="4" w:space="0" w:color="476C2E"/>
              <w:right w:val="single" w:sz="4" w:space="0" w:color="476C2E"/>
            </w:tcBorders>
            <w:shd w:val="clear" w:color="auto" w:fill="auto"/>
            <w:noWrap/>
            <w:vAlign w:val="center"/>
          </w:tcPr>
          <w:p w14:paraId="4C37A11C" w14:textId="3559ABE2" w:rsidR="00CC26A8" w:rsidRPr="008414D9" w:rsidRDefault="00CC26A8" w:rsidP="00CC26A8">
            <w:pPr>
              <w:spacing w:after="0" w:line="240" w:lineRule="auto"/>
              <w:jc w:val="right"/>
              <w:rPr>
                <w:rFonts w:cs="Calibri"/>
                <w:b/>
                <w:bCs/>
                <w:color w:val="000000"/>
                <w:sz w:val="18"/>
                <w:szCs w:val="18"/>
                <w:lang w:val="en-GB"/>
              </w:rPr>
            </w:pPr>
            <w:r>
              <w:rPr>
                <w:rFonts w:cs="Calibri"/>
                <w:b/>
                <w:bCs/>
                <w:color w:val="000000"/>
                <w:sz w:val="18"/>
                <w:szCs w:val="18"/>
              </w:rPr>
              <w:t>21.301</w:t>
            </w:r>
          </w:p>
        </w:tc>
        <w:tc>
          <w:tcPr>
            <w:tcW w:w="889" w:type="dxa"/>
            <w:tcBorders>
              <w:top w:val="nil"/>
              <w:left w:val="single" w:sz="4" w:space="0" w:color="476C2E"/>
              <w:bottom w:val="single" w:sz="4" w:space="0" w:color="476C2E"/>
              <w:right w:val="nil"/>
            </w:tcBorders>
            <w:shd w:val="clear" w:color="auto" w:fill="auto"/>
            <w:noWrap/>
            <w:vAlign w:val="center"/>
          </w:tcPr>
          <w:p w14:paraId="0D2C92E8" w14:textId="5C9B4698" w:rsidR="00CC26A8" w:rsidRPr="008414D9" w:rsidRDefault="00CC26A8" w:rsidP="00CC26A8">
            <w:pPr>
              <w:spacing w:after="0" w:line="240" w:lineRule="auto"/>
              <w:jc w:val="right"/>
              <w:rPr>
                <w:rFonts w:cs="Calibri"/>
                <w:b/>
                <w:bCs/>
                <w:color w:val="000000"/>
                <w:sz w:val="18"/>
                <w:szCs w:val="18"/>
                <w:lang w:val="en-GB"/>
              </w:rPr>
            </w:pPr>
            <w:r>
              <w:rPr>
                <w:rFonts w:cs="Calibri"/>
                <w:b/>
                <w:bCs/>
                <w:color w:val="000000"/>
                <w:sz w:val="18"/>
                <w:szCs w:val="18"/>
              </w:rPr>
              <w:t>26.</w:t>
            </w:r>
            <w:r w:rsidR="00DF6E79">
              <w:rPr>
                <w:rFonts w:cs="Calibri"/>
                <w:b/>
                <w:bCs/>
                <w:color w:val="000000"/>
                <w:sz w:val="18"/>
                <w:szCs w:val="18"/>
              </w:rPr>
              <w:t>220</w:t>
            </w:r>
          </w:p>
        </w:tc>
        <w:tc>
          <w:tcPr>
            <w:tcW w:w="889" w:type="dxa"/>
            <w:tcBorders>
              <w:top w:val="nil"/>
              <w:left w:val="nil"/>
              <w:bottom w:val="single" w:sz="4" w:space="0" w:color="476C2E"/>
              <w:right w:val="single" w:sz="4" w:space="0" w:color="476C2E"/>
            </w:tcBorders>
            <w:shd w:val="clear" w:color="auto" w:fill="auto"/>
            <w:noWrap/>
            <w:vAlign w:val="center"/>
          </w:tcPr>
          <w:p w14:paraId="020C78B2" w14:textId="2C9C15C1" w:rsidR="00CC26A8" w:rsidRPr="008414D9" w:rsidRDefault="00CC26A8" w:rsidP="00CC26A8">
            <w:pPr>
              <w:spacing w:after="0" w:line="240" w:lineRule="auto"/>
              <w:jc w:val="right"/>
              <w:rPr>
                <w:rFonts w:cs="Calibri"/>
                <w:b/>
                <w:bCs/>
                <w:color w:val="000000"/>
                <w:sz w:val="18"/>
                <w:szCs w:val="18"/>
                <w:lang w:val="en-GB"/>
              </w:rPr>
            </w:pPr>
            <w:r>
              <w:rPr>
                <w:rFonts w:cs="Calibri"/>
                <w:b/>
                <w:bCs/>
                <w:color w:val="000000"/>
                <w:sz w:val="18"/>
                <w:szCs w:val="18"/>
              </w:rPr>
              <w:t>9.846</w:t>
            </w:r>
          </w:p>
        </w:tc>
        <w:tc>
          <w:tcPr>
            <w:tcW w:w="888" w:type="dxa"/>
            <w:tcBorders>
              <w:top w:val="nil"/>
              <w:left w:val="single" w:sz="4" w:space="0" w:color="476C2E"/>
              <w:bottom w:val="single" w:sz="4" w:space="0" w:color="476C2E"/>
              <w:right w:val="nil"/>
            </w:tcBorders>
            <w:shd w:val="clear" w:color="auto" w:fill="auto"/>
            <w:noWrap/>
            <w:vAlign w:val="center"/>
          </w:tcPr>
          <w:p w14:paraId="337EF0CC" w14:textId="6F10BCE8" w:rsidR="00CC26A8" w:rsidRPr="008414D9" w:rsidRDefault="00CC26A8" w:rsidP="00CC26A8">
            <w:pPr>
              <w:spacing w:after="0" w:line="240" w:lineRule="auto"/>
              <w:jc w:val="right"/>
              <w:rPr>
                <w:rFonts w:cs="Calibri"/>
                <w:b/>
                <w:bCs/>
                <w:color w:val="000000"/>
                <w:sz w:val="18"/>
                <w:szCs w:val="18"/>
                <w:lang w:val="en-GB"/>
              </w:rPr>
            </w:pPr>
            <w:r>
              <w:rPr>
                <w:rFonts w:cs="Calibri"/>
                <w:b/>
                <w:bCs/>
                <w:color w:val="000000"/>
                <w:sz w:val="18"/>
                <w:szCs w:val="18"/>
              </w:rPr>
              <w:t>(425)</w:t>
            </w:r>
          </w:p>
        </w:tc>
        <w:tc>
          <w:tcPr>
            <w:tcW w:w="889" w:type="dxa"/>
            <w:tcBorders>
              <w:top w:val="nil"/>
              <w:left w:val="nil"/>
              <w:bottom w:val="single" w:sz="4" w:space="0" w:color="476C2E"/>
              <w:right w:val="single" w:sz="4" w:space="0" w:color="476C2E"/>
            </w:tcBorders>
            <w:shd w:val="clear" w:color="auto" w:fill="auto"/>
            <w:noWrap/>
            <w:vAlign w:val="center"/>
          </w:tcPr>
          <w:p w14:paraId="27E89B6E" w14:textId="65225B22" w:rsidR="00CC26A8" w:rsidRPr="008414D9" w:rsidRDefault="00CC26A8" w:rsidP="00CC26A8">
            <w:pPr>
              <w:spacing w:after="0" w:line="240" w:lineRule="auto"/>
              <w:jc w:val="right"/>
              <w:rPr>
                <w:rFonts w:cs="Calibri"/>
                <w:b/>
                <w:bCs/>
                <w:color w:val="000000"/>
                <w:sz w:val="18"/>
                <w:szCs w:val="18"/>
                <w:lang w:val="en-GB"/>
              </w:rPr>
            </w:pPr>
            <w:r>
              <w:rPr>
                <w:rFonts w:cs="Calibri"/>
                <w:b/>
                <w:bCs/>
                <w:color w:val="000000"/>
                <w:sz w:val="18"/>
                <w:szCs w:val="18"/>
              </w:rPr>
              <w:t>(294)</w:t>
            </w:r>
          </w:p>
        </w:tc>
        <w:tc>
          <w:tcPr>
            <w:tcW w:w="889" w:type="dxa"/>
            <w:tcBorders>
              <w:top w:val="nil"/>
              <w:left w:val="single" w:sz="4" w:space="0" w:color="476C2E"/>
              <w:bottom w:val="single" w:sz="4" w:space="0" w:color="476C2E"/>
              <w:right w:val="nil"/>
            </w:tcBorders>
            <w:shd w:val="clear" w:color="auto" w:fill="auto"/>
            <w:noWrap/>
            <w:vAlign w:val="center"/>
          </w:tcPr>
          <w:p w14:paraId="219F82DC" w14:textId="1870FA65" w:rsidR="00CC26A8" w:rsidRPr="008414D9" w:rsidRDefault="00CC26A8" w:rsidP="00CC26A8">
            <w:pPr>
              <w:spacing w:after="0" w:line="240" w:lineRule="auto"/>
              <w:jc w:val="right"/>
              <w:rPr>
                <w:rFonts w:cs="Calibri"/>
                <w:b/>
                <w:bCs/>
                <w:color w:val="000000"/>
                <w:sz w:val="18"/>
                <w:szCs w:val="18"/>
                <w:lang w:val="en-GB"/>
              </w:rPr>
            </w:pPr>
            <w:r>
              <w:rPr>
                <w:rFonts w:cs="Calibri"/>
                <w:b/>
                <w:bCs/>
                <w:color w:val="000000"/>
                <w:sz w:val="18"/>
                <w:szCs w:val="18"/>
              </w:rPr>
              <w:t>7</w:t>
            </w:r>
            <w:r w:rsidR="00270BFC">
              <w:rPr>
                <w:rFonts w:cs="Calibri"/>
                <w:b/>
                <w:bCs/>
                <w:color w:val="000000"/>
                <w:sz w:val="18"/>
                <w:szCs w:val="18"/>
              </w:rPr>
              <w:t>2</w:t>
            </w:r>
            <w:r>
              <w:rPr>
                <w:rFonts w:cs="Calibri"/>
                <w:b/>
                <w:bCs/>
                <w:color w:val="000000"/>
                <w:sz w:val="18"/>
                <w:szCs w:val="18"/>
              </w:rPr>
              <w:t>.</w:t>
            </w:r>
            <w:r w:rsidR="00270BFC">
              <w:rPr>
                <w:rFonts w:cs="Calibri"/>
                <w:b/>
                <w:bCs/>
                <w:color w:val="000000"/>
                <w:sz w:val="18"/>
                <w:szCs w:val="18"/>
              </w:rPr>
              <w:t>883</w:t>
            </w:r>
          </w:p>
        </w:tc>
        <w:tc>
          <w:tcPr>
            <w:tcW w:w="889" w:type="dxa"/>
            <w:tcBorders>
              <w:top w:val="nil"/>
              <w:left w:val="nil"/>
              <w:bottom w:val="single" w:sz="4" w:space="0" w:color="476C2E"/>
              <w:right w:val="single" w:sz="4" w:space="0" w:color="476C2E"/>
            </w:tcBorders>
            <w:shd w:val="clear" w:color="auto" w:fill="auto"/>
            <w:noWrap/>
            <w:vAlign w:val="center"/>
          </w:tcPr>
          <w:p w14:paraId="7F6BF8BA" w14:textId="256F5669" w:rsidR="00CC26A8" w:rsidRPr="008414D9" w:rsidRDefault="00CC26A8" w:rsidP="00CC26A8">
            <w:pPr>
              <w:spacing w:after="0" w:line="240" w:lineRule="auto"/>
              <w:jc w:val="right"/>
              <w:rPr>
                <w:rFonts w:cs="Calibri"/>
                <w:b/>
                <w:bCs/>
                <w:color w:val="000000"/>
                <w:sz w:val="18"/>
                <w:szCs w:val="18"/>
                <w:lang w:val="en-GB"/>
              </w:rPr>
            </w:pPr>
            <w:r>
              <w:rPr>
                <w:rFonts w:cs="Calibri"/>
                <w:b/>
                <w:bCs/>
                <w:color w:val="000000"/>
                <w:sz w:val="18"/>
                <w:szCs w:val="18"/>
              </w:rPr>
              <w:t>30.852</w:t>
            </w:r>
          </w:p>
        </w:tc>
      </w:tr>
      <w:tr w:rsidR="00CC26A8" w:rsidRPr="008414D9" w14:paraId="025886C0" w14:textId="77777777" w:rsidTr="00AB1A9A">
        <w:trPr>
          <w:trHeight w:val="300"/>
        </w:trPr>
        <w:tc>
          <w:tcPr>
            <w:tcW w:w="3348" w:type="dxa"/>
            <w:tcBorders>
              <w:top w:val="single" w:sz="4" w:space="0" w:color="476C2E"/>
              <w:left w:val="single" w:sz="4" w:space="0" w:color="476C2E"/>
              <w:bottom w:val="nil"/>
              <w:right w:val="single" w:sz="4" w:space="0" w:color="476C2E"/>
            </w:tcBorders>
            <w:shd w:val="clear" w:color="auto" w:fill="auto"/>
            <w:vAlign w:val="bottom"/>
          </w:tcPr>
          <w:p w14:paraId="51F8AFC0" w14:textId="1EBA8412" w:rsidR="00CC26A8" w:rsidRPr="008414D9" w:rsidRDefault="00CC26A8" w:rsidP="00CC26A8">
            <w:pPr>
              <w:spacing w:after="0" w:line="240" w:lineRule="auto"/>
              <w:rPr>
                <w:rFonts w:cs="Calibri"/>
                <w:b/>
                <w:i/>
                <w:color w:val="000000"/>
                <w:sz w:val="18"/>
                <w:szCs w:val="18"/>
                <w:u w:val="single"/>
                <w:lang w:val="en-GB"/>
              </w:rPr>
            </w:pPr>
            <w:r w:rsidRPr="006C0543">
              <w:rPr>
                <w:b/>
                <w:i/>
                <w:color w:val="000000"/>
                <w:sz w:val="18"/>
                <w:u w:val="single"/>
              </w:rPr>
              <w:t>Προσαρμογές για:</w:t>
            </w:r>
          </w:p>
        </w:tc>
        <w:tc>
          <w:tcPr>
            <w:tcW w:w="888" w:type="dxa"/>
            <w:tcBorders>
              <w:top w:val="single" w:sz="4" w:space="0" w:color="476C2E"/>
              <w:left w:val="single" w:sz="4" w:space="0" w:color="476C2E"/>
              <w:bottom w:val="nil"/>
              <w:right w:val="nil"/>
            </w:tcBorders>
            <w:shd w:val="clear" w:color="auto" w:fill="auto"/>
            <w:noWrap/>
            <w:vAlign w:val="center"/>
          </w:tcPr>
          <w:p w14:paraId="4C7B3AFB" w14:textId="77777777" w:rsidR="00CC26A8" w:rsidRPr="008414D9" w:rsidRDefault="00CC26A8" w:rsidP="00CC26A8">
            <w:pPr>
              <w:spacing w:after="0" w:line="240" w:lineRule="auto"/>
              <w:jc w:val="right"/>
              <w:rPr>
                <w:rFonts w:cs="Calibri"/>
                <w:b/>
                <w:bCs/>
                <w:color w:val="000000"/>
                <w:sz w:val="18"/>
                <w:szCs w:val="18"/>
                <w:lang w:val="en-GB"/>
              </w:rPr>
            </w:pPr>
          </w:p>
        </w:tc>
        <w:tc>
          <w:tcPr>
            <w:tcW w:w="889" w:type="dxa"/>
            <w:tcBorders>
              <w:top w:val="single" w:sz="4" w:space="0" w:color="476C2E"/>
              <w:left w:val="nil"/>
              <w:bottom w:val="nil"/>
              <w:right w:val="single" w:sz="4" w:space="0" w:color="476C2E"/>
            </w:tcBorders>
            <w:shd w:val="clear" w:color="auto" w:fill="auto"/>
            <w:noWrap/>
            <w:vAlign w:val="center"/>
          </w:tcPr>
          <w:p w14:paraId="2E928E0B" w14:textId="77777777" w:rsidR="00CC26A8" w:rsidRPr="008414D9" w:rsidRDefault="00CC26A8" w:rsidP="00CC26A8">
            <w:pPr>
              <w:spacing w:after="0" w:line="240" w:lineRule="auto"/>
              <w:jc w:val="right"/>
              <w:rPr>
                <w:sz w:val="20"/>
                <w:szCs w:val="20"/>
                <w:lang w:val="en-GB"/>
              </w:rPr>
            </w:pPr>
          </w:p>
        </w:tc>
        <w:tc>
          <w:tcPr>
            <w:tcW w:w="889" w:type="dxa"/>
            <w:tcBorders>
              <w:top w:val="single" w:sz="4" w:space="0" w:color="476C2E"/>
              <w:left w:val="single" w:sz="4" w:space="0" w:color="476C2E"/>
              <w:bottom w:val="nil"/>
              <w:right w:val="nil"/>
            </w:tcBorders>
            <w:shd w:val="clear" w:color="auto" w:fill="auto"/>
            <w:noWrap/>
            <w:vAlign w:val="center"/>
          </w:tcPr>
          <w:p w14:paraId="47601430" w14:textId="77777777" w:rsidR="00CC26A8" w:rsidRPr="008414D9" w:rsidRDefault="00CC26A8" w:rsidP="00CC26A8">
            <w:pPr>
              <w:spacing w:after="0" w:line="240" w:lineRule="auto"/>
              <w:jc w:val="right"/>
              <w:rPr>
                <w:sz w:val="20"/>
                <w:szCs w:val="20"/>
                <w:lang w:val="en-GB"/>
              </w:rPr>
            </w:pPr>
          </w:p>
        </w:tc>
        <w:tc>
          <w:tcPr>
            <w:tcW w:w="889" w:type="dxa"/>
            <w:tcBorders>
              <w:top w:val="single" w:sz="4" w:space="0" w:color="476C2E"/>
              <w:left w:val="nil"/>
              <w:bottom w:val="nil"/>
              <w:right w:val="single" w:sz="4" w:space="0" w:color="476C2E"/>
            </w:tcBorders>
            <w:shd w:val="clear" w:color="auto" w:fill="auto"/>
            <w:noWrap/>
            <w:vAlign w:val="center"/>
          </w:tcPr>
          <w:p w14:paraId="4BF34742" w14:textId="77777777" w:rsidR="00CC26A8" w:rsidRPr="008414D9" w:rsidRDefault="00CC26A8" w:rsidP="00CC26A8">
            <w:pPr>
              <w:spacing w:after="0" w:line="240" w:lineRule="auto"/>
              <w:jc w:val="right"/>
              <w:rPr>
                <w:sz w:val="20"/>
                <w:szCs w:val="20"/>
                <w:lang w:val="en-GB"/>
              </w:rPr>
            </w:pPr>
          </w:p>
        </w:tc>
        <w:tc>
          <w:tcPr>
            <w:tcW w:w="888" w:type="dxa"/>
            <w:tcBorders>
              <w:top w:val="single" w:sz="4" w:space="0" w:color="476C2E"/>
              <w:left w:val="single" w:sz="4" w:space="0" w:color="476C2E"/>
              <w:bottom w:val="nil"/>
              <w:right w:val="nil"/>
            </w:tcBorders>
            <w:shd w:val="clear" w:color="auto" w:fill="auto"/>
            <w:noWrap/>
            <w:vAlign w:val="center"/>
          </w:tcPr>
          <w:p w14:paraId="4F01964D" w14:textId="77777777" w:rsidR="00CC26A8" w:rsidRPr="008414D9" w:rsidRDefault="00CC26A8" w:rsidP="00CC26A8">
            <w:pPr>
              <w:spacing w:after="0" w:line="240" w:lineRule="auto"/>
              <w:jc w:val="right"/>
              <w:rPr>
                <w:sz w:val="20"/>
                <w:szCs w:val="20"/>
                <w:lang w:val="en-GB"/>
              </w:rPr>
            </w:pPr>
          </w:p>
        </w:tc>
        <w:tc>
          <w:tcPr>
            <w:tcW w:w="889" w:type="dxa"/>
            <w:tcBorders>
              <w:top w:val="single" w:sz="4" w:space="0" w:color="476C2E"/>
              <w:left w:val="nil"/>
              <w:bottom w:val="nil"/>
              <w:right w:val="single" w:sz="4" w:space="0" w:color="476C2E"/>
            </w:tcBorders>
            <w:shd w:val="clear" w:color="auto" w:fill="auto"/>
            <w:noWrap/>
            <w:vAlign w:val="center"/>
          </w:tcPr>
          <w:p w14:paraId="0AEFF453" w14:textId="77777777" w:rsidR="00CC26A8" w:rsidRPr="008414D9" w:rsidRDefault="00CC26A8" w:rsidP="00CC26A8">
            <w:pPr>
              <w:spacing w:after="0" w:line="240" w:lineRule="auto"/>
              <w:jc w:val="right"/>
              <w:rPr>
                <w:sz w:val="20"/>
                <w:szCs w:val="20"/>
                <w:lang w:val="en-GB"/>
              </w:rPr>
            </w:pPr>
          </w:p>
        </w:tc>
        <w:tc>
          <w:tcPr>
            <w:tcW w:w="889" w:type="dxa"/>
            <w:tcBorders>
              <w:top w:val="single" w:sz="4" w:space="0" w:color="476C2E"/>
              <w:left w:val="single" w:sz="4" w:space="0" w:color="476C2E"/>
              <w:bottom w:val="nil"/>
              <w:right w:val="nil"/>
            </w:tcBorders>
            <w:shd w:val="clear" w:color="auto" w:fill="auto"/>
            <w:noWrap/>
            <w:vAlign w:val="center"/>
          </w:tcPr>
          <w:p w14:paraId="327CBA4B" w14:textId="77777777" w:rsidR="00CC26A8" w:rsidRPr="008414D9" w:rsidRDefault="00CC26A8" w:rsidP="00CC26A8">
            <w:pPr>
              <w:spacing w:after="0" w:line="240" w:lineRule="auto"/>
              <w:jc w:val="right"/>
              <w:rPr>
                <w:sz w:val="20"/>
                <w:szCs w:val="20"/>
                <w:lang w:val="en-GB"/>
              </w:rPr>
            </w:pPr>
          </w:p>
        </w:tc>
        <w:tc>
          <w:tcPr>
            <w:tcW w:w="889" w:type="dxa"/>
            <w:tcBorders>
              <w:top w:val="single" w:sz="4" w:space="0" w:color="476C2E"/>
              <w:left w:val="nil"/>
              <w:bottom w:val="nil"/>
              <w:right w:val="single" w:sz="4" w:space="0" w:color="476C2E"/>
            </w:tcBorders>
            <w:shd w:val="clear" w:color="auto" w:fill="auto"/>
            <w:noWrap/>
            <w:vAlign w:val="center"/>
          </w:tcPr>
          <w:p w14:paraId="7603942D" w14:textId="77777777" w:rsidR="00CC26A8" w:rsidRPr="008414D9" w:rsidRDefault="00CC26A8" w:rsidP="00CC26A8">
            <w:pPr>
              <w:spacing w:after="0" w:line="240" w:lineRule="auto"/>
              <w:jc w:val="right"/>
              <w:rPr>
                <w:sz w:val="20"/>
                <w:szCs w:val="20"/>
                <w:lang w:val="en-GB"/>
              </w:rPr>
            </w:pPr>
          </w:p>
        </w:tc>
      </w:tr>
      <w:tr w:rsidR="00CC26A8" w:rsidRPr="008414D9" w14:paraId="6DBA009E" w14:textId="77777777" w:rsidTr="00AB1A9A">
        <w:trPr>
          <w:trHeight w:val="300"/>
        </w:trPr>
        <w:tc>
          <w:tcPr>
            <w:tcW w:w="3348" w:type="dxa"/>
            <w:tcBorders>
              <w:top w:val="nil"/>
              <w:left w:val="single" w:sz="4" w:space="0" w:color="476C2E"/>
              <w:bottom w:val="nil"/>
              <w:right w:val="single" w:sz="4" w:space="0" w:color="476C2E"/>
            </w:tcBorders>
            <w:shd w:val="clear" w:color="auto" w:fill="auto"/>
            <w:vAlign w:val="bottom"/>
          </w:tcPr>
          <w:p w14:paraId="193625BB" w14:textId="0A8C47A9" w:rsidR="00CC26A8" w:rsidRPr="008414D9" w:rsidRDefault="00CC26A8" w:rsidP="00CC26A8">
            <w:pPr>
              <w:spacing w:after="0" w:line="240" w:lineRule="auto"/>
              <w:rPr>
                <w:rFonts w:eastAsia="Times New Roman" w:cs="Arial"/>
                <w:b/>
                <w:bCs/>
                <w:color w:val="000000"/>
                <w:sz w:val="18"/>
                <w:szCs w:val="18"/>
                <w:lang w:val="en-GB"/>
              </w:rPr>
            </w:pPr>
            <w:r w:rsidRPr="006C0543">
              <w:rPr>
                <w:color w:val="000000"/>
                <w:sz w:val="18"/>
              </w:rPr>
              <w:t>Καθαρά χρηματοοικονομικά έξοδα</w:t>
            </w:r>
          </w:p>
        </w:tc>
        <w:tc>
          <w:tcPr>
            <w:tcW w:w="888" w:type="dxa"/>
            <w:tcBorders>
              <w:top w:val="nil"/>
              <w:left w:val="single" w:sz="4" w:space="0" w:color="476C2E"/>
              <w:bottom w:val="nil"/>
              <w:right w:val="nil"/>
            </w:tcBorders>
            <w:shd w:val="clear" w:color="auto" w:fill="auto"/>
            <w:noWrap/>
            <w:vAlign w:val="center"/>
          </w:tcPr>
          <w:p w14:paraId="4D523055" w14:textId="429FC1AF" w:rsidR="00CC26A8" w:rsidRPr="008414D9" w:rsidRDefault="00CC26A8" w:rsidP="00CC26A8">
            <w:pPr>
              <w:spacing w:after="0" w:line="240" w:lineRule="auto"/>
              <w:jc w:val="right"/>
              <w:rPr>
                <w:rFonts w:cs="Calibri"/>
                <w:color w:val="000000"/>
                <w:sz w:val="18"/>
                <w:szCs w:val="18"/>
                <w:lang w:val="en-GB"/>
              </w:rPr>
            </w:pPr>
            <w:r>
              <w:rPr>
                <w:rFonts w:cs="Calibri"/>
                <w:color w:val="000000"/>
                <w:sz w:val="18"/>
                <w:szCs w:val="18"/>
              </w:rPr>
              <w:t>22.452</w:t>
            </w:r>
          </w:p>
        </w:tc>
        <w:tc>
          <w:tcPr>
            <w:tcW w:w="889" w:type="dxa"/>
            <w:tcBorders>
              <w:top w:val="nil"/>
              <w:left w:val="nil"/>
              <w:bottom w:val="nil"/>
              <w:right w:val="single" w:sz="4" w:space="0" w:color="476C2E"/>
            </w:tcBorders>
            <w:shd w:val="clear" w:color="auto" w:fill="auto"/>
            <w:noWrap/>
            <w:vAlign w:val="center"/>
          </w:tcPr>
          <w:p w14:paraId="6514FC9A" w14:textId="4E443EA8" w:rsidR="00CC26A8" w:rsidRPr="008414D9" w:rsidRDefault="00CC26A8" w:rsidP="00CC26A8">
            <w:pPr>
              <w:spacing w:after="0" w:line="240" w:lineRule="auto"/>
              <w:jc w:val="right"/>
              <w:rPr>
                <w:rFonts w:cs="Calibri"/>
                <w:color w:val="000000"/>
                <w:sz w:val="18"/>
                <w:szCs w:val="18"/>
                <w:lang w:val="en-GB"/>
              </w:rPr>
            </w:pPr>
            <w:r>
              <w:rPr>
                <w:rFonts w:cs="Calibri"/>
                <w:color w:val="000000"/>
                <w:sz w:val="18"/>
                <w:szCs w:val="18"/>
              </w:rPr>
              <w:t>21.538</w:t>
            </w:r>
          </w:p>
        </w:tc>
        <w:tc>
          <w:tcPr>
            <w:tcW w:w="889" w:type="dxa"/>
            <w:tcBorders>
              <w:top w:val="nil"/>
              <w:left w:val="single" w:sz="4" w:space="0" w:color="476C2E"/>
              <w:bottom w:val="nil"/>
              <w:right w:val="nil"/>
            </w:tcBorders>
            <w:shd w:val="clear" w:color="auto" w:fill="auto"/>
            <w:noWrap/>
            <w:vAlign w:val="center"/>
          </w:tcPr>
          <w:p w14:paraId="712B83F9" w14:textId="03C40332" w:rsidR="00CC26A8" w:rsidRPr="008414D9" w:rsidRDefault="00CC26A8" w:rsidP="00CC26A8">
            <w:pPr>
              <w:spacing w:after="0" w:line="240" w:lineRule="auto"/>
              <w:jc w:val="right"/>
              <w:rPr>
                <w:rFonts w:cs="Calibri"/>
                <w:color w:val="000000"/>
                <w:sz w:val="18"/>
                <w:szCs w:val="18"/>
                <w:lang w:val="en-GB"/>
              </w:rPr>
            </w:pPr>
            <w:r>
              <w:rPr>
                <w:rFonts w:cs="Calibri"/>
                <w:color w:val="000000"/>
                <w:sz w:val="18"/>
                <w:szCs w:val="18"/>
              </w:rPr>
              <w:t>9.385</w:t>
            </w:r>
          </w:p>
        </w:tc>
        <w:tc>
          <w:tcPr>
            <w:tcW w:w="889" w:type="dxa"/>
            <w:tcBorders>
              <w:top w:val="nil"/>
              <w:left w:val="nil"/>
              <w:bottom w:val="nil"/>
              <w:right w:val="single" w:sz="4" w:space="0" w:color="476C2E"/>
            </w:tcBorders>
            <w:shd w:val="clear" w:color="auto" w:fill="auto"/>
            <w:noWrap/>
            <w:vAlign w:val="center"/>
          </w:tcPr>
          <w:p w14:paraId="2D72D41B" w14:textId="24927E9B" w:rsidR="00CC26A8" w:rsidRPr="008414D9" w:rsidRDefault="00CC26A8" w:rsidP="00CC26A8">
            <w:pPr>
              <w:spacing w:after="0" w:line="240" w:lineRule="auto"/>
              <w:jc w:val="right"/>
              <w:rPr>
                <w:rFonts w:cs="Calibri"/>
                <w:color w:val="000000"/>
                <w:sz w:val="18"/>
                <w:szCs w:val="18"/>
                <w:lang w:val="en-GB"/>
              </w:rPr>
            </w:pPr>
            <w:r>
              <w:rPr>
                <w:rFonts w:cs="Calibri"/>
                <w:color w:val="000000"/>
                <w:sz w:val="18"/>
                <w:szCs w:val="18"/>
              </w:rPr>
              <w:t>12.435</w:t>
            </w:r>
          </w:p>
        </w:tc>
        <w:tc>
          <w:tcPr>
            <w:tcW w:w="888" w:type="dxa"/>
            <w:tcBorders>
              <w:top w:val="nil"/>
              <w:left w:val="single" w:sz="4" w:space="0" w:color="476C2E"/>
              <w:bottom w:val="nil"/>
              <w:right w:val="nil"/>
            </w:tcBorders>
            <w:shd w:val="clear" w:color="auto" w:fill="auto"/>
            <w:noWrap/>
            <w:vAlign w:val="center"/>
          </w:tcPr>
          <w:p w14:paraId="293FD1F9" w14:textId="6901D7D2" w:rsidR="00CC26A8" w:rsidRPr="008414D9" w:rsidRDefault="00CC26A8" w:rsidP="00CC26A8">
            <w:pPr>
              <w:spacing w:after="0" w:line="240" w:lineRule="auto"/>
              <w:jc w:val="right"/>
              <w:rPr>
                <w:rFonts w:cs="Calibri"/>
                <w:color w:val="000000"/>
                <w:sz w:val="18"/>
                <w:szCs w:val="18"/>
                <w:lang w:val="en-GB"/>
              </w:rPr>
            </w:pPr>
            <w:r>
              <w:rPr>
                <w:rFonts w:cs="Calibri"/>
                <w:color w:val="000000"/>
                <w:sz w:val="18"/>
                <w:szCs w:val="18"/>
              </w:rPr>
              <w:t>(90)</w:t>
            </w:r>
          </w:p>
        </w:tc>
        <w:tc>
          <w:tcPr>
            <w:tcW w:w="889" w:type="dxa"/>
            <w:tcBorders>
              <w:top w:val="nil"/>
              <w:left w:val="nil"/>
              <w:bottom w:val="nil"/>
              <w:right w:val="single" w:sz="4" w:space="0" w:color="476C2E"/>
            </w:tcBorders>
            <w:shd w:val="clear" w:color="auto" w:fill="auto"/>
            <w:noWrap/>
            <w:vAlign w:val="center"/>
          </w:tcPr>
          <w:p w14:paraId="1066FFD9" w14:textId="48197EEA" w:rsidR="00CC26A8" w:rsidRPr="008414D9" w:rsidRDefault="00CC26A8" w:rsidP="00CC26A8">
            <w:pPr>
              <w:spacing w:after="0" w:line="240" w:lineRule="auto"/>
              <w:jc w:val="right"/>
              <w:rPr>
                <w:rFonts w:cs="Calibri"/>
                <w:color w:val="000000"/>
                <w:sz w:val="18"/>
                <w:szCs w:val="18"/>
                <w:lang w:val="en-GB"/>
              </w:rPr>
            </w:pPr>
            <w:r>
              <w:rPr>
                <w:rFonts w:cs="Calibri"/>
                <w:color w:val="000000"/>
                <w:sz w:val="18"/>
                <w:szCs w:val="18"/>
              </w:rPr>
              <w:t>(79)</w:t>
            </w:r>
          </w:p>
        </w:tc>
        <w:tc>
          <w:tcPr>
            <w:tcW w:w="889" w:type="dxa"/>
            <w:tcBorders>
              <w:top w:val="nil"/>
              <w:left w:val="single" w:sz="4" w:space="0" w:color="476C2E"/>
              <w:bottom w:val="nil"/>
              <w:right w:val="nil"/>
            </w:tcBorders>
            <w:shd w:val="clear" w:color="auto" w:fill="auto"/>
            <w:noWrap/>
            <w:vAlign w:val="center"/>
          </w:tcPr>
          <w:p w14:paraId="5A71D8C2" w14:textId="548BCD8E" w:rsidR="00CC26A8" w:rsidRPr="008414D9" w:rsidRDefault="00CC26A8" w:rsidP="00CC26A8">
            <w:pPr>
              <w:spacing w:after="0" w:line="240" w:lineRule="auto"/>
              <w:jc w:val="right"/>
              <w:rPr>
                <w:rFonts w:cs="Calibri"/>
                <w:color w:val="000000"/>
                <w:sz w:val="18"/>
                <w:szCs w:val="18"/>
                <w:lang w:val="en-GB"/>
              </w:rPr>
            </w:pPr>
            <w:r>
              <w:rPr>
                <w:rFonts w:cs="Calibri"/>
                <w:color w:val="000000"/>
                <w:sz w:val="18"/>
                <w:szCs w:val="18"/>
              </w:rPr>
              <w:t>31.747</w:t>
            </w:r>
          </w:p>
        </w:tc>
        <w:tc>
          <w:tcPr>
            <w:tcW w:w="889" w:type="dxa"/>
            <w:tcBorders>
              <w:top w:val="nil"/>
              <w:left w:val="nil"/>
              <w:bottom w:val="nil"/>
              <w:right w:val="single" w:sz="4" w:space="0" w:color="476C2E"/>
            </w:tcBorders>
            <w:shd w:val="clear" w:color="auto" w:fill="auto"/>
            <w:noWrap/>
            <w:vAlign w:val="center"/>
          </w:tcPr>
          <w:p w14:paraId="5C957BC4" w14:textId="59DE08EE" w:rsidR="00CC26A8" w:rsidRPr="008414D9" w:rsidRDefault="00CC26A8" w:rsidP="00CC26A8">
            <w:pPr>
              <w:spacing w:after="0" w:line="240" w:lineRule="auto"/>
              <w:jc w:val="right"/>
              <w:rPr>
                <w:rFonts w:cs="Calibri"/>
                <w:color w:val="000000"/>
                <w:sz w:val="18"/>
                <w:szCs w:val="18"/>
                <w:lang w:val="en-GB"/>
              </w:rPr>
            </w:pPr>
            <w:r>
              <w:rPr>
                <w:rFonts w:cs="Calibri"/>
                <w:color w:val="000000"/>
                <w:sz w:val="18"/>
                <w:szCs w:val="18"/>
              </w:rPr>
              <w:t>33.894</w:t>
            </w:r>
          </w:p>
        </w:tc>
      </w:tr>
      <w:tr w:rsidR="00CC26A8" w:rsidRPr="008414D9" w14:paraId="64E98A3F" w14:textId="77777777" w:rsidTr="00AB1A9A">
        <w:trPr>
          <w:trHeight w:val="300"/>
        </w:trPr>
        <w:tc>
          <w:tcPr>
            <w:tcW w:w="3348" w:type="dxa"/>
            <w:tcBorders>
              <w:top w:val="single" w:sz="4" w:space="0" w:color="476C2E"/>
              <w:left w:val="single" w:sz="4" w:space="0" w:color="476C2E"/>
              <w:bottom w:val="single" w:sz="4" w:space="0" w:color="476C2E"/>
              <w:right w:val="single" w:sz="4" w:space="0" w:color="476C2E"/>
            </w:tcBorders>
            <w:shd w:val="clear" w:color="auto" w:fill="E2EFD9"/>
            <w:vAlign w:val="bottom"/>
          </w:tcPr>
          <w:p w14:paraId="13B69541" w14:textId="6F571F56" w:rsidR="00CC26A8" w:rsidRPr="008414D9" w:rsidRDefault="00CC26A8" w:rsidP="00CC26A8">
            <w:pPr>
              <w:spacing w:after="0" w:line="240" w:lineRule="auto"/>
              <w:rPr>
                <w:rFonts w:eastAsia="Times New Roman" w:cs="Arial"/>
                <w:b/>
                <w:bCs/>
                <w:color w:val="000000"/>
                <w:sz w:val="18"/>
                <w:szCs w:val="18"/>
                <w:lang w:val="en-GB"/>
              </w:rPr>
            </w:pPr>
            <w:r w:rsidRPr="006C0543">
              <w:rPr>
                <w:b/>
                <w:color w:val="000000"/>
                <w:sz w:val="18"/>
              </w:rPr>
              <w:t>EBIT</w:t>
            </w:r>
          </w:p>
        </w:tc>
        <w:tc>
          <w:tcPr>
            <w:tcW w:w="888" w:type="dxa"/>
            <w:tcBorders>
              <w:top w:val="single" w:sz="4" w:space="0" w:color="476C2E"/>
              <w:left w:val="single" w:sz="4" w:space="0" w:color="476C2E"/>
              <w:bottom w:val="single" w:sz="4" w:space="0" w:color="476C2E"/>
              <w:right w:val="nil"/>
            </w:tcBorders>
            <w:shd w:val="clear" w:color="auto" w:fill="E2EFD9"/>
            <w:noWrap/>
            <w:vAlign w:val="center"/>
          </w:tcPr>
          <w:p w14:paraId="5E8888CC" w14:textId="04FAE4F6" w:rsidR="00CC26A8" w:rsidRPr="008414D9" w:rsidRDefault="00CC26A8" w:rsidP="00CC26A8">
            <w:pPr>
              <w:spacing w:after="0" w:line="240" w:lineRule="auto"/>
              <w:jc w:val="right"/>
              <w:rPr>
                <w:rFonts w:cs="Calibri"/>
                <w:b/>
                <w:bCs/>
                <w:color w:val="000000"/>
                <w:sz w:val="18"/>
                <w:szCs w:val="18"/>
                <w:lang w:val="en-GB"/>
              </w:rPr>
            </w:pPr>
            <w:r>
              <w:rPr>
                <w:rFonts w:cs="Calibri"/>
                <w:b/>
                <w:bCs/>
                <w:color w:val="000000"/>
                <w:sz w:val="18"/>
                <w:szCs w:val="18"/>
              </w:rPr>
              <w:t>69.540</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36F4DE11" w14:textId="7A9BD1E8" w:rsidR="00CC26A8" w:rsidRPr="008414D9" w:rsidRDefault="00CC26A8" w:rsidP="00CC26A8">
            <w:pPr>
              <w:spacing w:after="0" w:line="240" w:lineRule="auto"/>
              <w:jc w:val="right"/>
              <w:rPr>
                <w:rFonts w:cs="Calibri"/>
                <w:b/>
                <w:bCs/>
                <w:color w:val="000000"/>
                <w:sz w:val="18"/>
                <w:szCs w:val="18"/>
                <w:lang w:val="en-GB"/>
              </w:rPr>
            </w:pPr>
            <w:r>
              <w:rPr>
                <w:rFonts w:cs="Calibri"/>
                <w:b/>
                <w:bCs/>
                <w:color w:val="000000"/>
                <w:sz w:val="18"/>
                <w:szCs w:val="18"/>
              </w:rPr>
              <w:t>42.839</w:t>
            </w:r>
          </w:p>
        </w:tc>
        <w:tc>
          <w:tcPr>
            <w:tcW w:w="889" w:type="dxa"/>
            <w:tcBorders>
              <w:top w:val="single" w:sz="4" w:space="0" w:color="476C2E"/>
              <w:left w:val="single" w:sz="4" w:space="0" w:color="476C2E"/>
              <w:bottom w:val="single" w:sz="4" w:space="0" w:color="476C2E"/>
              <w:right w:val="nil"/>
            </w:tcBorders>
            <w:shd w:val="clear" w:color="auto" w:fill="E2EFD9"/>
            <w:noWrap/>
            <w:vAlign w:val="center"/>
          </w:tcPr>
          <w:p w14:paraId="6AF7F17D" w14:textId="54BFC8FE" w:rsidR="00CC26A8" w:rsidRPr="008414D9" w:rsidRDefault="00CC26A8" w:rsidP="00CC26A8">
            <w:pPr>
              <w:spacing w:after="0" w:line="240" w:lineRule="auto"/>
              <w:jc w:val="right"/>
              <w:rPr>
                <w:rFonts w:cs="Calibri"/>
                <w:b/>
                <w:bCs/>
                <w:color w:val="000000"/>
                <w:sz w:val="18"/>
                <w:szCs w:val="18"/>
                <w:lang w:val="en-GB"/>
              </w:rPr>
            </w:pPr>
            <w:r>
              <w:rPr>
                <w:rFonts w:cs="Calibri"/>
                <w:b/>
                <w:bCs/>
                <w:color w:val="000000"/>
                <w:sz w:val="18"/>
                <w:szCs w:val="18"/>
              </w:rPr>
              <w:t>3</w:t>
            </w:r>
            <w:r w:rsidR="00DF6E79">
              <w:rPr>
                <w:rFonts w:cs="Calibri"/>
                <w:b/>
                <w:bCs/>
                <w:color w:val="000000"/>
                <w:sz w:val="18"/>
                <w:szCs w:val="18"/>
              </w:rPr>
              <w:t>5</w:t>
            </w:r>
            <w:r>
              <w:rPr>
                <w:rFonts w:cs="Calibri"/>
                <w:b/>
                <w:bCs/>
                <w:color w:val="000000"/>
                <w:sz w:val="18"/>
                <w:szCs w:val="18"/>
              </w:rPr>
              <w:t>.</w:t>
            </w:r>
            <w:r w:rsidR="00DF6E79">
              <w:rPr>
                <w:rFonts w:cs="Calibri"/>
                <w:b/>
                <w:bCs/>
                <w:color w:val="000000"/>
                <w:sz w:val="18"/>
                <w:szCs w:val="18"/>
              </w:rPr>
              <w:t>604</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44F834E8" w14:textId="279EA96E" w:rsidR="00CC26A8" w:rsidRPr="008414D9" w:rsidRDefault="00CC26A8" w:rsidP="00CC26A8">
            <w:pPr>
              <w:spacing w:after="0" w:line="240" w:lineRule="auto"/>
              <w:jc w:val="right"/>
              <w:rPr>
                <w:rFonts w:cs="Calibri"/>
                <w:b/>
                <w:bCs/>
                <w:color w:val="000000"/>
                <w:sz w:val="18"/>
                <w:szCs w:val="18"/>
                <w:lang w:val="en-GB"/>
              </w:rPr>
            </w:pPr>
            <w:r>
              <w:rPr>
                <w:rFonts w:cs="Calibri"/>
                <w:b/>
                <w:bCs/>
                <w:color w:val="000000"/>
                <w:sz w:val="18"/>
                <w:szCs w:val="18"/>
              </w:rPr>
              <w:t>22.281</w:t>
            </w:r>
          </w:p>
        </w:tc>
        <w:tc>
          <w:tcPr>
            <w:tcW w:w="888" w:type="dxa"/>
            <w:tcBorders>
              <w:top w:val="single" w:sz="4" w:space="0" w:color="476C2E"/>
              <w:left w:val="single" w:sz="4" w:space="0" w:color="476C2E"/>
              <w:bottom w:val="single" w:sz="4" w:space="0" w:color="476C2E"/>
              <w:right w:val="nil"/>
            </w:tcBorders>
            <w:shd w:val="clear" w:color="auto" w:fill="E2EFD9"/>
            <w:noWrap/>
            <w:vAlign w:val="center"/>
          </w:tcPr>
          <w:p w14:paraId="011282B9" w14:textId="0DF4D261" w:rsidR="00CC26A8" w:rsidRPr="008414D9" w:rsidRDefault="00CC26A8" w:rsidP="00CC26A8">
            <w:pPr>
              <w:spacing w:after="0" w:line="240" w:lineRule="auto"/>
              <w:jc w:val="right"/>
              <w:rPr>
                <w:rFonts w:cs="Calibri"/>
                <w:b/>
                <w:bCs/>
                <w:color w:val="000000"/>
                <w:sz w:val="18"/>
                <w:szCs w:val="18"/>
                <w:lang w:val="en-GB"/>
              </w:rPr>
            </w:pPr>
            <w:r>
              <w:rPr>
                <w:rFonts w:cs="Calibri"/>
                <w:b/>
                <w:bCs/>
                <w:color w:val="000000"/>
                <w:sz w:val="18"/>
                <w:szCs w:val="18"/>
              </w:rPr>
              <w:t>(515)</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3E2DAFE6" w14:textId="60467704" w:rsidR="00CC26A8" w:rsidRPr="008414D9" w:rsidRDefault="00CC26A8" w:rsidP="00CC26A8">
            <w:pPr>
              <w:spacing w:after="0" w:line="240" w:lineRule="auto"/>
              <w:jc w:val="right"/>
              <w:rPr>
                <w:rFonts w:cs="Calibri"/>
                <w:b/>
                <w:bCs/>
                <w:color w:val="000000"/>
                <w:sz w:val="18"/>
                <w:szCs w:val="18"/>
                <w:lang w:val="en-GB"/>
              </w:rPr>
            </w:pPr>
            <w:r>
              <w:rPr>
                <w:rFonts w:cs="Calibri"/>
                <w:b/>
                <w:bCs/>
                <w:color w:val="000000"/>
                <w:sz w:val="18"/>
                <w:szCs w:val="18"/>
              </w:rPr>
              <w:t>(373)</w:t>
            </w:r>
          </w:p>
        </w:tc>
        <w:tc>
          <w:tcPr>
            <w:tcW w:w="889" w:type="dxa"/>
            <w:tcBorders>
              <w:top w:val="single" w:sz="4" w:space="0" w:color="476C2E"/>
              <w:left w:val="single" w:sz="4" w:space="0" w:color="476C2E"/>
              <w:bottom w:val="single" w:sz="4" w:space="0" w:color="476C2E"/>
              <w:right w:val="nil"/>
            </w:tcBorders>
            <w:shd w:val="clear" w:color="auto" w:fill="E2EFD9"/>
            <w:noWrap/>
            <w:vAlign w:val="center"/>
          </w:tcPr>
          <w:p w14:paraId="79C1E956" w14:textId="72777DFC" w:rsidR="00CC26A8" w:rsidRPr="008414D9" w:rsidRDefault="00CC26A8" w:rsidP="00CC26A8">
            <w:pPr>
              <w:spacing w:after="0" w:line="240" w:lineRule="auto"/>
              <w:jc w:val="right"/>
              <w:rPr>
                <w:rFonts w:cs="Calibri"/>
                <w:b/>
                <w:bCs/>
                <w:color w:val="000000"/>
                <w:sz w:val="18"/>
                <w:szCs w:val="18"/>
                <w:lang w:val="en-GB"/>
              </w:rPr>
            </w:pPr>
            <w:r>
              <w:rPr>
                <w:rFonts w:cs="Calibri"/>
                <w:b/>
                <w:bCs/>
                <w:color w:val="000000"/>
                <w:sz w:val="18"/>
                <w:szCs w:val="18"/>
              </w:rPr>
              <w:t>10</w:t>
            </w:r>
            <w:r w:rsidR="00270BFC">
              <w:rPr>
                <w:rFonts w:cs="Calibri"/>
                <w:b/>
                <w:bCs/>
                <w:color w:val="000000"/>
                <w:sz w:val="18"/>
                <w:szCs w:val="18"/>
              </w:rPr>
              <w:t>4</w:t>
            </w:r>
            <w:r>
              <w:rPr>
                <w:rFonts w:cs="Calibri"/>
                <w:b/>
                <w:bCs/>
                <w:color w:val="000000"/>
                <w:sz w:val="18"/>
                <w:szCs w:val="18"/>
              </w:rPr>
              <w:t>.</w:t>
            </w:r>
            <w:r w:rsidR="00270BFC">
              <w:rPr>
                <w:rFonts w:cs="Calibri"/>
                <w:b/>
                <w:bCs/>
                <w:color w:val="000000"/>
                <w:sz w:val="18"/>
                <w:szCs w:val="18"/>
              </w:rPr>
              <w:t>630</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1F218B4B" w14:textId="627C34E7" w:rsidR="00CC26A8" w:rsidRPr="008414D9" w:rsidRDefault="00CC26A8" w:rsidP="00CC26A8">
            <w:pPr>
              <w:spacing w:after="0" w:line="240" w:lineRule="auto"/>
              <w:jc w:val="right"/>
              <w:rPr>
                <w:rFonts w:cs="Calibri"/>
                <w:b/>
                <w:bCs/>
                <w:color w:val="000000"/>
                <w:sz w:val="18"/>
                <w:szCs w:val="18"/>
                <w:lang w:val="en-GB"/>
              </w:rPr>
            </w:pPr>
            <w:r>
              <w:rPr>
                <w:rFonts w:cs="Calibri"/>
                <w:b/>
                <w:bCs/>
                <w:color w:val="000000"/>
                <w:sz w:val="18"/>
                <w:szCs w:val="18"/>
              </w:rPr>
              <w:t>64.746</w:t>
            </w:r>
          </w:p>
        </w:tc>
      </w:tr>
      <w:tr w:rsidR="00CC26A8" w:rsidRPr="008414D9" w14:paraId="7B23FF9F" w14:textId="77777777" w:rsidTr="00AB1A9A">
        <w:trPr>
          <w:trHeight w:val="300"/>
        </w:trPr>
        <w:tc>
          <w:tcPr>
            <w:tcW w:w="3348" w:type="dxa"/>
            <w:tcBorders>
              <w:top w:val="single" w:sz="4" w:space="0" w:color="476C2E"/>
              <w:left w:val="single" w:sz="4" w:space="0" w:color="476C2E"/>
              <w:bottom w:val="nil"/>
              <w:right w:val="single" w:sz="4" w:space="0" w:color="476C2E"/>
            </w:tcBorders>
            <w:shd w:val="clear" w:color="auto" w:fill="auto"/>
            <w:vAlign w:val="bottom"/>
          </w:tcPr>
          <w:p w14:paraId="6E697018" w14:textId="26069D41" w:rsidR="00CC26A8" w:rsidRPr="008414D9" w:rsidRDefault="00CC26A8" w:rsidP="00CC26A8">
            <w:pPr>
              <w:spacing w:after="0" w:line="240" w:lineRule="auto"/>
              <w:rPr>
                <w:rFonts w:cs="Calibri"/>
                <w:b/>
                <w:i/>
                <w:color w:val="000000"/>
                <w:sz w:val="18"/>
                <w:szCs w:val="18"/>
                <w:u w:val="single"/>
                <w:lang w:val="en-GB"/>
              </w:rPr>
            </w:pPr>
            <w:r w:rsidRPr="006C0543">
              <w:rPr>
                <w:b/>
                <w:i/>
                <w:color w:val="000000"/>
                <w:sz w:val="18"/>
                <w:u w:val="single"/>
              </w:rPr>
              <w:t>Επανενσωμάτωση:</w:t>
            </w:r>
          </w:p>
        </w:tc>
        <w:tc>
          <w:tcPr>
            <w:tcW w:w="888" w:type="dxa"/>
            <w:tcBorders>
              <w:top w:val="single" w:sz="4" w:space="0" w:color="476C2E"/>
              <w:left w:val="single" w:sz="4" w:space="0" w:color="476C2E"/>
              <w:bottom w:val="nil"/>
              <w:right w:val="nil"/>
            </w:tcBorders>
            <w:shd w:val="clear" w:color="auto" w:fill="auto"/>
            <w:noWrap/>
            <w:vAlign w:val="center"/>
          </w:tcPr>
          <w:p w14:paraId="5DFE476C" w14:textId="77777777" w:rsidR="00CC26A8" w:rsidRPr="008414D9" w:rsidRDefault="00CC26A8" w:rsidP="00CC26A8">
            <w:pPr>
              <w:spacing w:after="0" w:line="240" w:lineRule="auto"/>
              <w:jc w:val="right"/>
              <w:rPr>
                <w:rFonts w:cs="Calibri"/>
                <w:b/>
                <w:bCs/>
                <w:color w:val="000000"/>
                <w:sz w:val="18"/>
                <w:szCs w:val="18"/>
                <w:lang w:val="en-GB"/>
              </w:rPr>
            </w:pPr>
          </w:p>
        </w:tc>
        <w:tc>
          <w:tcPr>
            <w:tcW w:w="889" w:type="dxa"/>
            <w:tcBorders>
              <w:top w:val="single" w:sz="4" w:space="0" w:color="476C2E"/>
              <w:left w:val="nil"/>
              <w:bottom w:val="nil"/>
              <w:right w:val="single" w:sz="4" w:space="0" w:color="476C2E"/>
            </w:tcBorders>
            <w:shd w:val="clear" w:color="auto" w:fill="auto"/>
            <w:noWrap/>
            <w:vAlign w:val="center"/>
          </w:tcPr>
          <w:p w14:paraId="7F06DA10" w14:textId="77777777" w:rsidR="00CC26A8" w:rsidRPr="008414D9" w:rsidRDefault="00CC26A8" w:rsidP="00CC26A8">
            <w:pPr>
              <w:spacing w:after="0" w:line="240" w:lineRule="auto"/>
              <w:jc w:val="right"/>
              <w:rPr>
                <w:sz w:val="20"/>
                <w:szCs w:val="20"/>
                <w:lang w:val="en-GB"/>
              </w:rPr>
            </w:pPr>
          </w:p>
        </w:tc>
        <w:tc>
          <w:tcPr>
            <w:tcW w:w="889" w:type="dxa"/>
            <w:tcBorders>
              <w:top w:val="single" w:sz="4" w:space="0" w:color="476C2E"/>
              <w:left w:val="single" w:sz="4" w:space="0" w:color="476C2E"/>
              <w:bottom w:val="nil"/>
              <w:right w:val="nil"/>
            </w:tcBorders>
            <w:shd w:val="clear" w:color="auto" w:fill="auto"/>
            <w:noWrap/>
            <w:vAlign w:val="center"/>
          </w:tcPr>
          <w:p w14:paraId="44E8A43A" w14:textId="77777777" w:rsidR="00CC26A8" w:rsidRPr="008414D9" w:rsidRDefault="00CC26A8" w:rsidP="00CC26A8">
            <w:pPr>
              <w:spacing w:after="0" w:line="240" w:lineRule="auto"/>
              <w:jc w:val="right"/>
              <w:rPr>
                <w:sz w:val="20"/>
                <w:szCs w:val="20"/>
                <w:lang w:val="en-GB"/>
              </w:rPr>
            </w:pPr>
          </w:p>
        </w:tc>
        <w:tc>
          <w:tcPr>
            <w:tcW w:w="889" w:type="dxa"/>
            <w:tcBorders>
              <w:top w:val="single" w:sz="4" w:space="0" w:color="476C2E"/>
              <w:left w:val="nil"/>
              <w:bottom w:val="nil"/>
              <w:right w:val="single" w:sz="4" w:space="0" w:color="476C2E"/>
            </w:tcBorders>
            <w:shd w:val="clear" w:color="auto" w:fill="auto"/>
            <w:noWrap/>
            <w:vAlign w:val="center"/>
          </w:tcPr>
          <w:p w14:paraId="2BF12E32" w14:textId="77777777" w:rsidR="00CC26A8" w:rsidRPr="008414D9" w:rsidRDefault="00CC26A8" w:rsidP="00CC26A8">
            <w:pPr>
              <w:spacing w:after="0" w:line="240" w:lineRule="auto"/>
              <w:jc w:val="right"/>
              <w:rPr>
                <w:sz w:val="20"/>
                <w:szCs w:val="20"/>
                <w:lang w:val="en-GB"/>
              </w:rPr>
            </w:pPr>
          </w:p>
        </w:tc>
        <w:tc>
          <w:tcPr>
            <w:tcW w:w="888" w:type="dxa"/>
            <w:tcBorders>
              <w:top w:val="single" w:sz="4" w:space="0" w:color="476C2E"/>
              <w:left w:val="single" w:sz="4" w:space="0" w:color="476C2E"/>
              <w:bottom w:val="nil"/>
              <w:right w:val="nil"/>
            </w:tcBorders>
            <w:shd w:val="clear" w:color="auto" w:fill="auto"/>
            <w:noWrap/>
            <w:vAlign w:val="center"/>
          </w:tcPr>
          <w:p w14:paraId="5E8607EF" w14:textId="77777777" w:rsidR="00CC26A8" w:rsidRPr="008414D9" w:rsidRDefault="00CC26A8" w:rsidP="00CC26A8">
            <w:pPr>
              <w:spacing w:after="0" w:line="240" w:lineRule="auto"/>
              <w:jc w:val="right"/>
              <w:rPr>
                <w:sz w:val="20"/>
                <w:szCs w:val="20"/>
                <w:lang w:val="en-GB"/>
              </w:rPr>
            </w:pPr>
          </w:p>
        </w:tc>
        <w:tc>
          <w:tcPr>
            <w:tcW w:w="889" w:type="dxa"/>
            <w:tcBorders>
              <w:top w:val="single" w:sz="4" w:space="0" w:color="476C2E"/>
              <w:left w:val="nil"/>
              <w:bottom w:val="nil"/>
              <w:right w:val="single" w:sz="4" w:space="0" w:color="476C2E"/>
            </w:tcBorders>
            <w:shd w:val="clear" w:color="auto" w:fill="auto"/>
            <w:noWrap/>
            <w:vAlign w:val="center"/>
          </w:tcPr>
          <w:p w14:paraId="56EB3882" w14:textId="77777777" w:rsidR="00CC26A8" w:rsidRPr="008414D9" w:rsidRDefault="00CC26A8" w:rsidP="00CC26A8">
            <w:pPr>
              <w:spacing w:after="0" w:line="240" w:lineRule="auto"/>
              <w:jc w:val="right"/>
              <w:rPr>
                <w:sz w:val="20"/>
                <w:szCs w:val="20"/>
                <w:lang w:val="en-GB"/>
              </w:rPr>
            </w:pPr>
          </w:p>
        </w:tc>
        <w:tc>
          <w:tcPr>
            <w:tcW w:w="889" w:type="dxa"/>
            <w:tcBorders>
              <w:top w:val="single" w:sz="4" w:space="0" w:color="476C2E"/>
              <w:left w:val="single" w:sz="4" w:space="0" w:color="476C2E"/>
              <w:bottom w:val="nil"/>
              <w:right w:val="nil"/>
            </w:tcBorders>
            <w:shd w:val="clear" w:color="auto" w:fill="auto"/>
            <w:noWrap/>
            <w:vAlign w:val="center"/>
          </w:tcPr>
          <w:p w14:paraId="18E3C785" w14:textId="77777777" w:rsidR="00CC26A8" w:rsidRPr="008414D9" w:rsidRDefault="00CC26A8" w:rsidP="00CC26A8">
            <w:pPr>
              <w:spacing w:after="0" w:line="240" w:lineRule="auto"/>
              <w:jc w:val="right"/>
              <w:rPr>
                <w:sz w:val="20"/>
                <w:szCs w:val="20"/>
                <w:lang w:val="en-GB"/>
              </w:rPr>
            </w:pPr>
          </w:p>
        </w:tc>
        <w:tc>
          <w:tcPr>
            <w:tcW w:w="889" w:type="dxa"/>
            <w:tcBorders>
              <w:top w:val="single" w:sz="4" w:space="0" w:color="476C2E"/>
              <w:left w:val="nil"/>
              <w:bottom w:val="nil"/>
              <w:right w:val="single" w:sz="4" w:space="0" w:color="476C2E"/>
            </w:tcBorders>
            <w:shd w:val="clear" w:color="auto" w:fill="auto"/>
            <w:noWrap/>
            <w:vAlign w:val="center"/>
          </w:tcPr>
          <w:p w14:paraId="7569E931" w14:textId="77777777" w:rsidR="00CC26A8" w:rsidRPr="008414D9" w:rsidRDefault="00CC26A8" w:rsidP="00CC26A8">
            <w:pPr>
              <w:spacing w:after="0" w:line="240" w:lineRule="auto"/>
              <w:jc w:val="right"/>
              <w:rPr>
                <w:sz w:val="20"/>
                <w:szCs w:val="20"/>
                <w:lang w:val="en-GB"/>
              </w:rPr>
            </w:pPr>
          </w:p>
        </w:tc>
      </w:tr>
      <w:tr w:rsidR="00CC26A8" w:rsidRPr="008414D9" w14:paraId="1AFBE79D" w14:textId="77777777" w:rsidTr="00AB1A9A">
        <w:trPr>
          <w:trHeight w:val="300"/>
        </w:trPr>
        <w:tc>
          <w:tcPr>
            <w:tcW w:w="3348" w:type="dxa"/>
            <w:tcBorders>
              <w:top w:val="nil"/>
              <w:left w:val="single" w:sz="4" w:space="0" w:color="476C2E"/>
              <w:bottom w:val="nil"/>
              <w:right w:val="single" w:sz="4" w:space="0" w:color="476C2E"/>
            </w:tcBorders>
            <w:shd w:val="clear" w:color="auto" w:fill="auto"/>
            <w:vAlign w:val="bottom"/>
            <w:hideMark/>
          </w:tcPr>
          <w:p w14:paraId="2F127CA9" w14:textId="29CF36BB" w:rsidR="00CC26A8" w:rsidRPr="008414D9" w:rsidRDefault="00CC26A8" w:rsidP="00CC26A8">
            <w:pPr>
              <w:spacing w:after="0" w:line="240" w:lineRule="auto"/>
              <w:rPr>
                <w:rFonts w:eastAsia="Times New Roman" w:cs="Arial"/>
                <w:b/>
                <w:bCs/>
                <w:color w:val="000000"/>
                <w:sz w:val="18"/>
                <w:szCs w:val="18"/>
                <w:lang w:val="en-GB"/>
              </w:rPr>
            </w:pPr>
            <w:r w:rsidRPr="006C0543">
              <w:rPr>
                <w:color w:val="000000"/>
                <w:sz w:val="18"/>
              </w:rPr>
              <w:t>Αποσβέσεις</w:t>
            </w:r>
          </w:p>
        </w:tc>
        <w:tc>
          <w:tcPr>
            <w:tcW w:w="888" w:type="dxa"/>
            <w:tcBorders>
              <w:top w:val="nil"/>
              <w:left w:val="single" w:sz="4" w:space="0" w:color="476C2E"/>
              <w:bottom w:val="nil"/>
              <w:right w:val="nil"/>
            </w:tcBorders>
            <w:shd w:val="clear" w:color="auto" w:fill="auto"/>
            <w:noWrap/>
            <w:vAlign w:val="center"/>
          </w:tcPr>
          <w:p w14:paraId="734529A5" w14:textId="14C31C75" w:rsidR="00CC26A8" w:rsidRPr="008414D9" w:rsidRDefault="00CC26A8" w:rsidP="00CC26A8">
            <w:pPr>
              <w:spacing w:after="0" w:line="240" w:lineRule="auto"/>
              <w:jc w:val="right"/>
              <w:rPr>
                <w:rFonts w:cs="Calibri"/>
                <w:color w:val="000000"/>
                <w:sz w:val="18"/>
                <w:szCs w:val="18"/>
                <w:lang w:val="en-GB"/>
              </w:rPr>
            </w:pPr>
            <w:r>
              <w:rPr>
                <w:rFonts w:cs="Calibri"/>
                <w:color w:val="000000"/>
                <w:sz w:val="18"/>
                <w:szCs w:val="18"/>
              </w:rPr>
              <w:t>11.585</w:t>
            </w:r>
          </w:p>
        </w:tc>
        <w:tc>
          <w:tcPr>
            <w:tcW w:w="889" w:type="dxa"/>
            <w:tcBorders>
              <w:top w:val="nil"/>
              <w:left w:val="nil"/>
              <w:bottom w:val="nil"/>
              <w:right w:val="single" w:sz="4" w:space="0" w:color="476C2E"/>
            </w:tcBorders>
            <w:shd w:val="clear" w:color="auto" w:fill="auto"/>
            <w:noWrap/>
            <w:vAlign w:val="center"/>
          </w:tcPr>
          <w:p w14:paraId="3F5B9F5E" w14:textId="5B5A290B" w:rsidR="00CC26A8" w:rsidRPr="008414D9" w:rsidRDefault="00CC26A8" w:rsidP="00CC26A8">
            <w:pPr>
              <w:spacing w:after="0" w:line="240" w:lineRule="auto"/>
              <w:jc w:val="right"/>
              <w:rPr>
                <w:rFonts w:cs="Calibri"/>
                <w:color w:val="000000"/>
                <w:sz w:val="18"/>
                <w:szCs w:val="18"/>
                <w:lang w:val="en-GB"/>
              </w:rPr>
            </w:pPr>
            <w:r>
              <w:rPr>
                <w:rFonts w:cs="Calibri"/>
                <w:color w:val="000000"/>
                <w:sz w:val="18"/>
                <w:szCs w:val="18"/>
              </w:rPr>
              <w:t>9.742</w:t>
            </w:r>
          </w:p>
        </w:tc>
        <w:tc>
          <w:tcPr>
            <w:tcW w:w="889" w:type="dxa"/>
            <w:tcBorders>
              <w:top w:val="nil"/>
              <w:left w:val="single" w:sz="4" w:space="0" w:color="476C2E"/>
              <w:bottom w:val="nil"/>
              <w:right w:val="nil"/>
            </w:tcBorders>
            <w:shd w:val="clear" w:color="auto" w:fill="auto"/>
            <w:noWrap/>
            <w:vAlign w:val="center"/>
          </w:tcPr>
          <w:p w14:paraId="38FDBFE0" w14:textId="2C7098A1" w:rsidR="00CC26A8" w:rsidRPr="008414D9" w:rsidRDefault="00CC26A8" w:rsidP="00CC26A8">
            <w:pPr>
              <w:spacing w:after="0" w:line="240" w:lineRule="auto"/>
              <w:jc w:val="right"/>
              <w:rPr>
                <w:rFonts w:cs="Calibri"/>
                <w:color w:val="000000"/>
                <w:sz w:val="18"/>
                <w:szCs w:val="18"/>
                <w:lang w:val="en-GB"/>
              </w:rPr>
            </w:pPr>
            <w:r>
              <w:rPr>
                <w:rFonts w:cs="Calibri"/>
                <w:color w:val="000000"/>
                <w:sz w:val="18"/>
                <w:szCs w:val="18"/>
              </w:rPr>
              <w:t>4.978</w:t>
            </w:r>
          </w:p>
        </w:tc>
        <w:tc>
          <w:tcPr>
            <w:tcW w:w="889" w:type="dxa"/>
            <w:tcBorders>
              <w:top w:val="nil"/>
              <w:left w:val="nil"/>
              <w:bottom w:val="nil"/>
              <w:right w:val="single" w:sz="4" w:space="0" w:color="476C2E"/>
            </w:tcBorders>
            <w:shd w:val="clear" w:color="auto" w:fill="auto"/>
            <w:noWrap/>
            <w:vAlign w:val="center"/>
          </w:tcPr>
          <w:p w14:paraId="79B6CF56" w14:textId="6DC4AD3C" w:rsidR="00CC26A8" w:rsidRPr="008414D9" w:rsidRDefault="00CC26A8" w:rsidP="00CC26A8">
            <w:pPr>
              <w:spacing w:after="0" w:line="240" w:lineRule="auto"/>
              <w:jc w:val="right"/>
              <w:rPr>
                <w:rFonts w:cs="Calibri"/>
                <w:color w:val="000000"/>
                <w:sz w:val="18"/>
                <w:szCs w:val="18"/>
                <w:lang w:val="en-GB"/>
              </w:rPr>
            </w:pPr>
            <w:r>
              <w:rPr>
                <w:rFonts w:cs="Calibri"/>
                <w:color w:val="000000"/>
                <w:sz w:val="18"/>
                <w:szCs w:val="18"/>
              </w:rPr>
              <w:t>4.753</w:t>
            </w:r>
          </w:p>
        </w:tc>
        <w:tc>
          <w:tcPr>
            <w:tcW w:w="888" w:type="dxa"/>
            <w:tcBorders>
              <w:top w:val="nil"/>
              <w:left w:val="single" w:sz="4" w:space="0" w:color="476C2E"/>
              <w:bottom w:val="nil"/>
              <w:right w:val="nil"/>
            </w:tcBorders>
            <w:shd w:val="clear" w:color="auto" w:fill="auto"/>
            <w:noWrap/>
            <w:vAlign w:val="center"/>
          </w:tcPr>
          <w:p w14:paraId="753D03B6" w14:textId="08338C38" w:rsidR="00CC26A8" w:rsidRPr="008414D9" w:rsidRDefault="00CC26A8" w:rsidP="00CC26A8">
            <w:pPr>
              <w:spacing w:after="0" w:line="240" w:lineRule="auto"/>
              <w:jc w:val="right"/>
              <w:rPr>
                <w:rFonts w:cs="Calibri"/>
                <w:color w:val="000000"/>
                <w:sz w:val="18"/>
                <w:szCs w:val="18"/>
                <w:lang w:val="en-GB"/>
              </w:rPr>
            </w:pPr>
            <w:r>
              <w:rPr>
                <w:rFonts w:cs="Calibri"/>
                <w:color w:val="000000"/>
                <w:sz w:val="18"/>
                <w:szCs w:val="18"/>
              </w:rPr>
              <w:t>4</w:t>
            </w:r>
          </w:p>
        </w:tc>
        <w:tc>
          <w:tcPr>
            <w:tcW w:w="889" w:type="dxa"/>
            <w:tcBorders>
              <w:top w:val="nil"/>
              <w:left w:val="nil"/>
              <w:bottom w:val="nil"/>
              <w:right w:val="single" w:sz="4" w:space="0" w:color="476C2E"/>
            </w:tcBorders>
            <w:shd w:val="clear" w:color="auto" w:fill="auto"/>
            <w:noWrap/>
            <w:vAlign w:val="center"/>
          </w:tcPr>
          <w:p w14:paraId="40C4457E" w14:textId="09254DA9" w:rsidR="00CC26A8" w:rsidRPr="008414D9" w:rsidRDefault="00CC26A8" w:rsidP="00CC26A8">
            <w:pPr>
              <w:spacing w:after="0" w:line="240" w:lineRule="auto"/>
              <w:jc w:val="right"/>
              <w:rPr>
                <w:rFonts w:cs="Calibri"/>
                <w:color w:val="000000"/>
                <w:sz w:val="18"/>
                <w:szCs w:val="18"/>
                <w:lang w:val="en-GB"/>
              </w:rPr>
            </w:pPr>
            <w:r>
              <w:rPr>
                <w:rFonts w:cs="Calibri"/>
                <w:color w:val="000000"/>
                <w:sz w:val="18"/>
                <w:szCs w:val="18"/>
              </w:rPr>
              <w:t>6</w:t>
            </w:r>
          </w:p>
        </w:tc>
        <w:tc>
          <w:tcPr>
            <w:tcW w:w="889" w:type="dxa"/>
            <w:tcBorders>
              <w:top w:val="nil"/>
              <w:left w:val="single" w:sz="4" w:space="0" w:color="476C2E"/>
              <w:bottom w:val="nil"/>
              <w:right w:val="nil"/>
            </w:tcBorders>
            <w:shd w:val="clear" w:color="auto" w:fill="auto"/>
            <w:noWrap/>
            <w:vAlign w:val="center"/>
          </w:tcPr>
          <w:p w14:paraId="44AACDA9" w14:textId="5332B3DB" w:rsidR="00CC26A8" w:rsidRPr="008414D9" w:rsidRDefault="00CC26A8" w:rsidP="00CC26A8">
            <w:pPr>
              <w:spacing w:after="0" w:line="240" w:lineRule="auto"/>
              <w:jc w:val="right"/>
              <w:rPr>
                <w:rFonts w:cs="Calibri"/>
                <w:color w:val="000000"/>
                <w:sz w:val="18"/>
                <w:szCs w:val="18"/>
                <w:lang w:val="en-GB"/>
              </w:rPr>
            </w:pPr>
            <w:r>
              <w:rPr>
                <w:rFonts w:cs="Calibri"/>
                <w:color w:val="000000"/>
                <w:sz w:val="18"/>
                <w:szCs w:val="18"/>
              </w:rPr>
              <w:t>16.567</w:t>
            </w:r>
          </w:p>
        </w:tc>
        <w:tc>
          <w:tcPr>
            <w:tcW w:w="889" w:type="dxa"/>
            <w:tcBorders>
              <w:top w:val="nil"/>
              <w:left w:val="nil"/>
              <w:bottom w:val="nil"/>
              <w:right w:val="single" w:sz="4" w:space="0" w:color="476C2E"/>
            </w:tcBorders>
            <w:shd w:val="clear" w:color="auto" w:fill="auto"/>
            <w:noWrap/>
            <w:vAlign w:val="center"/>
          </w:tcPr>
          <w:p w14:paraId="67A0B2E5" w14:textId="56DA2D62" w:rsidR="00CC26A8" w:rsidRPr="008414D9" w:rsidRDefault="00CC26A8" w:rsidP="00CC26A8">
            <w:pPr>
              <w:spacing w:after="0" w:line="240" w:lineRule="auto"/>
              <w:jc w:val="right"/>
              <w:rPr>
                <w:rFonts w:cs="Calibri"/>
                <w:color w:val="000000"/>
                <w:sz w:val="18"/>
                <w:szCs w:val="18"/>
                <w:lang w:val="en-GB"/>
              </w:rPr>
            </w:pPr>
            <w:r>
              <w:rPr>
                <w:rFonts w:cs="Calibri"/>
                <w:color w:val="000000"/>
                <w:sz w:val="18"/>
                <w:szCs w:val="18"/>
              </w:rPr>
              <w:t>14.502</w:t>
            </w:r>
          </w:p>
        </w:tc>
      </w:tr>
      <w:tr w:rsidR="00CC26A8" w:rsidRPr="008414D9" w14:paraId="27A27CA5" w14:textId="77777777" w:rsidTr="00AB1A9A">
        <w:trPr>
          <w:trHeight w:val="300"/>
        </w:trPr>
        <w:tc>
          <w:tcPr>
            <w:tcW w:w="3348" w:type="dxa"/>
            <w:tcBorders>
              <w:top w:val="single" w:sz="4" w:space="0" w:color="476C2E"/>
              <w:left w:val="single" w:sz="4" w:space="0" w:color="476C2E"/>
              <w:bottom w:val="single" w:sz="4" w:space="0" w:color="476C2E"/>
              <w:right w:val="single" w:sz="4" w:space="0" w:color="476C2E"/>
            </w:tcBorders>
            <w:shd w:val="clear" w:color="auto" w:fill="E2EFD9"/>
            <w:vAlign w:val="bottom"/>
            <w:hideMark/>
          </w:tcPr>
          <w:p w14:paraId="4CF14581" w14:textId="22A1671F" w:rsidR="00CC26A8" w:rsidRPr="00CC26A8" w:rsidRDefault="00CC26A8" w:rsidP="00CC26A8">
            <w:pPr>
              <w:spacing w:after="0" w:line="240" w:lineRule="auto"/>
              <w:rPr>
                <w:rFonts w:eastAsia="Times New Roman" w:cs="Arial"/>
                <w:b/>
                <w:bCs/>
                <w:color w:val="000000"/>
                <w:sz w:val="18"/>
                <w:szCs w:val="18"/>
              </w:rPr>
            </w:pPr>
            <w:r w:rsidRPr="006C0543">
              <w:rPr>
                <w:b/>
                <w:color w:val="000000"/>
                <w:sz w:val="18"/>
              </w:rPr>
              <w:t>Κέρδη προ φόρων, χρηματοδοτικών, επενδυτικών αποτελεσμάτων και αποσβέσεων (EBITDA)</w:t>
            </w:r>
          </w:p>
        </w:tc>
        <w:tc>
          <w:tcPr>
            <w:tcW w:w="888" w:type="dxa"/>
            <w:tcBorders>
              <w:top w:val="single" w:sz="4" w:space="0" w:color="476C2E"/>
              <w:left w:val="single" w:sz="4" w:space="0" w:color="476C2E"/>
              <w:bottom w:val="single" w:sz="4" w:space="0" w:color="476C2E"/>
              <w:right w:val="nil"/>
            </w:tcBorders>
            <w:shd w:val="clear" w:color="auto" w:fill="E2EFD9"/>
            <w:noWrap/>
            <w:vAlign w:val="center"/>
          </w:tcPr>
          <w:p w14:paraId="5F044D0A" w14:textId="2FDB0DB3" w:rsidR="00CC26A8" w:rsidRPr="008414D9" w:rsidRDefault="00CC26A8" w:rsidP="00CC26A8">
            <w:pPr>
              <w:spacing w:after="0" w:line="240" w:lineRule="auto"/>
              <w:jc w:val="right"/>
              <w:rPr>
                <w:rFonts w:cs="Calibri"/>
                <w:b/>
                <w:bCs/>
                <w:color w:val="000000"/>
                <w:sz w:val="18"/>
                <w:szCs w:val="18"/>
                <w:lang w:val="en-GB"/>
              </w:rPr>
            </w:pPr>
            <w:r>
              <w:rPr>
                <w:rFonts w:cs="Calibri"/>
                <w:b/>
                <w:bCs/>
                <w:color w:val="000000"/>
                <w:sz w:val="18"/>
                <w:szCs w:val="18"/>
              </w:rPr>
              <w:t>81.125</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430C570B" w14:textId="5A14CE90" w:rsidR="00CC26A8" w:rsidRPr="008414D9" w:rsidRDefault="00CC26A8" w:rsidP="00CC26A8">
            <w:pPr>
              <w:spacing w:after="0" w:line="240" w:lineRule="auto"/>
              <w:jc w:val="right"/>
              <w:rPr>
                <w:rFonts w:cs="Calibri"/>
                <w:b/>
                <w:bCs/>
                <w:color w:val="000000"/>
                <w:sz w:val="18"/>
                <w:szCs w:val="18"/>
                <w:lang w:val="en-GB"/>
              </w:rPr>
            </w:pPr>
            <w:r>
              <w:rPr>
                <w:rFonts w:cs="Calibri"/>
                <w:b/>
                <w:bCs/>
                <w:color w:val="000000"/>
                <w:sz w:val="18"/>
                <w:szCs w:val="18"/>
              </w:rPr>
              <w:t>52.581</w:t>
            </w:r>
          </w:p>
        </w:tc>
        <w:tc>
          <w:tcPr>
            <w:tcW w:w="889" w:type="dxa"/>
            <w:tcBorders>
              <w:top w:val="single" w:sz="4" w:space="0" w:color="476C2E"/>
              <w:left w:val="single" w:sz="4" w:space="0" w:color="476C2E"/>
              <w:bottom w:val="single" w:sz="4" w:space="0" w:color="476C2E"/>
              <w:right w:val="nil"/>
            </w:tcBorders>
            <w:shd w:val="clear" w:color="auto" w:fill="E2EFD9"/>
            <w:noWrap/>
            <w:vAlign w:val="center"/>
          </w:tcPr>
          <w:p w14:paraId="4B7415BD" w14:textId="584E5DA3" w:rsidR="00CC26A8" w:rsidRPr="008414D9" w:rsidRDefault="00CC26A8" w:rsidP="00CC26A8">
            <w:pPr>
              <w:spacing w:after="0" w:line="240" w:lineRule="auto"/>
              <w:jc w:val="right"/>
              <w:rPr>
                <w:rFonts w:cs="Calibri"/>
                <w:b/>
                <w:bCs/>
                <w:color w:val="000000"/>
                <w:sz w:val="18"/>
                <w:szCs w:val="18"/>
                <w:lang w:val="en-GB"/>
              </w:rPr>
            </w:pPr>
            <w:r>
              <w:rPr>
                <w:rFonts w:cs="Calibri"/>
                <w:b/>
                <w:bCs/>
                <w:color w:val="000000"/>
                <w:sz w:val="18"/>
                <w:szCs w:val="18"/>
              </w:rPr>
              <w:t>4</w:t>
            </w:r>
            <w:r w:rsidR="00DF6E79">
              <w:rPr>
                <w:rFonts w:cs="Calibri"/>
                <w:b/>
                <w:bCs/>
                <w:color w:val="000000"/>
                <w:sz w:val="18"/>
                <w:szCs w:val="18"/>
              </w:rPr>
              <w:t>0</w:t>
            </w:r>
            <w:r>
              <w:rPr>
                <w:rFonts w:cs="Calibri"/>
                <w:b/>
                <w:bCs/>
                <w:color w:val="000000"/>
                <w:sz w:val="18"/>
                <w:szCs w:val="18"/>
              </w:rPr>
              <w:t>.</w:t>
            </w:r>
            <w:r w:rsidR="00DF6E79">
              <w:rPr>
                <w:rFonts w:cs="Calibri"/>
                <w:b/>
                <w:bCs/>
                <w:color w:val="000000"/>
                <w:sz w:val="18"/>
                <w:szCs w:val="18"/>
              </w:rPr>
              <w:t>583</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3F72DE35" w14:textId="5347B309" w:rsidR="00CC26A8" w:rsidRPr="008414D9" w:rsidRDefault="00CC26A8" w:rsidP="00CC26A8">
            <w:pPr>
              <w:spacing w:after="0" w:line="240" w:lineRule="auto"/>
              <w:jc w:val="right"/>
              <w:rPr>
                <w:rFonts w:cs="Calibri"/>
                <w:b/>
                <w:bCs/>
                <w:color w:val="000000"/>
                <w:sz w:val="18"/>
                <w:szCs w:val="18"/>
                <w:lang w:val="en-GB"/>
              </w:rPr>
            </w:pPr>
            <w:r>
              <w:rPr>
                <w:rFonts w:cs="Calibri"/>
                <w:b/>
                <w:bCs/>
                <w:color w:val="000000"/>
                <w:sz w:val="18"/>
                <w:szCs w:val="18"/>
              </w:rPr>
              <w:t>27.034</w:t>
            </w:r>
          </w:p>
        </w:tc>
        <w:tc>
          <w:tcPr>
            <w:tcW w:w="888" w:type="dxa"/>
            <w:tcBorders>
              <w:top w:val="single" w:sz="4" w:space="0" w:color="476C2E"/>
              <w:left w:val="single" w:sz="4" w:space="0" w:color="476C2E"/>
              <w:bottom w:val="single" w:sz="4" w:space="0" w:color="476C2E"/>
              <w:right w:val="nil"/>
            </w:tcBorders>
            <w:shd w:val="clear" w:color="auto" w:fill="E2EFD9"/>
            <w:noWrap/>
            <w:vAlign w:val="center"/>
          </w:tcPr>
          <w:p w14:paraId="34C37C55" w14:textId="51BD47DE" w:rsidR="00CC26A8" w:rsidRPr="008414D9" w:rsidRDefault="00CC26A8" w:rsidP="00CC26A8">
            <w:pPr>
              <w:spacing w:after="0" w:line="240" w:lineRule="auto"/>
              <w:jc w:val="right"/>
              <w:rPr>
                <w:rFonts w:cs="Calibri"/>
                <w:b/>
                <w:bCs/>
                <w:color w:val="000000"/>
                <w:sz w:val="18"/>
                <w:szCs w:val="18"/>
                <w:lang w:val="en-GB"/>
              </w:rPr>
            </w:pPr>
            <w:r>
              <w:rPr>
                <w:rFonts w:cs="Calibri"/>
                <w:b/>
                <w:bCs/>
                <w:color w:val="000000"/>
                <w:sz w:val="18"/>
                <w:szCs w:val="18"/>
              </w:rPr>
              <w:t>(511)</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4A85A3FE" w14:textId="361D2070" w:rsidR="00CC26A8" w:rsidRPr="008414D9" w:rsidRDefault="00CC26A8" w:rsidP="00CC26A8">
            <w:pPr>
              <w:spacing w:after="0" w:line="240" w:lineRule="auto"/>
              <w:jc w:val="right"/>
              <w:rPr>
                <w:rFonts w:cs="Calibri"/>
                <w:b/>
                <w:bCs/>
                <w:color w:val="000000"/>
                <w:sz w:val="18"/>
                <w:szCs w:val="18"/>
                <w:lang w:val="en-GB"/>
              </w:rPr>
            </w:pPr>
            <w:r>
              <w:rPr>
                <w:rFonts w:cs="Calibri"/>
                <w:b/>
                <w:bCs/>
                <w:color w:val="000000"/>
                <w:sz w:val="18"/>
                <w:szCs w:val="18"/>
              </w:rPr>
              <w:t>(367)</w:t>
            </w:r>
          </w:p>
        </w:tc>
        <w:tc>
          <w:tcPr>
            <w:tcW w:w="889" w:type="dxa"/>
            <w:tcBorders>
              <w:top w:val="single" w:sz="4" w:space="0" w:color="476C2E"/>
              <w:left w:val="single" w:sz="4" w:space="0" w:color="476C2E"/>
              <w:bottom w:val="single" w:sz="4" w:space="0" w:color="476C2E"/>
              <w:right w:val="nil"/>
            </w:tcBorders>
            <w:shd w:val="clear" w:color="auto" w:fill="E2EFD9"/>
            <w:noWrap/>
            <w:vAlign w:val="center"/>
          </w:tcPr>
          <w:p w14:paraId="03F11C52" w14:textId="3C8F5409" w:rsidR="00CC26A8" w:rsidRPr="008414D9" w:rsidRDefault="00CC26A8" w:rsidP="00CC26A8">
            <w:pPr>
              <w:spacing w:after="0" w:line="240" w:lineRule="auto"/>
              <w:jc w:val="right"/>
              <w:rPr>
                <w:rFonts w:cs="Calibri"/>
                <w:b/>
                <w:bCs/>
                <w:color w:val="000000"/>
                <w:sz w:val="18"/>
                <w:szCs w:val="18"/>
                <w:lang w:val="en-GB"/>
              </w:rPr>
            </w:pPr>
            <w:r>
              <w:rPr>
                <w:rFonts w:cs="Calibri"/>
                <w:b/>
                <w:bCs/>
                <w:color w:val="000000"/>
                <w:sz w:val="18"/>
                <w:szCs w:val="18"/>
              </w:rPr>
              <w:t>121.</w:t>
            </w:r>
            <w:r w:rsidR="00270BFC">
              <w:rPr>
                <w:rFonts w:cs="Calibri"/>
                <w:b/>
                <w:bCs/>
                <w:color w:val="000000"/>
                <w:sz w:val="18"/>
                <w:szCs w:val="18"/>
              </w:rPr>
              <w:t>196</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53D82F7C" w14:textId="717148E1" w:rsidR="00CC26A8" w:rsidRPr="008414D9" w:rsidRDefault="00CC26A8" w:rsidP="00CC26A8">
            <w:pPr>
              <w:spacing w:after="0" w:line="240" w:lineRule="auto"/>
              <w:jc w:val="right"/>
              <w:rPr>
                <w:rFonts w:cs="Calibri"/>
                <w:b/>
                <w:bCs/>
                <w:color w:val="000000"/>
                <w:sz w:val="18"/>
                <w:szCs w:val="18"/>
                <w:lang w:val="en-GB"/>
              </w:rPr>
            </w:pPr>
            <w:r>
              <w:rPr>
                <w:rFonts w:cs="Calibri"/>
                <w:b/>
                <w:bCs/>
                <w:color w:val="000000"/>
                <w:sz w:val="18"/>
                <w:szCs w:val="18"/>
              </w:rPr>
              <w:t>79.249</w:t>
            </w:r>
          </w:p>
        </w:tc>
      </w:tr>
    </w:tbl>
    <w:p w14:paraId="1F947C31" w14:textId="77777777" w:rsidR="00842565" w:rsidRPr="008414D9" w:rsidRDefault="00842565" w:rsidP="006B321F">
      <w:pPr>
        <w:spacing w:after="120" w:line="240" w:lineRule="auto"/>
        <w:jc w:val="both"/>
        <w:rPr>
          <w:rFonts w:cs="Calibri"/>
          <w:b/>
          <w:sz w:val="20"/>
          <w:szCs w:val="20"/>
          <w:u w:val="single"/>
          <w:lang w:val="en-GB" w:eastAsia="x-none"/>
        </w:rPr>
      </w:pPr>
    </w:p>
    <w:p w14:paraId="1E6D2AC3" w14:textId="77777777" w:rsidR="00677257" w:rsidRPr="008414D9" w:rsidRDefault="00677257" w:rsidP="006B321F">
      <w:pPr>
        <w:spacing w:after="120" w:line="240" w:lineRule="auto"/>
        <w:jc w:val="both"/>
        <w:rPr>
          <w:rFonts w:cs="Calibri"/>
          <w:b/>
          <w:sz w:val="20"/>
          <w:szCs w:val="20"/>
          <w:u w:val="single"/>
          <w:lang w:val="en-GB" w:eastAsia="x-none"/>
        </w:rPr>
      </w:pPr>
      <w:r w:rsidRPr="008414D9">
        <w:rPr>
          <w:rFonts w:cs="Calibri"/>
          <w:b/>
          <w:sz w:val="20"/>
          <w:szCs w:val="20"/>
          <w:u w:val="single"/>
          <w:lang w:val="en-GB" w:eastAsia="x-none"/>
        </w:rPr>
        <w:t>a-EBIT and a-EBITDA:</w:t>
      </w:r>
    </w:p>
    <w:tbl>
      <w:tblPr>
        <w:tblW w:w="10458"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blBorders>
        <w:tblLayout w:type="fixed"/>
        <w:tblLook w:val="04A0" w:firstRow="1" w:lastRow="0" w:firstColumn="1" w:lastColumn="0" w:noHBand="0" w:noVBand="1"/>
      </w:tblPr>
      <w:tblGrid>
        <w:gridCol w:w="3330"/>
        <w:gridCol w:w="891"/>
        <w:gridCol w:w="891"/>
        <w:gridCol w:w="891"/>
        <w:gridCol w:w="891"/>
        <w:gridCol w:w="891"/>
        <w:gridCol w:w="891"/>
        <w:gridCol w:w="891"/>
        <w:gridCol w:w="891"/>
      </w:tblGrid>
      <w:tr w:rsidR="00CC26A8" w:rsidRPr="008414D9" w14:paraId="40D9C362" w14:textId="77777777" w:rsidTr="0050101D">
        <w:trPr>
          <w:trHeight w:val="300"/>
        </w:trPr>
        <w:tc>
          <w:tcPr>
            <w:tcW w:w="3330" w:type="dxa"/>
            <w:shd w:val="clear" w:color="auto" w:fill="476C2E"/>
            <w:noWrap/>
            <w:vAlign w:val="center"/>
            <w:hideMark/>
          </w:tcPr>
          <w:p w14:paraId="5F43B387" w14:textId="77777777" w:rsidR="00CC26A8" w:rsidRPr="008414D9" w:rsidRDefault="00CC26A8" w:rsidP="00CC26A8">
            <w:pPr>
              <w:spacing w:after="0" w:line="240" w:lineRule="auto"/>
              <w:jc w:val="both"/>
              <w:rPr>
                <w:rFonts w:eastAsia="Times New Roman" w:cs="Arial"/>
                <w:b/>
                <w:bCs/>
                <w:color w:val="FFFFFF"/>
                <w:sz w:val="20"/>
                <w:szCs w:val="20"/>
                <w:lang w:val="en-GB"/>
              </w:rPr>
            </w:pPr>
          </w:p>
        </w:tc>
        <w:tc>
          <w:tcPr>
            <w:tcW w:w="1782" w:type="dxa"/>
            <w:gridSpan w:val="2"/>
            <w:shd w:val="clear" w:color="auto" w:fill="476C2E"/>
            <w:noWrap/>
            <w:vAlign w:val="center"/>
            <w:hideMark/>
          </w:tcPr>
          <w:p w14:paraId="434B1E5B" w14:textId="53A7529C" w:rsidR="00CC26A8" w:rsidRPr="008414D9" w:rsidRDefault="00CC26A8" w:rsidP="00701424">
            <w:pPr>
              <w:spacing w:after="0" w:line="240" w:lineRule="auto"/>
              <w:jc w:val="center"/>
              <w:rPr>
                <w:rFonts w:eastAsia="Times New Roman" w:cs="Arial"/>
                <w:b/>
                <w:bCs/>
                <w:color w:val="FFFFFF"/>
                <w:sz w:val="20"/>
                <w:szCs w:val="20"/>
                <w:u w:val="single"/>
                <w:lang w:val="en-GB"/>
              </w:rPr>
            </w:pPr>
            <w:r w:rsidRPr="006C0543">
              <w:rPr>
                <w:b/>
                <w:color w:val="FFFFFF"/>
                <w:sz w:val="20"/>
                <w:u w:val="single"/>
              </w:rPr>
              <w:t>Καλώδια</w:t>
            </w:r>
          </w:p>
        </w:tc>
        <w:tc>
          <w:tcPr>
            <w:tcW w:w="1782" w:type="dxa"/>
            <w:gridSpan w:val="2"/>
            <w:shd w:val="clear" w:color="auto" w:fill="476C2E"/>
            <w:noWrap/>
            <w:vAlign w:val="center"/>
            <w:hideMark/>
          </w:tcPr>
          <w:p w14:paraId="33D85A82" w14:textId="3B0E4FED" w:rsidR="00CC26A8" w:rsidRPr="008414D9" w:rsidRDefault="00CC26A8" w:rsidP="00701424">
            <w:pPr>
              <w:spacing w:after="0" w:line="240" w:lineRule="auto"/>
              <w:jc w:val="center"/>
              <w:rPr>
                <w:rFonts w:eastAsia="Times New Roman" w:cs="Arial"/>
                <w:b/>
                <w:bCs/>
                <w:color w:val="FFFFFF"/>
                <w:sz w:val="20"/>
                <w:szCs w:val="20"/>
                <w:u w:val="single"/>
                <w:lang w:val="en-GB"/>
              </w:rPr>
            </w:pPr>
            <w:r w:rsidRPr="006C0543">
              <w:rPr>
                <w:b/>
                <w:color w:val="FFFFFF"/>
                <w:sz w:val="20"/>
                <w:u w:val="single"/>
              </w:rPr>
              <w:t>Σωλήνες χάλυβα</w:t>
            </w:r>
          </w:p>
        </w:tc>
        <w:tc>
          <w:tcPr>
            <w:tcW w:w="1782" w:type="dxa"/>
            <w:gridSpan w:val="2"/>
            <w:shd w:val="clear" w:color="auto" w:fill="476C2E"/>
            <w:noWrap/>
            <w:vAlign w:val="center"/>
            <w:hideMark/>
          </w:tcPr>
          <w:p w14:paraId="0E14F1B7" w14:textId="0A30AC94" w:rsidR="00CC26A8" w:rsidRPr="008414D9" w:rsidRDefault="00CC26A8" w:rsidP="00701424">
            <w:pPr>
              <w:spacing w:after="0" w:line="240" w:lineRule="auto"/>
              <w:jc w:val="center"/>
              <w:rPr>
                <w:rFonts w:eastAsia="Times New Roman" w:cs="Arial"/>
                <w:b/>
                <w:bCs/>
                <w:color w:val="FFFFFF"/>
                <w:sz w:val="20"/>
                <w:szCs w:val="20"/>
                <w:u w:val="single"/>
                <w:lang w:val="en-GB"/>
              </w:rPr>
            </w:pPr>
            <w:r w:rsidRPr="006C0543">
              <w:rPr>
                <w:b/>
                <w:color w:val="FFFFFF"/>
                <w:sz w:val="20"/>
                <w:u w:val="single"/>
              </w:rPr>
              <w:t>Λοιπές δραστηριότητες</w:t>
            </w:r>
          </w:p>
        </w:tc>
        <w:tc>
          <w:tcPr>
            <w:tcW w:w="1782" w:type="dxa"/>
            <w:gridSpan w:val="2"/>
            <w:shd w:val="clear" w:color="auto" w:fill="476C2E"/>
            <w:noWrap/>
            <w:vAlign w:val="center"/>
            <w:hideMark/>
          </w:tcPr>
          <w:p w14:paraId="5489ADB4" w14:textId="661BD38C" w:rsidR="00CC26A8" w:rsidRPr="008414D9" w:rsidRDefault="00CC26A8" w:rsidP="00701424">
            <w:pPr>
              <w:spacing w:after="0" w:line="240" w:lineRule="auto"/>
              <w:jc w:val="center"/>
              <w:rPr>
                <w:rFonts w:eastAsia="Times New Roman"/>
                <w:b/>
                <w:bCs/>
                <w:color w:val="FFFFFF"/>
                <w:sz w:val="20"/>
                <w:szCs w:val="20"/>
                <w:u w:val="single"/>
                <w:lang w:val="en-GB" w:eastAsia="el-GR"/>
              </w:rPr>
            </w:pPr>
            <w:r w:rsidRPr="006C0543">
              <w:rPr>
                <w:b/>
                <w:color w:val="FFFFFF"/>
                <w:sz w:val="20"/>
                <w:u w:val="single"/>
              </w:rPr>
              <w:t>Σύνολο</w:t>
            </w:r>
          </w:p>
        </w:tc>
      </w:tr>
      <w:tr w:rsidR="00CC26A8" w:rsidRPr="008414D9" w14:paraId="59CF22AB" w14:textId="77777777" w:rsidTr="00DD5508">
        <w:trPr>
          <w:trHeight w:val="300"/>
        </w:trPr>
        <w:tc>
          <w:tcPr>
            <w:tcW w:w="3330" w:type="dxa"/>
            <w:tcBorders>
              <w:bottom w:val="nil"/>
            </w:tcBorders>
            <w:shd w:val="clear" w:color="auto" w:fill="476C2E"/>
            <w:noWrap/>
            <w:vAlign w:val="bottom"/>
            <w:hideMark/>
          </w:tcPr>
          <w:p w14:paraId="7D295D24" w14:textId="1830EA65" w:rsidR="00CC26A8" w:rsidRPr="008414D9" w:rsidRDefault="00CC26A8" w:rsidP="00CC26A8">
            <w:pPr>
              <w:spacing w:after="0" w:line="240" w:lineRule="auto"/>
              <w:rPr>
                <w:rFonts w:eastAsia="Times New Roman" w:cs="Arial"/>
                <w:b/>
                <w:bCs/>
                <w:color w:val="FFFFFF"/>
                <w:sz w:val="20"/>
                <w:szCs w:val="20"/>
                <w:lang w:val="en-GB"/>
              </w:rPr>
            </w:pPr>
            <w:r w:rsidRPr="006C0543">
              <w:rPr>
                <w:b/>
                <w:color w:val="FFFFFF"/>
                <w:sz w:val="18"/>
              </w:rPr>
              <w:t>Ποσά σε χιλιάδες ευρώ</w:t>
            </w:r>
          </w:p>
        </w:tc>
        <w:tc>
          <w:tcPr>
            <w:tcW w:w="891" w:type="dxa"/>
            <w:tcBorders>
              <w:bottom w:val="nil"/>
            </w:tcBorders>
            <w:shd w:val="clear" w:color="auto" w:fill="476C2E"/>
            <w:noWrap/>
            <w:vAlign w:val="center"/>
            <w:hideMark/>
          </w:tcPr>
          <w:p w14:paraId="36E7266A" w14:textId="24C7B74E" w:rsidR="00CC26A8" w:rsidRPr="008414D9" w:rsidRDefault="00CC26A8" w:rsidP="00701424">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rPr>
              <w:t>4</w:t>
            </w:r>
          </w:p>
        </w:tc>
        <w:tc>
          <w:tcPr>
            <w:tcW w:w="891" w:type="dxa"/>
            <w:tcBorders>
              <w:bottom w:val="nil"/>
            </w:tcBorders>
            <w:shd w:val="clear" w:color="auto" w:fill="476C2E"/>
            <w:noWrap/>
            <w:vAlign w:val="center"/>
            <w:hideMark/>
          </w:tcPr>
          <w:p w14:paraId="5CB97F8E" w14:textId="725DCCC9" w:rsidR="00CC26A8" w:rsidRPr="008414D9" w:rsidRDefault="00CC26A8" w:rsidP="00701424">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rPr>
              <w:t>3</w:t>
            </w:r>
          </w:p>
        </w:tc>
        <w:tc>
          <w:tcPr>
            <w:tcW w:w="891" w:type="dxa"/>
            <w:tcBorders>
              <w:bottom w:val="nil"/>
            </w:tcBorders>
            <w:shd w:val="clear" w:color="auto" w:fill="476C2E"/>
            <w:noWrap/>
            <w:vAlign w:val="center"/>
            <w:hideMark/>
          </w:tcPr>
          <w:p w14:paraId="535F5CA0" w14:textId="1E3EFB2E" w:rsidR="00CC26A8" w:rsidRPr="008414D9" w:rsidRDefault="00CC26A8" w:rsidP="00701424">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rPr>
              <w:t>4</w:t>
            </w:r>
          </w:p>
        </w:tc>
        <w:tc>
          <w:tcPr>
            <w:tcW w:w="891" w:type="dxa"/>
            <w:tcBorders>
              <w:bottom w:val="nil"/>
            </w:tcBorders>
            <w:shd w:val="clear" w:color="auto" w:fill="476C2E"/>
            <w:noWrap/>
            <w:vAlign w:val="center"/>
            <w:hideMark/>
          </w:tcPr>
          <w:p w14:paraId="0C715180" w14:textId="5F86D6F5" w:rsidR="00CC26A8" w:rsidRPr="008414D9" w:rsidRDefault="00CC26A8" w:rsidP="00701424">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rPr>
              <w:t>3</w:t>
            </w:r>
          </w:p>
        </w:tc>
        <w:tc>
          <w:tcPr>
            <w:tcW w:w="891" w:type="dxa"/>
            <w:tcBorders>
              <w:bottom w:val="nil"/>
            </w:tcBorders>
            <w:shd w:val="clear" w:color="auto" w:fill="476C2E"/>
            <w:noWrap/>
            <w:vAlign w:val="center"/>
            <w:hideMark/>
          </w:tcPr>
          <w:p w14:paraId="72505A23" w14:textId="12CB93B5" w:rsidR="00CC26A8" w:rsidRPr="008414D9" w:rsidRDefault="00CC26A8" w:rsidP="00701424">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rPr>
              <w:t>4</w:t>
            </w:r>
          </w:p>
        </w:tc>
        <w:tc>
          <w:tcPr>
            <w:tcW w:w="891" w:type="dxa"/>
            <w:tcBorders>
              <w:bottom w:val="nil"/>
            </w:tcBorders>
            <w:shd w:val="clear" w:color="auto" w:fill="476C2E"/>
            <w:noWrap/>
            <w:vAlign w:val="center"/>
            <w:hideMark/>
          </w:tcPr>
          <w:p w14:paraId="0F9EEB3A" w14:textId="1CC6B4E6" w:rsidR="00CC26A8" w:rsidRPr="008414D9" w:rsidRDefault="00CC26A8" w:rsidP="00701424">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rPr>
              <w:t>3</w:t>
            </w:r>
          </w:p>
        </w:tc>
        <w:tc>
          <w:tcPr>
            <w:tcW w:w="891" w:type="dxa"/>
            <w:tcBorders>
              <w:bottom w:val="nil"/>
            </w:tcBorders>
            <w:shd w:val="clear" w:color="auto" w:fill="476C2E"/>
            <w:noWrap/>
            <w:vAlign w:val="center"/>
            <w:hideMark/>
          </w:tcPr>
          <w:p w14:paraId="5EB2C2F2" w14:textId="1742807D" w:rsidR="00CC26A8" w:rsidRPr="008414D9" w:rsidRDefault="00CC26A8" w:rsidP="00701424">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rPr>
              <w:t>4</w:t>
            </w:r>
          </w:p>
        </w:tc>
        <w:tc>
          <w:tcPr>
            <w:tcW w:w="891" w:type="dxa"/>
            <w:tcBorders>
              <w:bottom w:val="nil"/>
            </w:tcBorders>
            <w:shd w:val="clear" w:color="auto" w:fill="476C2E"/>
            <w:noWrap/>
            <w:vAlign w:val="center"/>
            <w:hideMark/>
          </w:tcPr>
          <w:p w14:paraId="0AEDA492" w14:textId="7CF1BD22" w:rsidR="00CC26A8" w:rsidRPr="008414D9" w:rsidRDefault="00CC26A8" w:rsidP="00701424">
            <w:pPr>
              <w:spacing w:after="0" w:line="240" w:lineRule="auto"/>
              <w:jc w:val="center"/>
              <w:rPr>
                <w:rFonts w:eastAsia="Times New Roman" w:cs="Arial"/>
                <w:b/>
                <w:bCs/>
                <w:color w:val="FFFFFF"/>
                <w:sz w:val="20"/>
                <w:szCs w:val="20"/>
                <w:lang w:val="en-GB"/>
              </w:rPr>
            </w:pPr>
            <w:r w:rsidRPr="000A6EB0">
              <w:rPr>
                <w:b/>
                <w:color w:val="FFFFFF"/>
                <w:sz w:val="20"/>
                <w:szCs w:val="20"/>
              </w:rPr>
              <w:t xml:space="preserve">1ο εξ. </w:t>
            </w:r>
            <w:r w:rsidRPr="000A6EB0">
              <w:rPr>
                <w:rFonts w:eastAsia="Times New Roman" w:cs="Arial"/>
                <w:b/>
                <w:bCs/>
                <w:color w:val="FFFFFF" w:themeColor="background1"/>
                <w:sz w:val="20"/>
                <w:szCs w:val="20"/>
                <w:lang w:val="en-GB"/>
              </w:rPr>
              <w:t xml:space="preserve"> 202</w:t>
            </w:r>
            <w:r>
              <w:rPr>
                <w:rFonts w:eastAsia="Times New Roman" w:cs="Arial"/>
                <w:b/>
                <w:bCs/>
                <w:color w:val="FFFFFF" w:themeColor="background1"/>
                <w:sz w:val="20"/>
                <w:szCs w:val="20"/>
              </w:rPr>
              <w:t>3</w:t>
            </w:r>
          </w:p>
        </w:tc>
      </w:tr>
      <w:tr w:rsidR="001E40C9" w:rsidRPr="008414D9" w14:paraId="0E72A13B" w14:textId="77777777" w:rsidTr="009E31E5">
        <w:trPr>
          <w:trHeight w:val="300"/>
        </w:trPr>
        <w:tc>
          <w:tcPr>
            <w:tcW w:w="3330" w:type="dxa"/>
            <w:tcBorders>
              <w:top w:val="nil"/>
              <w:bottom w:val="single" w:sz="4" w:space="0" w:color="385623" w:themeColor="accent6" w:themeShade="80"/>
              <w:right w:val="single" w:sz="4" w:space="0" w:color="385623" w:themeColor="accent6" w:themeShade="80"/>
            </w:tcBorders>
            <w:shd w:val="clear" w:color="auto" w:fill="E2EFD9"/>
            <w:vAlign w:val="bottom"/>
            <w:hideMark/>
          </w:tcPr>
          <w:p w14:paraId="7A71EBB6" w14:textId="77777777" w:rsidR="001E40C9" w:rsidRPr="008414D9" w:rsidRDefault="001E40C9" w:rsidP="001E40C9">
            <w:pPr>
              <w:spacing w:before="20" w:after="20" w:line="240" w:lineRule="auto"/>
              <w:rPr>
                <w:rFonts w:eastAsia="Times New Roman" w:cs="Arial"/>
                <w:b/>
                <w:bCs/>
                <w:color w:val="000000"/>
                <w:sz w:val="18"/>
                <w:szCs w:val="18"/>
                <w:lang w:val="en-GB"/>
              </w:rPr>
            </w:pPr>
            <w:r w:rsidRPr="008414D9">
              <w:rPr>
                <w:rFonts w:eastAsia="Times New Roman" w:cs="Arial"/>
                <w:b/>
                <w:bCs/>
                <w:color w:val="000000"/>
                <w:sz w:val="18"/>
                <w:szCs w:val="18"/>
                <w:lang w:val="en-GB"/>
              </w:rPr>
              <w:t>EBIT</w:t>
            </w:r>
          </w:p>
        </w:tc>
        <w:tc>
          <w:tcPr>
            <w:tcW w:w="891" w:type="dxa"/>
            <w:tcBorders>
              <w:top w:val="nil"/>
              <w:left w:val="single" w:sz="4" w:space="0" w:color="385623" w:themeColor="accent6" w:themeShade="80"/>
              <w:bottom w:val="single" w:sz="4" w:space="0" w:color="385623" w:themeColor="accent6" w:themeShade="80"/>
            </w:tcBorders>
            <w:shd w:val="clear" w:color="auto" w:fill="E2EFD9"/>
            <w:noWrap/>
            <w:vAlign w:val="center"/>
          </w:tcPr>
          <w:p w14:paraId="7F6C8D0A" w14:textId="55DAE83E" w:rsidR="001E40C9" w:rsidRPr="008414D9" w:rsidRDefault="001E40C9" w:rsidP="001E40C9">
            <w:pPr>
              <w:spacing w:after="0" w:line="240" w:lineRule="auto"/>
              <w:jc w:val="right"/>
              <w:rPr>
                <w:rFonts w:cs="Calibri"/>
                <w:b/>
                <w:bCs/>
                <w:color w:val="000000"/>
                <w:sz w:val="18"/>
                <w:szCs w:val="18"/>
                <w:lang w:val="en-GB"/>
              </w:rPr>
            </w:pPr>
            <w:r>
              <w:rPr>
                <w:rFonts w:cs="Calibri"/>
                <w:b/>
                <w:bCs/>
                <w:color w:val="000000"/>
                <w:sz w:val="18"/>
                <w:szCs w:val="18"/>
              </w:rPr>
              <w:t>69</w:t>
            </w:r>
            <w:r w:rsidR="00CC26A8">
              <w:rPr>
                <w:rFonts w:cs="Calibri"/>
                <w:b/>
                <w:bCs/>
                <w:color w:val="000000"/>
                <w:sz w:val="18"/>
                <w:szCs w:val="18"/>
              </w:rPr>
              <w:t>.</w:t>
            </w:r>
            <w:r>
              <w:rPr>
                <w:rFonts w:cs="Calibri"/>
                <w:b/>
                <w:bCs/>
                <w:color w:val="000000"/>
                <w:sz w:val="18"/>
                <w:szCs w:val="18"/>
              </w:rPr>
              <w:t>540</w:t>
            </w:r>
          </w:p>
        </w:tc>
        <w:tc>
          <w:tcPr>
            <w:tcW w:w="891" w:type="dxa"/>
            <w:tcBorders>
              <w:top w:val="nil"/>
              <w:bottom w:val="single" w:sz="4" w:space="0" w:color="385623" w:themeColor="accent6" w:themeShade="80"/>
              <w:right w:val="single" w:sz="4" w:space="0" w:color="385623" w:themeColor="accent6" w:themeShade="80"/>
            </w:tcBorders>
            <w:shd w:val="clear" w:color="auto" w:fill="E2EFD9"/>
            <w:noWrap/>
            <w:vAlign w:val="center"/>
          </w:tcPr>
          <w:p w14:paraId="026BB671" w14:textId="08E4C7BE" w:rsidR="001E40C9" w:rsidRPr="008414D9" w:rsidRDefault="001E40C9" w:rsidP="001E40C9">
            <w:pPr>
              <w:spacing w:after="0"/>
              <w:jc w:val="right"/>
              <w:rPr>
                <w:rFonts w:cs="Calibri"/>
                <w:b/>
                <w:bCs/>
                <w:color w:val="000000"/>
                <w:sz w:val="18"/>
                <w:szCs w:val="18"/>
                <w:lang w:val="en-GB"/>
              </w:rPr>
            </w:pPr>
            <w:r>
              <w:rPr>
                <w:rFonts w:cs="Calibri"/>
                <w:b/>
                <w:bCs/>
                <w:color w:val="000000"/>
                <w:sz w:val="18"/>
                <w:szCs w:val="18"/>
              </w:rPr>
              <w:t>42</w:t>
            </w:r>
            <w:r w:rsidR="00CC26A8">
              <w:rPr>
                <w:rFonts w:cs="Calibri"/>
                <w:b/>
                <w:bCs/>
                <w:color w:val="000000"/>
                <w:sz w:val="18"/>
                <w:szCs w:val="18"/>
              </w:rPr>
              <w:t>.</w:t>
            </w:r>
            <w:r>
              <w:rPr>
                <w:rFonts w:cs="Calibri"/>
                <w:b/>
                <w:bCs/>
                <w:color w:val="000000"/>
                <w:sz w:val="18"/>
                <w:szCs w:val="18"/>
              </w:rPr>
              <w:t>839</w:t>
            </w:r>
          </w:p>
        </w:tc>
        <w:tc>
          <w:tcPr>
            <w:tcW w:w="891" w:type="dxa"/>
            <w:tcBorders>
              <w:top w:val="nil"/>
              <w:left w:val="single" w:sz="4" w:space="0" w:color="385623" w:themeColor="accent6" w:themeShade="80"/>
              <w:bottom w:val="single" w:sz="4" w:space="0" w:color="385623" w:themeColor="accent6" w:themeShade="80"/>
            </w:tcBorders>
            <w:shd w:val="clear" w:color="auto" w:fill="E2EFD9"/>
            <w:noWrap/>
            <w:vAlign w:val="center"/>
          </w:tcPr>
          <w:p w14:paraId="7942BFA0" w14:textId="7C05E7FA" w:rsidR="001E40C9" w:rsidRPr="008414D9" w:rsidRDefault="001E40C9" w:rsidP="001E40C9">
            <w:pPr>
              <w:spacing w:after="0"/>
              <w:jc w:val="right"/>
              <w:rPr>
                <w:rFonts w:cs="Calibri"/>
                <w:b/>
                <w:bCs/>
                <w:color w:val="000000"/>
                <w:sz w:val="18"/>
                <w:szCs w:val="18"/>
                <w:lang w:val="en-GB"/>
              </w:rPr>
            </w:pPr>
            <w:r>
              <w:rPr>
                <w:rFonts w:cs="Calibri"/>
                <w:b/>
                <w:bCs/>
                <w:color w:val="000000"/>
                <w:sz w:val="18"/>
                <w:szCs w:val="18"/>
              </w:rPr>
              <w:t>3</w:t>
            </w:r>
            <w:r w:rsidR="00270BFC">
              <w:rPr>
                <w:rFonts w:cs="Calibri"/>
                <w:b/>
                <w:bCs/>
                <w:color w:val="000000"/>
                <w:sz w:val="18"/>
                <w:szCs w:val="18"/>
              </w:rPr>
              <w:t>5</w:t>
            </w:r>
            <w:r w:rsidR="00CC26A8">
              <w:rPr>
                <w:rFonts w:cs="Calibri"/>
                <w:b/>
                <w:bCs/>
                <w:color w:val="000000"/>
                <w:sz w:val="18"/>
                <w:szCs w:val="18"/>
              </w:rPr>
              <w:t>.</w:t>
            </w:r>
            <w:r w:rsidR="00270BFC">
              <w:rPr>
                <w:rFonts w:cs="Calibri"/>
                <w:b/>
                <w:bCs/>
                <w:color w:val="000000"/>
                <w:sz w:val="18"/>
                <w:szCs w:val="18"/>
              </w:rPr>
              <w:t>604</w:t>
            </w:r>
          </w:p>
        </w:tc>
        <w:tc>
          <w:tcPr>
            <w:tcW w:w="891" w:type="dxa"/>
            <w:tcBorders>
              <w:top w:val="nil"/>
              <w:bottom w:val="single" w:sz="4" w:space="0" w:color="385623" w:themeColor="accent6" w:themeShade="80"/>
              <w:right w:val="single" w:sz="4" w:space="0" w:color="385623" w:themeColor="accent6" w:themeShade="80"/>
            </w:tcBorders>
            <w:shd w:val="clear" w:color="auto" w:fill="E2EFD9"/>
            <w:noWrap/>
            <w:vAlign w:val="center"/>
          </w:tcPr>
          <w:p w14:paraId="10BE4E46" w14:textId="6F0684E9" w:rsidR="001E40C9" w:rsidRPr="008414D9" w:rsidRDefault="001E40C9" w:rsidP="001E40C9">
            <w:pPr>
              <w:spacing w:after="0"/>
              <w:jc w:val="right"/>
              <w:rPr>
                <w:rFonts w:cs="Calibri"/>
                <w:b/>
                <w:bCs/>
                <w:color w:val="000000"/>
                <w:sz w:val="18"/>
                <w:szCs w:val="18"/>
                <w:lang w:val="en-GB"/>
              </w:rPr>
            </w:pPr>
            <w:r>
              <w:rPr>
                <w:rFonts w:cs="Calibri"/>
                <w:b/>
                <w:bCs/>
                <w:color w:val="000000"/>
                <w:sz w:val="18"/>
                <w:szCs w:val="18"/>
              </w:rPr>
              <w:t>22</w:t>
            </w:r>
            <w:r w:rsidR="00CC26A8">
              <w:rPr>
                <w:rFonts w:cs="Calibri"/>
                <w:b/>
                <w:bCs/>
                <w:color w:val="000000"/>
                <w:sz w:val="18"/>
                <w:szCs w:val="18"/>
              </w:rPr>
              <w:t>.</w:t>
            </w:r>
            <w:r>
              <w:rPr>
                <w:rFonts w:cs="Calibri"/>
                <w:b/>
                <w:bCs/>
                <w:color w:val="000000"/>
                <w:sz w:val="18"/>
                <w:szCs w:val="18"/>
              </w:rPr>
              <w:t>281</w:t>
            </w:r>
          </w:p>
        </w:tc>
        <w:tc>
          <w:tcPr>
            <w:tcW w:w="891" w:type="dxa"/>
            <w:tcBorders>
              <w:top w:val="nil"/>
              <w:left w:val="single" w:sz="4" w:space="0" w:color="385623" w:themeColor="accent6" w:themeShade="80"/>
              <w:bottom w:val="single" w:sz="4" w:space="0" w:color="385623" w:themeColor="accent6" w:themeShade="80"/>
            </w:tcBorders>
            <w:shd w:val="clear" w:color="auto" w:fill="E2EFD9"/>
            <w:noWrap/>
            <w:vAlign w:val="center"/>
          </w:tcPr>
          <w:p w14:paraId="6FCD8242" w14:textId="13E54B48" w:rsidR="001E40C9" w:rsidRPr="008414D9" w:rsidRDefault="001E40C9" w:rsidP="001E40C9">
            <w:pPr>
              <w:spacing w:after="0"/>
              <w:jc w:val="right"/>
              <w:rPr>
                <w:rFonts w:cs="Calibri"/>
                <w:b/>
                <w:bCs/>
                <w:color w:val="000000"/>
                <w:sz w:val="18"/>
                <w:szCs w:val="18"/>
                <w:lang w:val="en-GB"/>
              </w:rPr>
            </w:pPr>
            <w:r>
              <w:rPr>
                <w:rFonts w:cs="Calibri"/>
                <w:b/>
                <w:bCs/>
                <w:color w:val="000000"/>
                <w:sz w:val="18"/>
                <w:szCs w:val="18"/>
              </w:rPr>
              <w:t>(515)</w:t>
            </w:r>
          </w:p>
        </w:tc>
        <w:tc>
          <w:tcPr>
            <w:tcW w:w="891" w:type="dxa"/>
            <w:tcBorders>
              <w:top w:val="nil"/>
              <w:bottom w:val="single" w:sz="4" w:space="0" w:color="385623" w:themeColor="accent6" w:themeShade="80"/>
              <w:right w:val="single" w:sz="4" w:space="0" w:color="385623" w:themeColor="accent6" w:themeShade="80"/>
            </w:tcBorders>
            <w:shd w:val="clear" w:color="auto" w:fill="E2EFD9"/>
            <w:noWrap/>
            <w:vAlign w:val="center"/>
          </w:tcPr>
          <w:p w14:paraId="3A0B0BF9" w14:textId="4E5CE519" w:rsidR="001E40C9" w:rsidRPr="008414D9" w:rsidRDefault="001E40C9" w:rsidP="001E40C9">
            <w:pPr>
              <w:spacing w:after="0"/>
              <w:jc w:val="right"/>
              <w:rPr>
                <w:rFonts w:cs="Calibri"/>
                <w:b/>
                <w:bCs/>
                <w:color w:val="000000"/>
                <w:sz w:val="18"/>
                <w:szCs w:val="18"/>
                <w:lang w:val="en-GB"/>
              </w:rPr>
            </w:pPr>
            <w:r>
              <w:rPr>
                <w:rFonts w:cs="Calibri"/>
                <w:b/>
                <w:bCs/>
                <w:color w:val="000000"/>
                <w:sz w:val="18"/>
                <w:szCs w:val="18"/>
              </w:rPr>
              <w:t>(373)</w:t>
            </w:r>
          </w:p>
        </w:tc>
        <w:tc>
          <w:tcPr>
            <w:tcW w:w="891" w:type="dxa"/>
            <w:tcBorders>
              <w:top w:val="nil"/>
              <w:left w:val="single" w:sz="4" w:space="0" w:color="385623" w:themeColor="accent6" w:themeShade="80"/>
              <w:bottom w:val="single" w:sz="4" w:space="0" w:color="385623" w:themeColor="accent6" w:themeShade="80"/>
            </w:tcBorders>
            <w:shd w:val="clear" w:color="auto" w:fill="E2EFD9"/>
            <w:noWrap/>
            <w:vAlign w:val="center"/>
          </w:tcPr>
          <w:p w14:paraId="54D71BCF" w14:textId="73912889" w:rsidR="001E40C9" w:rsidRPr="008414D9" w:rsidRDefault="001E40C9" w:rsidP="001E40C9">
            <w:pPr>
              <w:spacing w:after="0"/>
              <w:jc w:val="right"/>
              <w:rPr>
                <w:rFonts w:cs="Calibri"/>
                <w:b/>
                <w:bCs/>
                <w:color w:val="000000"/>
                <w:sz w:val="18"/>
                <w:szCs w:val="18"/>
                <w:lang w:val="en-GB"/>
              </w:rPr>
            </w:pPr>
            <w:r>
              <w:rPr>
                <w:rFonts w:cs="Calibri"/>
                <w:b/>
                <w:bCs/>
                <w:color w:val="000000"/>
                <w:sz w:val="18"/>
                <w:szCs w:val="18"/>
              </w:rPr>
              <w:t>10</w:t>
            </w:r>
            <w:r w:rsidR="00270BFC">
              <w:rPr>
                <w:rFonts w:cs="Calibri"/>
                <w:b/>
                <w:bCs/>
                <w:color w:val="000000"/>
                <w:sz w:val="18"/>
                <w:szCs w:val="18"/>
              </w:rPr>
              <w:t>4</w:t>
            </w:r>
            <w:r w:rsidR="00CC26A8">
              <w:rPr>
                <w:rFonts w:cs="Calibri"/>
                <w:b/>
                <w:bCs/>
                <w:color w:val="000000"/>
                <w:sz w:val="18"/>
                <w:szCs w:val="18"/>
              </w:rPr>
              <w:t>.</w:t>
            </w:r>
            <w:r w:rsidR="00270BFC">
              <w:rPr>
                <w:rFonts w:cs="Calibri"/>
                <w:b/>
                <w:bCs/>
                <w:color w:val="000000"/>
                <w:sz w:val="18"/>
                <w:szCs w:val="18"/>
              </w:rPr>
              <w:t>630</w:t>
            </w:r>
          </w:p>
        </w:tc>
        <w:tc>
          <w:tcPr>
            <w:tcW w:w="891" w:type="dxa"/>
            <w:tcBorders>
              <w:top w:val="nil"/>
              <w:bottom w:val="single" w:sz="4" w:space="0" w:color="385623" w:themeColor="accent6" w:themeShade="80"/>
            </w:tcBorders>
            <w:shd w:val="clear" w:color="auto" w:fill="E2EFD9"/>
            <w:noWrap/>
            <w:vAlign w:val="center"/>
          </w:tcPr>
          <w:p w14:paraId="5B52B18F" w14:textId="163A455D" w:rsidR="001E40C9" w:rsidRPr="008414D9" w:rsidRDefault="001E40C9" w:rsidP="001E40C9">
            <w:pPr>
              <w:spacing w:after="0"/>
              <w:jc w:val="right"/>
              <w:rPr>
                <w:rFonts w:cs="Calibri"/>
                <w:b/>
                <w:bCs/>
                <w:color w:val="000000"/>
                <w:sz w:val="18"/>
                <w:szCs w:val="18"/>
                <w:lang w:val="en-GB"/>
              </w:rPr>
            </w:pPr>
            <w:r>
              <w:rPr>
                <w:rFonts w:cs="Calibri"/>
                <w:b/>
                <w:bCs/>
                <w:color w:val="000000"/>
                <w:sz w:val="18"/>
                <w:szCs w:val="18"/>
              </w:rPr>
              <w:t>64</w:t>
            </w:r>
            <w:r w:rsidR="00CC26A8">
              <w:rPr>
                <w:rFonts w:cs="Calibri"/>
                <w:b/>
                <w:bCs/>
                <w:color w:val="000000"/>
                <w:sz w:val="18"/>
                <w:szCs w:val="18"/>
              </w:rPr>
              <w:t>.</w:t>
            </w:r>
            <w:r>
              <w:rPr>
                <w:rFonts w:cs="Calibri"/>
                <w:b/>
                <w:bCs/>
                <w:color w:val="000000"/>
                <w:sz w:val="18"/>
                <w:szCs w:val="18"/>
              </w:rPr>
              <w:t>746</w:t>
            </w:r>
          </w:p>
        </w:tc>
      </w:tr>
      <w:tr w:rsidR="00CC26A8" w:rsidRPr="008414D9" w14:paraId="3619C6B5" w14:textId="77777777" w:rsidTr="009E31E5">
        <w:trPr>
          <w:trHeight w:val="300"/>
        </w:trPr>
        <w:tc>
          <w:tcPr>
            <w:tcW w:w="3330" w:type="dxa"/>
            <w:tcBorders>
              <w:top w:val="single" w:sz="4" w:space="0" w:color="385623" w:themeColor="accent6" w:themeShade="80"/>
              <w:right w:val="single" w:sz="4" w:space="0" w:color="385623" w:themeColor="accent6" w:themeShade="80"/>
            </w:tcBorders>
            <w:shd w:val="clear" w:color="auto" w:fill="auto"/>
            <w:noWrap/>
            <w:vAlign w:val="bottom"/>
            <w:hideMark/>
          </w:tcPr>
          <w:p w14:paraId="5EA00596" w14:textId="2A1B7BAC" w:rsidR="00CC26A8" w:rsidRPr="008414D9" w:rsidRDefault="00CC26A8" w:rsidP="00CC26A8">
            <w:pPr>
              <w:spacing w:before="20" w:after="20" w:line="240" w:lineRule="auto"/>
              <w:rPr>
                <w:rFonts w:eastAsia="Times New Roman" w:cs="Arial"/>
                <w:color w:val="000000"/>
                <w:sz w:val="18"/>
                <w:szCs w:val="18"/>
                <w:lang w:val="en-GB"/>
              </w:rPr>
            </w:pPr>
            <w:r w:rsidRPr="006C0543">
              <w:rPr>
                <w:b/>
                <w:i/>
                <w:color w:val="000000"/>
                <w:sz w:val="18"/>
                <w:u w:val="single"/>
              </w:rPr>
              <w:t>Προσαρμογές για:</w:t>
            </w:r>
          </w:p>
        </w:tc>
        <w:tc>
          <w:tcPr>
            <w:tcW w:w="891" w:type="dxa"/>
            <w:tcBorders>
              <w:top w:val="single" w:sz="4" w:space="0" w:color="385623" w:themeColor="accent6" w:themeShade="80"/>
              <w:left w:val="single" w:sz="4" w:space="0" w:color="385623" w:themeColor="accent6" w:themeShade="80"/>
            </w:tcBorders>
            <w:shd w:val="clear" w:color="auto" w:fill="auto"/>
            <w:noWrap/>
            <w:vAlign w:val="center"/>
          </w:tcPr>
          <w:p w14:paraId="3C032B53" w14:textId="6302A8E1" w:rsidR="00CC26A8" w:rsidRPr="008414D9" w:rsidRDefault="00CC26A8" w:rsidP="00CC26A8">
            <w:pPr>
              <w:spacing w:after="0"/>
              <w:jc w:val="right"/>
              <w:rPr>
                <w:rFonts w:cs="Calibri"/>
                <w:color w:val="000000"/>
                <w:sz w:val="18"/>
                <w:szCs w:val="18"/>
                <w:lang w:val="en-GB"/>
              </w:rPr>
            </w:pPr>
            <w:r>
              <w:rPr>
                <w:rFonts w:cs="Calibri"/>
                <w:color w:val="000000"/>
                <w:sz w:val="18"/>
                <w:szCs w:val="18"/>
              </w:rPr>
              <w:t> </w:t>
            </w:r>
          </w:p>
        </w:tc>
        <w:tc>
          <w:tcPr>
            <w:tcW w:w="891" w:type="dxa"/>
            <w:tcBorders>
              <w:top w:val="single" w:sz="4" w:space="0" w:color="385623" w:themeColor="accent6" w:themeShade="80"/>
              <w:right w:val="single" w:sz="4" w:space="0" w:color="385623" w:themeColor="accent6" w:themeShade="80"/>
            </w:tcBorders>
            <w:shd w:val="clear" w:color="auto" w:fill="auto"/>
            <w:noWrap/>
            <w:vAlign w:val="center"/>
          </w:tcPr>
          <w:p w14:paraId="60A1F534" w14:textId="70D10781" w:rsidR="00CC26A8" w:rsidRPr="008414D9" w:rsidRDefault="00CC26A8" w:rsidP="00CC26A8">
            <w:pPr>
              <w:spacing w:after="0"/>
              <w:jc w:val="right"/>
              <w:rPr>
                <w:rFonts w:cs="Calibri"/>
                <w:color w:val="000000"/>
                <w:sz w:val="18"/>
                <w:szCs w:val="18"/>
                <w:lang w:val="en-GB"/>
              </w:rPr>
            </w:pPr>
            <w:r>
              <w:rPr>
                <w:rFonts w:cs="Calibri"/>
                <w:color w:val="000000"/>
                <w:sz w:val="18"/>
                <w:szCs w:val="18"/>
              </w:rPr>
              <w:t> </w:t>
            </w:r>
          </w:p>
        </w:tc>
        <w:tc>
          <w:tcPr>
            <w:tcW w:w="891" w:type="dxa"/>
            <w:tcBorders>
              <w:top w:val="single" w:sz="4" w:space="0" w:color="385623" w:themeColor="accent6" w:themeShade="80"/>
              <w:left w:val="single" w:sz="4" w:space="0" w:color="385623" w:themeColor="accent6" w:themeShade="80"/>
            </w:tcBorders>
            <w:shd w:val="clear" w:color="auto" w:fill="auto"/>
            <w:noWrap/>
            <w:vAlign w:val="center"/>
          </w:tcPr>
          <w:p w14:paraId="4048B4DE" w14:textId="5D65EF95" w:rsidR="00CC26A8" w:rsidRPr="008414D9" w:rsidRDefault="00CC26A8" w:rsidP="00CC26A8">
            <w:pPr>
              <w:spacing w:after="0"/>
              <w:jc w:val="right"/>
              <w:rPr>
                <w:rFonts w:cs="Calibri"/>
                <w:color w:val="000000"/>
                <w:sz w:val="18"/>
                <w:szCs w:val="18"/>
                <w:lang w:val="en-GB"/>
              </w:rPr>
            </w:pPr>
            <w:r>
              <w:rPr>
                <w:rFonts w:cs="Calibri"/>
                <w:color w:val="000000"/>
                <w:sz w:val="18"/>
                <w:szCs w:val="18"/>
              </w:rPr>
              <w:t> </w:t>
            </w:r>
          </w:p>
        </w:tc>
        <w:tc>
          <w:tcPr>
            <w:tcW w:w="891" w:type="dxa"/>
            <w:tcBorders>
              <w:top w:val="single" w:sz="4" w:space="0" w:color="385623" w:themeColor="accent6" w:themeShade="80"/>
              <w:right w:val="single" w:sz="4" w:space="0" w:color="385623" w:themeColor="accent6" w:themeShade="80"/>
            </w:tcBorders>
            <w:shd w:val="clear" w:color="auto" w:fill="auto"/>
            <w:noWrap/>
            <w:vAlign w:val="center"/>
          </w:tcPr>
          <w:p w14:paraId="404F6E7B" w14:textId="198CFFF7" w:rsidR="00CC26A8" w:rsidRPr="008414D9" w:rsidRDefault="00CC26A8" w:rsidP="00CC26A8">
            <w:pPr>
              <w:spacing w:after="0"/>
              <w:jc w:val="right"/>
              <w:rPr>
                <w:rFonts w:cs="Calibri"/>
                <w:color w:val="000000"/>
                <w:sz w:val="18"/>
                <w:szCs w:val="18"/>
                <w:lang w:val="en-GB"/>
              </w:rPr>
            </w:pPr>
            <w:r>
              <w:rPr>
                <w:rFonts w:cs="Calibri"/>
                <w:color w:val="000000"/>
                <w:sz w:val="18"/>
                <w:szCs w:val="18"/>
              </w:rPr>
              <w:t> </w:t>
            </w:r>
          </w:p>
        </w:tc>
        <w:tc>
          <w:tcPr>
            <w:tcW w:w="891" w:type="dxa"/>
            <w:tcBorders>
              <w:top w:val="single" w:sz="4" w:space="0" w:color="385623" w:themeColor="accent6" w:themeShade="80"/>
              <w:left w:val="single" w:sz="4" w:space="0" w:color="385623" w:themeColor="accent6" w:themeShade="80"/>
            </w:tcBorders>
            <w:shd w:val="clear" w:color="auto" w:fill="auto"/>
            <w:noWrap/>
            <w:vAlign w:val="center"/>
          </w:tcPr>
          <w:p w14:paraId="424E499D" w14:textId="45A75C0A" w:rsidR="00CC26A8" w:rsidRPr="008414D9" w:rsidRDefault="00CC26A8" w:rsidP="00CC26A8">
            <w:pPr>
              <w:spacing w:after="0"/>
              <w:jc w:val="right"/>
              <w:rPr>
                <w:rFonts w:cs="Calibri"/>
                <w:color w:val="000000"/>
                <w:sz w:val="18"/>
                <w:szCs w:val="18"/>
                <w:lang w:val="en-GB"/>
              </w:rPr>
            </w:pPr>
            <w:r>
              <w:rPr>
                <w:rFonts w:cs="Calibri"/>
                <w:color w:val="000000"/>
                <w:sz w:val="18"/>
                <w:szCs w:val="18"/>
              </w:rPr>
              <w:t> </w:t>
            </w:r>
          </w:p>
        </w:tc>
        <w:tc>
          <w:tcPr>
            <w:tcW w:w="891" w:type="dxa"/>
            <w:tcBorders>
              <w:top w:val="single" w:sz="4" w:space="0" w:color="385623" w:themeColor="accent6" w:themeShade="80"/>
              <w:right w:val="single" w:sz="4" w:space="0" w:color="385623" w:themeColor="accent6" w:themeShade="80"/>
            </w:tcBorders>
            <w:shd w:val="clear" w:color="auto" w:fill="auto"/>
            <w:noWrap/>
            <w:vAlign w:val="center"/>
          </w:tcPr>
          <w:p w14:paraId="506AD936" w14:textId="73462B7B" w:rsidR="00CC26A8" w:rsidRPr="008414D9" w:rsidRDefault="00CC26A8" w:rsidP="00CC26A8">
            <w:pPr>
              <w:spacing w:after="0"/>
              <w:jc w:val="right"/>
              <w:rPr>
                <w:rFonts w:cs="Calibri"/>
                <w:color w:val="000000"/>
                <w:sz w:val="18"/>
                <w:szCs w:val="18"/>
                <w:lang w:val="en-GB"/>
              </w:rPr>
            </w:pPr>
            <w:r>
              <w:rPr>
                <w:rFonts w:cs="Calibri"/>
                <w:color w:val="000000"/>
                <w:sz w:val="18"/>
                <w:szCs w:val="18"/>
              </w:rPr>
              <w:t> </w:t>
            </w:r>
          </w:p>
        </w:tc>
        <w:tc>
          <w:tcPr>
            <w:tcW w:w="891" w:type="dxa"/>
            <w:tcBorders>
              <w:top w:val="single" w:sz="4" w:space="0" w:color="385623" w:themeColor="accent6" w:themeShade="80"/>
              <w:left w:val="single" w:sz="4" w:space="0" w:color="385623" w:themeColor="accent6" w:themeShade="80"/>
            </w:tcBorders>
            <w:shd w:val="clear" w:color="auto" w:fill="auto"/>
            <w:noWrap/>
            <w:vAlign w:val="center"/>
          </w:tcPr>
          <w:p w14:paraId="2E1BC9E8" w14:textId="02F00439" w:rsidR="00CC26A8" w:rsidRPr="008414D9" w:rsidRDefault="00CC26A8" w:rsidP="00CC26A8">
            <w:pPr>
              <w:spacing w:after="0"/>
              <w:jc w:val="right"/>
              <w:rPr>
                <w:rFonts w:cs="Calibri"/>
                <w:color w:val="000000"/>
                <w:sz w:val="18"/>
                <w:szCs w:val="18"/>
                <w:lang w:val="en-GB"/>
              </w:rPr>
            </w:pPr>
            <w:r>
              <w:rPr>
                <w:rFonts w:cs="Calibri"/>
                <w:color w:val="000000"/>
                <w:sz w:val="18"/>
                <w:szCs w:val="18"/>
              </w:rPr>
              <w:t> </w:t>
            </w:r>
          </w:p>
        </w:tc>
        <w:tc>
          <w:tcPr>
            <w:tcW w:w="891" w:type="dxa"/>
            <w:tcBorders>
              <w:top w:val="single" w:sz="4" w:space="0" w:color="385623" w:themeColor="accent6" w:themeShade="80"/>
            </w:tcBorders>
            <w:shd w:val="clear" w:color="auto" w:fill="auto"/>
            <w:noWrap/>
            <w:vAlign w:val="center"/>
          </w:tcPr>
          <w:p w14:paraId="7B1D8239" w14:textId="1383C7FD" w:rsidR="00CC26A8" w:rsidRPr="008414D9" w:rsidRDefault="00CC26A8" w:rsidP="00CC26A8">
            <w:pPr>
              <w:spacing w:after="0"/>
              <w:jc w:val="right"/>
              <w:rPr>
                <w:rFonts w:cs="Calibri"/>
                <w:color w:val="000000"/>
                <w:sz w:val="18"/>
                <w:szCs w:val="18"/>
                <w:lang w:val="en-GB"/>
              </w:rPr>
            </w:pPr>
            <w:r>
              <w:rPr>
                <w:rFonts w:cs="Calibri"/>
                <w:color w:val="000000"/>
                <w:sz w:val="18"/>
                <w:szCs w:val="18"/>
              </w:rPr>
              <w:t> </w:t>
            </w:r>
          </w:p>
        </w:tc>
      </w:tr>
      <w:tr w:rsidR="00CC26A8" w:rsidRPr="008414D9" w14:paraId="4D225E1A" w14:textId="77777777" w:rsidTr="00FD6C8C">
        <w:trPr>
          <w:trHeight w:val="300"/>
        </w:trPr>
        <w:tc>
          <w:tcPr>
            <w:tcW w:w="3330" w:type="dxa"/>
            <w:tcBorders>
              <w:bottom w:val="nil"/>
              <w:right w:val="single" w:sz="4" w:space="0" w:color="385623" w:themeColor="accent6" w:themeShade="80"/>
            </w:tcBorders>
            <w:shd w:val="clear" w:color="auto" w:fill="auto"/>
            <w:noWrap/>
            <w:vAlign w:val="center"/>
          </w:tcPr>
          <w:p w14:paraId="15E8ED4A" w14:textId="52695324" w:rsidR="00CC26A8" w:rsidRPr="008414D9" w:rsidRDefault="00CC26A8" w:rsidP="00CC26A8">
            <w:pPr>
              <w:spacing w:before="20" w:after="20" w:line="240" w:lineRule="auto"/>
              <w:rPr>
                <w:rFonts w:cs="Calibri"/>
                <w:color w:val="000000"/>
                <w:sz w:val="18"/>
                <w:szCs w:val="18"/>
                <w:lang w:val="en-GB"/>
              </w:rPr>
            </w:pPr>
            <w:r>
              <w:rPr>
                <w:rFonts w:cs="Calibri"/>
                <w:color w:val="000000"/>
                <w:sz w:val="18"/>
                <w:szCs w:val="18"/>
              </w:rPr>
              <w:t>Αποτέλεσμα Μετάλλου</w:t>
            </w:r>
            <w:r w:rsidRPr="00CC7FE6">
              <w:rPr>
                <w:rFonts w:cs="Calibri"/>
                <w:color w:val="000000"/>
                <w:sz w:val="18"/>
                <w:szCs w:val="18"/>
                <w:vertAlign w:val="superscript"/>
                <w:lang w:val="en-US"/>
              </w:rPr>
              <w:t xml:space="preserve"> (1)</w:t>
            </w:r>
          </w:p>
        </w:tc>
        <w:tc>
          <w:tcPr>
            <w:tcW w:w="891" w:type="dxa"/>
            <w:tcBorders>
              <w:left w:val="single" w:sz="4" w:space="0" w:color="385623" w:themeColor="accent6" w:themeShade="80"/>
              <w:bottom w:val="nil"/>
            </w:tcBorders>
            <w:shd w:val="clear" w:color="auto" w:fill="auto"/>
            <w:noWrap/>
            <w:vAlign w:val="center"/>
          </w:tcPr>
          <w:p w14:paraId="23E3FA10" w14:textId="58896A42" w:rsidR="00CC26A8" w:rsidRPr="008414D9" w:rsidRDefault="00CC26A8" w:rsidP="00CC26A8">
            <w:pPr>
              <w:spacing w:after="0"/>
              <w:jc w:val="right"/>
              <w:rPr>
                <w:rFonts w:cs="Calibri"/>
                <w:color w:val="000000"/>
                <w:sz w:val="18"/>
                <w:szCs w:val="18"/>
                <w:lang w:val="en-GB"/>
              </w:rPr>
            </w:pPr>
            <w:r>
              <w:rPr>
                <w:rFonts w:cs="Calibri"/>
                <w:color w:val="000000"/>
                <w:sz w:val="18"/>
                <w:szCs w:val="18"/>
              </w:rPr>
              <w:t>(1.733)</w:t>
            </w:r>
          </w:p>
        </w:tc>
        <w:tc>
          <w:tcPr>
            <w:tcW w:w="891" w:type="dxa"/>
            <w:tcBorders>
              <w:bottom w:val="nil"/>
              <w:right w:val="single" w:sz="4" w:space="0" w:color="385623" w:themeColor="accent6" w:themeShade="80"/>
            </w:tcBorders>
            <w:shd w:val="clear" w:color="auto" w:fill="auto"/>
            <w:noWrap/>
            <w:vAlign w:val="center"/>
          </w:tcPr>
          <w:p w14:paraId="7BFD0AE8" w14:textId="22D2CFBF" w:rsidR="00CC26A8" w:rsidRPr="008414D9" w:rsidRDefault="00CC26A8" w:rsidP="00CC26A8">
            <w:pPr>
              <w:spacing w:after="0"/>
              <w:jc w:val="right"/>
              <w:rPr>
                <w:rFonts w:cs="Calibri"/>
                <w:color w:val="000000"/>
                <w:sz w:val="18"/>
                <w:szCs w:val="18"/>
                <w:lang w:val="en-GB"/>
              </w:rPr>
            </w:pPr>
            <w:r>
              <w:rPr>
                <w:rFonts w:cs="Calibri"/>
                <w:color w:val="000000"/>
                <w:sz w:val="18"/>
                <w:szCs w:val="18"/>
              </w:rPr>
              <w:t>6.864</w:t>
            </w:r>
          </w:p>
        </w:tc>
        <w:tc>
          <w:tcPr>
            <w:tcW w:w="891" w:type="dxa"/>
            <w:tcBorders>
              <w:left w:val="single" w:sz="4" w:space="0" w:color="385623" w:themeColor="accent6" w:themeShade="80"/>
              <w:bottom w:val="nil"/>
            </w:tcBorders>
            <w:shd w:val="clear" w:color="auto" w:fill="auto"/>
            <w:noWrap/>
          </w:tcPr>
          <w:p w14:paraId="359850FB" w14:textId="663AFBF3" w:rsidR="00CC26A8" w:rsidRPr="008414D9" w:rsidRDefault="00CC26A8" w:rsidP="00CC26A8">
            <w:pPr>
              <w:spacing w:after="0"/>
              <w:jc w:val="right"/>
              <w:rPr>
                <w:rFonts w:cs="Calibri"/>
                <w:color w:val="000000"/>
                <w:sz w:val="18"/>
                <w:szCs w:val="18"/>
                <w:lang w:val="en-GB"/>
              </w:rPr>
            </w:pPr>
            <w:r w:rsidRPr="007F252E">
              <w:rPr>
                <w:rFonts w:cs="Calibri"/>
                <w:color w:val="000000"/>
                <w:sz w:val="18"/>
                <w:szCs w:val="18"/>
              </w:rPr>
              <w:t>- </w:t>
            </w:r>
          </w:p>
        </w:tc>
        <w:tc>
          <w:tcPr>
            <w:tcW w:w="891" w:type="dxa"/>
            <w:tcBorders>
              <w:bottom w:val="nil"/>
              <w:right w:val="single" w:sz="4" w:space="0" w:color="385623" w:themeColor="accent6" w:themeShade="80"/>
            </w:tcBorders>
            <w:shd w:val="clear" w:color="auto" w:fill="auto"/>
            <w:noWrap/>
          </w:tcPr>
          <w:p w14:paraId="2F6779D6" w14:textId="5CCD690C" w:rsidR="00CC26A8" w:rsidRPr="008414D9" w:rsidRDefault="00CC26A8" w:rsidP="00CC26A8">
            <w:pPr>
              <w:spacing w:after="0"/>
              <w:jc w:val="right"/>
              <w:rPr>
                <w:rFonts w:cs="Calibri"/>
                <w:color w:val="000000"/>
                <w:sz w:val="18"/>
                <w:szCs w:val="18"/>
                <w:lang w:val="en-GB"/>
              </w:rPr>
            </w:pPr>
            <w:r w:rsidRPr="007F252E">
              <w:rPr>
                <w:rFonts w:cs="Calibri"/>
                <w:color w:val="000000"/>
                <w:sz w:val="18"/>
                <w:szCs w:val="18"/>
              </w:rPr>
              <w:t>- </w:t>
            </w:r>
          </w:p>
        </w:tc>
        <w:tc>
          <w:tcPr>
            <w:tcW w:w="891" w:type="dxa"/>
            <w:tcBorders>
              <w:left w:val="single" w:sz="4" w:space="0" w:color="385623" w:themeColor="accent6" w:themeShade="80"/>
              <w:bottom w:val="nil"/>
            </w:tcBorders>
            <w:shd w:val="clear" w:color="auto" w:fill="auto"/>
            <w:noWrap/>
          </w:tcPr>
          <w:p w14:paraId="2FB9D99D" w14:textId="7B7FBF8A" w:rsidR="00CC26A8" w:rsidRPr="008414D9" w:rsidRDefault="00CC26A8" w:rsidP="00CC26A8">
            <w:pPr>
              <w:spacing w:after="0"/>
              <w:jc w:val="right"/>
              <w:rPr>
                <w:rFonts w:cs="Calibri"/>
                <w:color w:val="000000"/>
                <w:sz w:val="18"/>
                <w:szCs w:val="18"/>
                <w:lang w:val="en-GB"/>
              </w:rPr>
            </w:pPr>
            <w:r w:rsidRPr="007F252E">
              <w:rPr>
                <w:rFonts w:cs="Calibri"/>
                <w:color w:val="000000"/>
                <w:sz w:val="18"/>
                <w:szCs w:val="18"/>
              </w:rPr>
              <w:t>- </w:t>
            </w:r>
          </w:p>
        </w:tc>
        <w:tc>
          <w:tcPr>
            <w:tcW w:w="891" w:type="dxa"/>
            <w:tcBorders>
              <w:bottom w:val="nil"/>
              <w:right w:val="single" w:sz="4" w:space="0" w:color="385623" w:themeColor="accent6" w:themeShade="80"/>
            </w:tcBorders>
            <w:shd w:val="clear" w:color="auto" w:fill="auto"/>
            <w:noWrap/>
          </w:tcPr>
          <w:p w14:paraId="07DE31D5" w14:textId="3EEB3963" w:rsidR="00CC26A8" w:rsidRPr="008414D9" w:rsidRDefault="00CC26A8" w:rsidP="00CC26A8">
            <w:pPr>
              <w:spacing w:after="0"/>
              <w:jc w:val="right"/>
              <w:rPr>
                <w:rFonts w:cs="Calibri"/>
                <w:color w:val="000000"/>
                <w:sz w:val="18"/>
                <w:szCs w:val="18"/>
                <w:lang w:val="en-GB"/>
              </w:rPr>
            </w:pPr>
            <w:r w:rsidRPr="007F252E">
              <w:rPr>
                <w:rFonts w:cs="Calibri"/>
                <w:color w:val="000000"/>
                <w:sz w:val="18"/>
                <w:szCs w:val="18"/>
              </w:rPr>
              <w:t>- </w:t>
            </w:r>
          </w:p>
        </w:tc>
        <w:tc>
          <w:tcPr>
            <w:tcW w:w="891" w:type="dxa"/>
            <w:tcBorders>
              <w:left w:val="single" w:sz="4" w:space="0" w:color="385623" w:themeColor="accent6" w:themeShade="80"/>
              <w:bottom w:val="nil"/>
            </w:tcBorders>
            <w:shd w:val="clear" w:color="auto" w:fill="auto"/>
            <w:noWrap/>
            <w:vAlign w:val="center"/>
          </w:tcPr>
          <w:p w14:paraId="722A6B07" w14:textId="5ACF6D82" w:rsidR="00CC26A8" w:rsidRPr="008414D9" w:rsidRDefault="00CC26A8" w:rsidP="00CC26A8">
            <w:pPr>
              <w:spacing w:after="0"/>
              <w:jc w:val="right"/>
              <w:rPr>
                <w:rFonts w:cs="Calibri"/>
                <w:color w:val="000000"/>
                <w:sz w:val="18"/>
                <w:szCs w:val="18"/>
                <w:lang w:val="en-GB"/>
              </w:rPr>
            </w:pPr>
            <w:r>
              <w:rPr>
                <w:rFonts w:cs="Calibri"/>
                <w:color w:val="000000"/>
                <w:sz w:val="18"/>
                <w:szCs w:val="18"/>
              </w:rPr>
              <w:t>(1.733)</w:t>
            </w:r>
          </w:p>
        </w:tc>
        <w:tc>
          <w:tcPr>
            <w:tcW w:w="891" w:type="dxa"/>
            <w:tcBorders>
              <w:bottom w:val="nil"/>
            </w:tcBorders>
            <w:shd w:val="clear" w:color="auto" w:fill="auto"/>
            <w:noWrap/>
            <w:vAlign w:val="center"/>
          </w:tcPr>
          <w:p w14:paraId="6058E3A7" w14:textId="2E2F7F77" w:rsidR="00CC26A8" w:rsidRPr="008414D9" w:rsidRDefault="00CC26A8" w:rsidP="00CC26A8">
            <w:pPr>
              <w:spacing w:after="0"/>
              <w:jc w:val="right"/>
              <w:rPr>
                <w:rFonts w:cs="Calibri"/>
                <w:color w:val="000000"/>
                <w:sz w:val="18"/>
                <w:szCs w:val="18"/>
                <w:lang w:val="en-GB"/>
              </w:rPr>
            </w:pPr>
            <w:r>
              <w:rPr>
                <w:rFonts w:cs="Calibri"/>
                <w:color w:val="000000"/>
                <w:sz w:val="18"/>
                <w:szCs w:val="18"/>
              </w:rPr>
              <w:t>6.864</w:t>
            </w:r>
          </w:p>
        </w:tc>
      </w:tr>
      <w:tr w:rsidR="001E40C9" w:rsidRPr="008414D9" w14:paraId="26DA8726" w14:textId="77777777" w:rsidTr="008B6FAE">
        <w:trPr>
          <w:trHeight w:val="300"/>
        </w:trPr>
        <w:tc>
          <w:tcPr>
            <w:tcW w:w="3330" w:type="dxa"/>
            <w:tcBorders>
              <w:bottom w:val="nil"/>
              <w:right w:val="single" w:sz="4" w:space="0" w:color="385623" w:themeColor="accent6" w:themeShade="80"/>
            </w:tcBorders>
            <w:shd w:val="clear" w:color="auto" w:fill="auto"/>
            <w:noWrap/>
            <w:vAlign w:val="bottom"/>
          </w:tcPr>
          <w:p w14:paraId="11DCF80B" w14:textId="791DE03B" w:rsidR="001E40C9" w:rsidRPr="00CC26A8" w:rsidRDefault="00CC26A8" w:rsidP="001E40C9">
            <w:pPr>
              <w:spacing w:before="20" w:after="20" w:line="240" w:lineRule="auto"/>
              <w:rPr>
                <w:rFonts w:cs="Calibri"/>
                <w:color w:val="000000"/>
                <w:sz w:val="18"/>
                <w:szCs w:val="18"/>
              </w:rPr>
            </w:pPr>
            <w:r w:rsidRPr="00D752D3">
              <w:rPr>
                <w:rFonts w:cs="Calibri"/>
                <w:color w:val="000000"/>
                <w:sz w:val="18"/>
                <w:szCs w:val="18"/>
              </w:rPr>
              <w:t>(Κέρδη)/ Ζημιές από πωλήσεις πάγιων στοιχείων</w:t>
            </w:r>
          </w:p>
        </w:tc>
        <w:tc>
          <w:tcPr>
            <w:tcW w:w="891" w:type="dxa"/>
            <w:tcBorders>
              <w:left w:val="single" w:sz="4" w:space="0" w:color="385623" w:themeColor="accent6" w:themeShade="80"/>
              <w:bottom w:val="nil"/>
            </w:tcBorders>
            <w:shd w:val="clear" w:color="auto" w:fill="auto"/>
            <w:noWrap/>
            <w:vAlign w:val="center"/>
          </w:tcPr>
          <w:p w14:paraId="65247404" w14:textId="252C616D" w:rsidR="001E40C9" w:rsidRPr="008414D9" w:rsidRDefault="001E40C9" w:rsidP="001E40C9">
            <w:pPr>
              <w:spacing w:after="0"/>
              <w:jc w:val="right"/>
              <w:rPr>
                <w:rFonts w:cs="Calibri"/>
                <w:color w:val="000000"/>
                <w:sz w:val="18"/>
                <w:szCs w:val="18"/>
                <w:lang w:val="en-GB"/>
              </w:rPr>
            </w:pPr>
            <w:r>
              <w:rPr>
                <w:rFonts w:cs="Calibri"/>
                <w:color w:val="000000"/>
                <w:sz w:val="18"/>
                <w:szCs w:val="18"/>
              </w:rPr>
              <w:t>(7)</w:t>
            </w:r>
          </w:p>
        </w:tc>
        <w:tc>
          <w:tcPr>
            <w:tcW w:w="891" w:type="dxa"/>
            <w:tcBorders>
              <w:bottom w:val="nil"/>
              <w:right w:val="single" w:sz="4" w:space="0" w:color="385623" w:themeColor="accent6" w:themeShade="80"/>
            </w:tcBorders>
            <w:shd w:val="clear" w:color="auto" w:fill="auto"/>
            <w:noWrap/>
            <w:vAlign w:val="center"/>
          </w:tcPr>
          <w:p w14:paraId="4283BC3B" w14:textId="4CF3BE90" w:rsidR="001E40C9" w:rsidRPr="008414D9" w:rsidRDefault="001E40C9" w:rsidP="001E40C9">
            <w:pPr>
              <w:spacing w:after="0"/>
              <w:jc w:val="right"/>
              <w:rPr>
                <w:rFonts w:cs="Calibri"/>
                <w:color w:val="000000"/>
                <w:sz w:val="18"/>
                <w:szCs w:val="18"/>
                <w:lang w:val="en-GB"/>
              </w:rPr>
            </w:pPr>
            <w:r>
              <w:rPr>
                <w:rFonts w:cs="Calibri"/>
                <w:color w:val="000000"/>
                <w:sz w:val="18"/>
                <w:szCs w:val="18"/>
              </w:rPr>
              <w:t>- </w:t>
            </w:r>
          </w:p>
        </w:tc>
        <w:tc>
          <w:tcPr>
            <w:tcW w:w="891" w:type="dxa"/>
            <w:tcBorders>
              <w:left w:val="single" w:sz="4" w:space="0" w:color="385623" w:themeColor="accent6" w:themeShade="80"/>
              <w:bottom w:val="nil"/>
            </w:tcBorders>
            <w:shd w:val="clear" w:color="auto" w:fill="auto"/>
            <w:noWrap/>
          </w:tcPr>
          <w:p w14:paraId="52D90A29" w14:textId="61736EA5" w:rsidR="001E40C9" w:rsidRPr="008414D9" w:rsidRDefault="001E40C9" w:rsidP="001E40C9">
            <w:pPr>
              <w:spacing w:after="0"/>
              <w:jc w:val="right"/>
              <w:rPr>
                <w:rFonts w:cs="Calibri"/>
                <w:color w:val="000000"/>
                <w:sz w:val="18"/>
                <w:szCs w:val="18"/>
                <w:lang w:val="en-GB"/>
              </w:rPr>
            </w:pPr>
            <w:r w:rsidRPr="007F252E">
              <w:rPr>
                <w:rFonts w:cs="Calibri"/>
                <w:color w:val="000000"/>
                <w:sz w:val="18"/>
                <w:szCs w:val="18"/>
              </w:rPr>
              <w:t>- </w:t>
            </w:r>
          </w:p>
        </w:tc>
        <w:tc>
          <w:tcPr>
            <w:tcW w:w="891" w:type="dxa"/>
            <w:tcBorders>
              <w:bottom w:val="nil"/>
              <w:right w:val="single" w:sz="4" w:space="0" w:color="385623" w:themeColor="accent6" w:themeShade="80"/>
            </w:tcBorders>
            <w:shd w:val="clear" w:color="auto" w:fill="auto"/>
            <w:noWrap/>
          </w:tcPr>
          <w:p w14:paraId="6B67A1DB" w14:textId="77F0E886" w:rsidR="001E40C9" w:rsidRPr="008414D9" w:rsidRDefault="001E40C9" w:rsidP="001E40C9">
            <w:pPr>
              <w:spacing w:after="0"/>
              <w:jc w:val="right"/>
              <w:rPr>
                <w:rFonts w:cs="Calibri"/>
                <w:color w:val="000000"/>
                <w:sz w:val="18"/>
                <w:szCs w:val="18"/>
                <w:lang w:val="en-GB"/>
              </w:rPr>
            </w:pPr>
            <w:r w:rsidRPr="007F252E">
              <w:rPr>
                <w:rFonts w:cs="Calibri"/>
                <w:color w:val="000000"/>
                <w:sz w:val="18"/>
                <w:szCs w:val="18"/>
              </w:rPr>
              <w:t>- </w:t>
            </w:r>
          </w:p>
        </w:tc>
        <w:tc>
          <w:tcPr>
            <w:tcW w:w="891" w:type="dxa"/>
            <w:tcBorders>
              <w:left w:val="single" w:sz="4" w:space="0" w:color="385623" w:themeColor="accent6" w:themeShade="80"/>
              <w:bottom w:val="nil"/>
            </w:tcBorders>
            <w:shd w:val="clear" w:color="auto" w:fill="auto"/>
            <w:noWrap/>
          </w:tcPr>
          <w:p w14:paraId="01B93C08" w14:textId="3D716DE3" w:rsidR="001E40C9" w:rsidRPr="008414D9" w:rsidRDefault="001E40C9" w:rsidP="001E40C9">
            <w:pPr>
              <w:spacing w:after="0"/>
              <w:jc w:val="right"/>
              <w:rPr>
                <w:rFonts w:cs="Calibri"/>
                <w:color w:val="000000"/>
                <w:sz w:val="18"/>
                <w:szCs w:val="18"/>
                <w:lang w:val="en-GB"/>
              </w:rPr>
            </w:pPr>
            <w:r w:rsidRPr="007F252E">
              <w:rPr>
                <w:rFonts w:cs="Calibri"/>
                <w:color w:val="000000"/>
                <w:sz w:val="18"/>
                <w:szCs w:val="18"/>
              </w:rPr>
              <w:t>- </w:t>
            </w:r>
          </w:p>
        </w:tc>
        <w:tc>
          <w:tcPr>
            <w:tcW w:w="891" w:type="dxa"/>
            <w:tcBorders>
              <w:bottom w:val="nil"/>
              <w:right w:val="single" w:sz="4" w:space="0" w:color="385623" w:themeColor="accent6" w:themeShade="80"/>
            </w:tcBorders>
            <w:shd w:val="clear" w:color="auto" w:fill="auto"/>
            <w:noWrap/>
          </w:tcPr>
          <w:p w14:paraId="3A40C0EB" w14:textId="26DC45CE" w:rsidR="001E40C9" w:rsidRPr="008414D9" w:rsidRDefault="001E40C9" w:rsidP="001E40C9">
            <w:pPr>
              <w:spacing w:after="0"/>
              <w:jc w:val="right"/>
              <w:rPr>
                <w:rFonts w:cs="Calibri"/>
                <w:color w:val="000000"/>
                <w:sz w:val="18"/>
                <w:szCs w:val="18"/>
                <w:lang w:val="en-GB"/>
              </w:rPr>
            </w:pPr>
            <w:r w:rsidRPr="007F252E">
              <w:rPr>
                <w:rFonts w:cs="Calibri"/>
                <w:color w:val="000000"/>
                <w:sz w:val="18"/>
                <w:szCs w:val="18"/>
              </w:rPr>
              <w:t>- </w:t>
            </w:r>
          </w:p>
        </w:tc>
        <w:tc>
          <w:tcPr>
            <w:tcW w:w="891" w:type="dxa"/>
            <w:tcBorders>
              <w:left w:val="single" w:sz="4" w:space="0" w:color="385623" w:themeColor="accent6" w:themeShade="80"/>
              <w:bottom w:val="nil"/>
            </w:tcBorders>
            <w:shd w:val="clear" w:color="auto" w:fill="auto"/>
            <w:noWrap/>
            <w:vAlign w:val="center"/>
          </w:tcPr>
          <w:p w14:paraId="6135D22F" w14:textId="138ECEE1" w:rsidR="001E40C9" w:rsidRPr="008414D9" w:rsidRDefault="001E40C9" w:rsidP="001E40C9">
            <w:pPr>
              <w:spacing w:after="0"/>
              <w:jc w:val="right"/>
              <w:rPr>
                <w:rFonts w:cs="Calibri"/>
                <w:color w:val="000000"/>
                <w:sz w:val="18"/>
                <w:szCs w:val="18"/>
                <w:lang w:val="en-GB"/>
              </w:rPr>
            </w:pPr>
            <w:r>
              <w:rPr>
                <w:rFonts w:cs="Calibri"/>
                <w:color w:val="000000"/>
                <w:sz w:val="18"/>
                <w:szCs w:val="18"/>
              </w:rPr>
              <w:t>(7)</w:t>
            </w:r>
          </w:p>
        </w:tc>
        <w:tc>
          <w:tcPr>
            <w:tcW w:w="891" w:type="dxa"/>
            <w:tcBorders>
              <w:bottom w:val="nil"/>
            </w:tcBorders>
            <w:shd w:val="clear" w:color="auto" w:fill="auto"/>
            <w:noWrap/>
            <w:vAlign w:val="center"/>
          </w:tcPr>
          <w:p w14:paraId="68CD4B9C" w14:textId="320D8E71" w:rsidR="001E40C9" w:rsidRPr="00E4669F" w:rsidRDefault="00270BFC" w:rsidP="001E40C9">
            <w:pPr>
              <w:spacing w:after="0"/>
              <w:jc w:val="right"/>
              <w:rPr>
                <w:rFonts w:cs="Calibri"/>
                <w:color w:val="000000"/>
                <w:sz w:val="18"/>
                <w:szCs w:val="18"/>
                <w:lang w:val="en-ZA"/>
              </w:rPr>
            </w:pPr>
            <w:r>
              <w:rPr>
                <w:rFonts w:cs="Calibri"/>
                <w:color w:val="000000"/>
                <w:sz w:val="18"/>
                <w:szCs w:val="18"/>
              </w:rPr>
              <w:t>()</w:t>
            </w:r>
          </w:p>
        </w:tc>
      </w:tr>
      <w:tr w:rsidR="00CC26A8" w:rsidRPr="008414D9" w14:paraId="75B9916B" w14:textId="77777777" w:rsidTr="009E31E5">
        <w:trPr>
          <w:trHeight w:val="300"/>
        </w:trPr>
        <w:tc>
          <w:tcPr>
            <w:tcW w:w="3330"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vAlign w:val="bottom"/>
            <w:hideMark/>
          </w:tcPr>
          <w:p w14:paraId="2E82072D" w14:textId="75F1A46F" w:rsidR="00CC26A8" w:rsidRPr="008414D9" w:rsidRDefault="00CC26A8" w:rsidP="00CC26A8">
            <w:pPr>
              <w:spacing w:before="20" w:after="20" w:line="240" w:lineRule="auto"/>
              <w:rPr>
                <w:rFonts w:eastAsia="Times New Roman" w:cs="Arial"/>
                <w:b/>
                <w:bCs/>
                <w:color w:val="000000"/>
                <w:sz w:val="18"/>
                <w:szCs w:val="18"/>
                <w:lang w:val="en-GB"/>
              </w:rPr>
            </w:pPr>
            <w:r w:rsidRPr="00AA6103">
              <w:rPr>
                <w:rFonts w:eastAsia="Times New Roman" w:cs="Arial"/>
                <w:b/>
                <w:bCs/>
                <w:color w:val="000000"/>
                <w:sz w:val="18"/>
                <w:szCs w:val="18"/>
              </w:rPr>
              <w:t>Αναπροσαρμοσμένα EBIT</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4D5A0C2F" w14:textId="6337FD57" w:rsidR="00CC26A8" w:rsidRPr="008414D9" w:rsidRDefault="00CC26A8" w:rsidP="00CC26A8">
            <w:pPr>
              <w:spacing w:after="0"/>
              <w:jc w:val="right"/>
              <w:rPr>
                <w:rFonts w:cs="Calibri"/>
                <w:b/>
                <w:bCs/>
                <w:color w:val="000000"/>
                <w:sz w:val="18"/>
                <w:szCs w:val="18"/>
                <w:lang w:val="en-GB"/>
              </w:rPr>
            </w:pPr>
            <w:r>
              <w:rPr>
                <w:rFonts w:cs="Calibri"/>
                <w:b/>
                <w:bCs/>
                <w:color w:val="000000"/>
                <w:sz w:val="18"/>
                <w:szCs w:val="18"/>
              </w:rPr>
              <w:t>67.800</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129241D1" w14:textId="7E79AA94" w:rsidR="00CC26A8" w:rsidRPr="008414D9" w:rsidRDefault="00CC26A8" w:rsidP="00CC26A8">
            <w:pPr>
              <w:spacing w:after="0"/>
              <w:jc w:val="right"/>
              <w:rPr>
                <w:rFonts w:cs="Calibri"/>
                <w:b/>
                <w:bCs/>
                <w:color w:val="000000"/>
                <w:sz w:val="18"/>
                <w:szCs w:val="18"/>
                <w:lang w:val="en-GB"/>
              </w:rPr>
            </w:pPr>
            <w:r>
              <w:rPr>
                <w:rFonts w:cs="Calibri"/>
                <w:b/>
                <w:bCs/>
                <w:color w:val="000000"/>
                <w:sz w:val="18"/>
                <w:szCs w:val="18"/>
              </w:rPr>
              <w:t>49.703</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0FF3A122" w14:textId="4D294635" w:rsidR="00CC26A8" w:rsidRPr="008414D9" w:rsidRDefault="00CC26A8" w:rsidP="00CC26A8">
            <w:pPr>
              <w:spacing w:after="0"/>
              <w:jc w:val="right"/>
              <w:rPr>
                <w:rFonts w:cs="Calibri"/>
                <w:b/>
                <w:bCs/>
                <w:color w:val="000000"/>
                <w:sz w:val="18"/>
                <w:szCs w:val="18"/>
                <w:lang w:val="en-GB"/>
              </w:rPr>
            </w:pPr>
            <w:r>
              <w:rPr>
                <w:rFonts w:cs="Calibri"/>
                <w:b/>
                <w:bCs/>
                <w:color w:val="000000"/>
                <w:sz w:val="18"/>
                <w:szCs w:val="18"/>
              </w:rPr>
              <w:t>3</w:t>
            </w:r>
            <w:r w:rsidR="00270BFC">
              <w:rPr>
                <w:rFonts w:cs="Calibri"/>
                <w:b/>
                <w:bCs/>
                <w:color w:val="000000"/>
                <w:sz w:val="18"/>
                <w:szCs w:val="18"/>
              </w:rPr>
              <w:t>5</w:t>
            </w:r>
            <w:r>
              <w:rPr>
                <w:rFonts w:cs="Calibri"/>
                <w:b/>
                <w:bCs/>
                <w:color w:val="000000"/>
                <w:sz w:val="18"/>
                <w:szCs w:val="18"/>
              </w:rPr>
              <w:t>.</w:t>
            </w:r>
            <w:r w:rsidR="00270BFC">
              <w:rPr>
                <w:rFonts w:cs="Calibri"/>
                <w:b/>
                <w:bCs/>
                <w:color w:val="000000"/>
                <w:sz w:val="18"/>
                <w:szCs w:val="18"/>
              </w:rPr>
              <w:t>604</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10793D4B" w14:textId="38A1179E" w:rsidR="00CC26A8" w:rsidRPr="008414D9" w:rsidRDefault="00CC26A8" w:rsidP="00CC26A8">
            <w:pPr>
              <w:spacing w:after="0"/>
              <w:jc w:val="right"/>
              <w:rPr>
                <w:rFonts w:cs="Calibri"/>
                <w:b/>
                <w:bCs/>
                <w:color w:val="000000"/>
                <w:sz w:val="18"/>
                <w:szCs w:val="18"/>
                <w:lang w:val="en-GB"/>
              </w:rPr>
            </w:pPr>
            <w:r>
              <w:rPr>
                <w:rFonts w:cs="Calibri"/>
                <w:b/>
                <w:bCs/>
                <w:color w:val="000000"/>
                <w:sz w:val="18"/>
                <w:szCs w:val="18"/>
              </w:rPr>
              <w:t>22.281</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1631129B" w14:textId="3A160771" w:rsidR="00CC26A8" w:rsidRPr="008414D9" w:rsidRDefault="00CC26A8" w:rsidP="00CC26A8">
            <w:pPr>
              <w:spacing w:after="0"/>
              <w:jc w:val="right"/>
              <w:rPr>
                <w:rFonts w:cs="Calibri"/>
                <w:b/>
                <w:bCs/>
                <w:color w:val="000000"/>
                <w:sz w:val="18"/>
                <w:szCs w:val="18"/>
                <w:lang w:val="en-GB"/>
              </w:rPr>
            </w:pPr>
            <w:r>
              <w:rPr>
                <w:rFonts w:cs="Calibri"/>
                <w:b/>
                <w:bCs/>
                <w:color w:val="000000"/>
                <w:sz w:val="18"/>
                <w:szCs w:val="18"/>
              </w:rPr>
              <w:t>(515)</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73A38C29" w14:textId="76249AA5" w:rsidR="00CC26A8" w:rsidRPr="008414D9" w:rsidRDefault="00CC26A8" w:rsidP="00CC26A8">
            <w:pPr>
              <w:spacing w:after="0"/>
              <w:jc w:val="right"/>
              <w:rPr>
                <w:rFonts w:cs="Calibri"/>
                <w:b/>
                <w:bCs/>
                <w:color w:val="000000"/>
                <w:sz w:val="18"/>
                <w:szCs w:val="18"/>
                <w:lang w:val="en-GB"/>
              </w:rPr>
            </w:pPr>
            <w:r>
              <w:rPr>
                <w:rFonts w:cs="Calibri"/>
                <w:b/>
                <w:bCs/>
                <w:color w:val="000000"/>
                <w:sz w:val="18"/>
                <w:szCs w:val="18"/>
              </w:rPr>
              <w:t>(373)</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64450883" w14:textId="03D18C24" w:rsidR="00CC26A8" w:rsidRPr="008414D9" w:rsidRDefault="00CC26A8" w:rsidP="00CC26A8">
            <w:pPr>
              <w:spacing w:after="0"/>
              <w:jc w:val="right"/>
              <w:rPr>
                <w:rFonts w:cs="Calibri"/>
                <w:b/>
                <w:bCs/>
                <w:color w:val="000000"/>
                <w:sz w:val="18"/>
                <w:szCs w:val="18"/>
                <w:lang w:val="en-GB"/>
              </w:rPr>
            </w:pPr>
            <w:r>
              <w:rPr>
                <w:rFonts w:cs="Calibri"/>
                <w:b/>
                <w:bCs/>
                <w:color w:val="000000"/>
                <w:sz w:val="18"/>
                <w:szCs w:val="18"/>
              </w:rPr>
              <w:t>10</w:t>
            </w:r>
            <w:r w:rsidR="00270BFC">
              <w:rPr>
                <w:rFonts w:cs="Calibri"/>
                <w:b/>
                <w:bCs/>
                <w:color w:val="000000"/>
                <w:sz w:val="18"/>
                <w:szCs w:val="18"/>
              </w:rPr>
              <w:t>2</w:t>
            </w:r>
            <w:r>
              <w:rPr>
                <w:rFonts w:cs="Calibri"/>
                <w:b/>
                <w:bCs/>
                <w:color w:val="000000"/>
                <w:sz w:val="18"/>
                <w:szCs w:val="18"/>
              </w:rPr>
              <w:t>.</w:t>
            </w:r>
            <w:r w:rsidR="00270BFC">
              <w:rPr>
                <w:rFonts w:cs="Calibri"/>
                <w:b/>
                <w:bCs/>
                <w:color w:val="000000"/>
                <w:sz w:val="18"/>
                <w:szCs w:val="18"/>
              </w:rPr>
              <w:t>890</w:t>
            </w:r>
          </w:p>
        </w:tc>
        <w:tc>
          <w:tcPr>
            <w:tcW w:w="891" w:type="dxa"/>
            <w:tcBorders>
              <w:top w:val="single" w:sz="4" w:space="0" w:color="385623" w:themeColor="accent6" w:themeShade="80"/>
              <w:bottom w:val="single" w:sz="4" w:space="0" w:color="385623" w:themeColor="accent6" w:themeShade="80"/>
            </w:tcBorders>
            <w:shd w:val="clear" w:color="auto" w:fill="E2EFD9"/>
            <w:noWrap/>
            <w:vAlign w:val="center"/>
          </w:tcPr>
          <w:p w14:paraId="4764811A" w14:textId="55A09A49" w:rsidR="00CC26A8" w:rsidRPr="008414D9" w:rsidRDefault="00CC26A8" w:rsidP="00CC26A8">
            <w:pPr>
              <w:spacing w:after="0"/>
              <w:jc w:val="right"/>
              <w:rPr>
                <w:rFonts w:cs="Calibri"/>
                <w:b/>
                <w:bCs/>
                <w:color w:val="000000"/>
                <w:sz w:val="18"/>
                <w:szCs w:val="18"/>
                <w:lang w:val="en-GB"/>
              </w:rPr>
            </w:pPr>
            <w:r>
              <w:rPr>
                <w:rFonts w:cs="Calibri"/>
                <w:b/>
                <w:bCs/>
                <w:color w:val="000000"/>
                <w:sz w:val="18"/>
                <w:szCs w:val="18"/>
              </w:rPr>
              <w:t>71.611</w:t>
            </w:r>
          </w:p>
        </w:tc>
      </w:tr>
      <w:tr w:rsidR="00CC26A8" w:rsidRPr="008414D9" w14:paraId="71B1FED5" w14:textId="77777777" w:rsidTr="009E31E5">
        <w:trPr>
          <w:trHeight w:val="300"/>
        </w:trPr>
        <w:tc>
          <w:tcPr>
            <w:tcW w:w="3330" w:type="dxa"/>
            <w:tcBorders>
              <w:top w:val="single" w:sz="4" w:space="0" w:color="385623" w:themeColor="accent6" w:themeShade="80"/>
              <w:right w:val="single" w:sz="4" w:space="0" w:color="385623" w:themeColor="accent6" w:themeShade="80"/>
            </w:tcBorders>
            <w:shd w:val="clear" w:color="auto" w:fill="auto"/>
            <w:noWrap/>
            <w:vAlign w:val="bottom"/>
          </w:tcPr>
          <w:p w14:paraId="6B0CA0F1" w14:textId="3426D42D" w:rsidR="00CC26A8" w:rsidRPr="008414D9" w:rsidRDefault="00CC26A8" w:rsidP="00CC26A8">
            <w:pPr>
              <w:spacing w:before="20" w:after="20" w:line="240" w:lineRule="auto"/>
              <w:rPr>
                <w:rFonts w:eastAsia="Times New Roman" w:cs="Arial"/>
                <w:color w:val="000000"/>
                <w:sz w:val="18"/>
                <w:szCs w:val="18"/>
                <w:lang w:val="en-GB"/>
              </w:rPr>
            </w:pPr>
            <w:r w:rsidRPr="006C0543">
              <w:rPr>
                <w:b/>
                <w:i/>
                <w:color w:val="000000"/>
                <w:sz w:val="18"/>
                <w:u w:val="single"/>
              </w:rPr>
              <w:t>Επανενσωμάτωση:</w:t>
            </w:r>
          </w:p>
        </w:tc>
        <w:tc>
          <w:tcPr>
            <w:tcW w:w="891" w:type="dxa"/>
            <w:tcBorders>
              <w:top w:val="single" w:sz="4" w:space="0" w:color="385623" w:themeColor="accent6" w:themeShade="80"/>
              <w:left w:val="single" w:sz="4" w:space="0" w:color="385623" w:themeColor="accent6" w:themeShade="80"/>
            </w:tcBorders>
            <w:shd w:val="clear" w:color="auto" w:fill="auto"/>
            <w:noWrap/>
            <w:vAlign w:val="center"/>
          </w:tcPr>
          <w:p w14:paraId="5E872D1E" w14:textId="77777777" w:rsidR="00CC26A8" w:rsidRPr="008414D9" w:rsidRDefault="00CC26A8" w:rsidP="00CC26A8">
            <w:pPr>
              <w:spacing w:after="0"/>
              <w:jc w:val="right"/>
              <w:rPr>
                <w:rFonts w:cs="Calibri"/>
                <w:b/>
                <w:bCs/>
                <w:color w:val="000000"/>
                <w:sz w:val="18"/>
                <w:szCs w:val="18"/>
                <w:lang w:val="en-GB"/>
              </w:rPr>
            </w:pPr>
          </w:p>
        </w:tc>
        <w:tc>
          <w:tcPr>
            <w:tcW w:w="891" w:type="dxa"/>
            <w:tcBorders>
              <w:top w:val="single" w:sz="4" w:space="0" w:color="385623" w:themeColor="accent6" w:themeShade="80"/>
              <w:right w:val="single" w:sz="4" w:space="0" w:color="385623" w:themeColor="accent6" w:themeShade="80"/>
            </w:tcBorders>
            <w:shd w:val="clear" w:color="auto" w:fill="auto"/>
            <w:noWrap/>
            <w:vAlign w:val="center"/>
          </w:tcPr>
          <w:p w14:paraId="02DAC393" w14:textId="77777777" w:rsidR="00CC26A8" w:rsidRPr="008414D9" w:rsidRDefault="00CC26A8" w:rsidP="00CC26A8">
            <w:pPr>
              <w:spacing w:after="0"/>
              <w:jc w:val="right"/>
              <w:rPr>
                <w:sz w:val="20"/>
                <w:szCs w:val="20"/>
                <w:lang w:val="en-GB"/>
              </w:rPr>
            </w:pPr>
          </w:p>
        </w:tc>
        <w:tc>
          <w:tcPr>
            <w:tcW w:w="891" w:type="dxa"/>
            <w:tcBorders>
              <w:top w:val="single" w:sz="4" w:space="0" w:color="385623" w:themeColor="accent6" w:themeShade="80"/>
              <w:left w:val="single" w:sz="4" w:space="0" w:color="385623" w:themeColor="accent6" w:themeShade="80"/>
            </w:tcBorders>
            <w:shd w:val="clear" w:color="auto" w:fill="auto"/>
            <w:noWrap/>
            <w:vAlign w:val="center"/>
          </w:tcPr>
          <w:p w14:paraId="1D8D928E" w14:textId="77777777" w:rsidR="00CC26A8" w:rsidRPr="008414D9" w:rsidRDefault="00CC26A8" w:rsidP="00CC26A8">
            <w:pPr>
              <w:spacing w:after="0"/>
              <w:jc w:val="right"/>
              <w:rPr>
                <w:sz w:val="20"/>
                <w:szCs w:val="20"/>
                <w:lang w:val="en-GB"/>
              </w:rPr>
            </w:pPr>
          </w:p>
        </w:tc>
        <w:tc>
          <w:tcPr>
            <w:tcW w:w="891" w:type="dxa"/>
            <w:tcBorders>
              <w:top w:val="single" w:sz="4" w:space="0" w:color="385623" w:themeColor="accent6" w:themeShade="80"/>
              <w:right w:val="single" w:sz="4" w:space="0" w:color="385623" w:themeColor="accent6" w:themeShade="80"/>
            </w:tcBorders>
            <w:shd w:val="clear" w:color="auto" w:fill="auto"/>
            <w:noWrap/>
            <w:vAlign w:val="center"/>
          </w:tcPr>
          <w:p w14:paraId="5B3C153F" w14:textId="77777777" w:rsidR="00CC26A8" w:rsidRPr="008414D9" w:rsidRDefault="00CC26A8" w:rsidP="00CC26A8">
            <w:pPr>
              <w:spacing w:after="0"/>
              <w:jc w:val="right"/>
              <w:rPr>
                <w:sz w:val="20"/>
                <w:szCs w:val="20"/>
                <w:lang w:val="en-GB"/>
              </w:rPr>
            </w:pPr>
          </w:p>
        </w:tc>
        <w:tc>
          <w:tcPr>
            <w:tcW w:w="891" w:type="dxa"/>
            <w:tcBorders>
              <w:top w:val="single" w:sz="4" w:space="0" w:color="385623" w:themeColor="accent6" w:themeShade="80"/>
              <w:left w:val="single" w:sz="4" w:space="0" w:color="385623" w:themeColor="accent6" w:themeShade="80"/>
            </w:tcBorders>
            <w:shd w:val="clear" w:color="auto" w:fill="auto"/>
            <w:noWrap/>
            <w:vAlign w:val="center"/>
          </w:tcPr>
          <w:p w14:paraId="2B08038E" w14:textId="77777777" w:rsidR="00CC26A8" w:rsidRPr="008414D9" w:rsidRDefault="00CC26A8" w:rsidP="00CC26A8">
            <w:pPr>
              <w:spacing w:after="0"/>
              <w:jc w:val="right"/>
              <w:rPr>
                <w:sz w:val="20"/>
                <w:szCs w:val="20"/>
                <w:lang w:val="en-GB"/>
              </w:rPr>
            </w:pPr>
          </w:p>
        </w:tc>
        <w:tc>
          <w:tcPr>
            <w:tcW w:w="891" w:type="dxa"/>
            <w:tcBorders>
              <w:top w:val="single" w:sz="4" w:space="0" w:color="385623" w:themeColor="accent6" w:themeShade="80"/>
              <w:right w:val="single" w:sz="4" w:space="0" w:color="385623" w:themeColor="accent6" w:themeShade="80"/>
            </w:tcBorders>
            <w:shd w:val="clear" w:color="auto" w:fill="auto"/>
            <w:noWrap/>
            <w:vAlign w:val="center"/>
          </w:tcPr>
          <w:p w14:paraId="6D7D271D" w14:textId="77777777" w:rsidR="00CC26A8" w:rsidRPr="008414D9" w:rsidRDefault="00CC26A8" w:rsidP="00CC26A8">
            <w:pPr>
              <w:spacing w:after="0"/>
              <w:jc w:val="right"/>
              <w:rPr>
                <w:sz w:val="20"/>
                <w:szCs w:val="20"/>
                <w:lang w:val="en-GB"/>
              </w:rPr>
            </w:pPr>
          </w:p>
        </w:tc>
        <w:tc>
          <w:tcPr>
            <w:tcW w:w="891" w:type="dxa"/>
            <w:tcBorders>
              <w:top w:val="single" w:sz="4" w:space="0" w:color="385623" w:themeColor="accent6" w:themeShade="80"/>
              <w:left w:val="single" w:sz="4" w:space="0" w:color="385623" w:themeColor="accent6" w:themeShade="80"/>
            </w:tcBorders>
            <w:shd w:val="clear" w:color="auto" w:fill="auto"/>
            <w:noWrap/>
            <w:vAlign w:val="center"/>
          </w:tcPr>
          <w:p w14:paraId="75527D24" w14:textId="77777777" w:rsidR="00CC26A8" w:rsidRPr="008414D9" w:rsidRDefault="00CC26A8" w:rsidP="00CC26A8">
            <w:pPr>
              <w:spacing w:after="0"/>
              <w:jc w:val="right"/>
              <w:rPr>
                <w:sz w:val="20"/>
                <w:szCs w:val="20"/>
                <w:lang w:val="en-GB"/>
              </w:rPr>
            </w:pPr>
          </w:p>
        </w:tc>
        <w:tc>
          <w:tcPr>
            <w:tcW w:w="891" w:type="dxa"/>
            <w:tcBorders>
              <w:top w:val="single" w:sz="4" w:space="0" w:color="385623" w:themeColor="accent6" w:themeShade="80"/>
            </w:tcBorders>
            <w:shd w:val="clear" w:color="auto" w:fill="auto"/>
            <w:noWrap/>
            <w:vAlign w:val="center"/>
          </w:tcPr>
          <w:p w14:paraId="7897C6C9" w14:textId="77777777" w:rsidR="00CC26A8" w:rsidRPr="008414D9" w:rsidRDefault="00CC26A8" w:rsidP="00CC26A8">
            <w:pPr>
              <w:spacing w:after="0"/>
              <w:jc w:val="right"/>
              <w:rPr>
                <w:sz w:val="20"/>
                <w:szCs w:val="20"/>
                <w:lang w:val="en-GB"/>
              </w:rPr>
            </w:pPr>
          </w:p>
        </w:tc>
      </w:tr>
      <w:tr w:rsidR="00CC26A8" w:rsidRPr="008414D9" w14:paraId="6FC5C34F" w14:textId="77777777" w:rsidTr="009E31E5">
        <w:trPr>
          <w:trHeight w:val="300"/>
        </w:trPr>
        <w:tc>
          <w:tcPr>
            <w:tcW w:w="3330" w:type="dxa"/>
            <w:tcBorders>
              <w:right w:val="single" w:sz="4" w:space="0" w:color="385623" w:themeColor="accent6" w:themeShade="80"/>
            </w:tcBorders>
            <w:shd w:val="clear" w:color="auto" w:fill="auto"/>
            <w:noWrap/>
            <w:vAlign w:val="bottom"/>
          </w:tcPr>
          <w:p w14:paraId="548A2E49" w14:textId="2024ED3F" w:rsidR="00CC26A8" w:rsidRPr="008414D9" w:rsidRDefault="00CC26A8" w:rsidP="00CC26A8">
            <w:pPr>
              <w:spacing w:before="20" w:after="20" w:line="240" w:lineRule="auto"/>
              <w:rPr>
                <w:rFonts w:eastAsia="Times New Roman" w:cs="Arial"/>
                <w:color w:val="000000"/>
                <w:sz w:val="18"/>
                <w:szCs w:val="18"/>
                <w:lang w:val="en-GB"/>
              </w:rPr>
            </w:pPr>
            <w:r w:rsidRPr="006C0543">
              <w:rPr>
                <w:color w:val="000000"/>
                <w:sz w:val="18"/>
              </w:rPr>
              <w:t>Συνολικές αποσβέσεις</w:t>
            </w:r>
            <w:r>
              <w:rPr>
                <w:color w:val="000000"/>
                <w:sz w:val="18"/>
              </w:rPr>
              <w:t xml:space="preserve"> </w:t>
            </w:r>
          </w:p>
        </w:tc>
        <w:tc>
          <w:tcPr>
            <w:tcW w:w="891" w:type="dxa"/>
            <w:tcBorders>
              <w:left w:val="single" w:sz="4" w:space="0" w:color="385623" w:themeColor="accent6" w:themeShade="80"/>
            </w:tcBorders>
            <w:shd w:val="clear" w:color="auto" w:fill="auto"/>
            <w:noWrap/>
            <w:vAlign w:val="center"/>
          </w:tcPr>
          <w:p w14:paraId="541E7891" w14:textId="4F1AB35D" w:rsidR="00CC26A8" w:rsidRPr="008414D9" w:rsidRDefault="00CC26A8" w:rsidP="00CC26A8">
            <w:pPr>
              <w:spacing w:after="0"/>
              <w:jc w:val="right"/>
              <w:rPr>
                <w:rFonts w:cs="Calibri"/>
                <w:color w:val="000000"/>
                <w:sz w:val="18"/>
                <w:szCs w:val="18"/>
                <w:lang w:val="en-GB"/>
              </w:rPr>
            </w:pPr>
            <w:r>
              <w:rPr>
                <w:rFonts w:cs="Calibri"/>
                <w:color w:val="000000"/>
                <w:sz w:val="18"/>
                <w:szCs w:val="18"/>
              </w:rPr>
              <w:t>11.585</w:t>
            </w:r>
          </w:p>
        </w:tc>
        <w:tc>
          <w:tcPr>
            <w:tcW w:w="891" w:type="dxa"/>
            <w:tcBorders>
              <w:right w:val="single" w:sz="4" w:space="0" w:color="385623" w:themeColor="accent6" w:themeShade="80"/>
            </w:tcBorders>
            <w:shd w:val="clear" w:color="auto" w:fill="auto"/>
            <w:noWrap/>
            <w:vAlign w:val="center"/>
          </w:tcPr>
          <w:p w14:paraId="3004288B" w14:textId="1DECA45E" w:rsidR="00CC26A8" w:rsidRPr="008414D9" w:rsidRDefault="00CC26A8" w:rsidP="00CC26A8">
            <w:pPr>
              <w:spacing w:after="0"/>
              <w:jc w:val="right"/>
              <w:rPr>
                <w:rFonts w:cs="Calibri"/>
                <w:color w:val="000000"/>
                <w:sz w:val="18"/>
                <w:szCs w:val="18"/>
                <w:lang w:val="en-GB"/>
              </w:rPr>
            </w:pPr>
            <w:r>
              <w:rPr>
                <w:rFonts w:cs="Calibri"/>
                <w:color w:val="000000"/>
                <w:sz w:val="18"/>
                <w:szCs w:val="18"/>
              </w:rPr>
              <w:t>9.742</w:t>
            </w:r>
          </w:p>
        </w:tc>
        <w:tc>
          <w:tcPr>
            <w:tcW w:w="891" w:type="dxa"/>
            <w:tcBorders>
              <w:left w:val="single" w:sz="4" w:space="0" w:color="385623" w:themeColor="accent6" w:themeShade="80"/>
            </w:tcBorders>
            <w:shd w:val="clear" w:color="auto" w:fill="auto"/>
            <w:noWrap/>
            <w:vAlign w:val="center"/>
          </w:tcPr>
          <w:p w14:paraId="2A943C7B" w14:textId="6E1FE752" w:rsidR="00CC26A8" w:rsidRPr="008414D9" w:rsidRDefault="00CC26A8" w:rsidP="00CC26A8">
            <w:pPr>
              <w:spacing w:after="0"/>
              <w:jc w:val="right"/>
              <w:rPr>
                <w:rFonts w:cs="Calibri"/>
                <w:color w:val="000000"/>
                <w:sz w:val="18"/>
                <w:szCs w:val="18"/>
                <w:lang w:val="en-GB"/>
              </w:rPr>
            </w:pPr>
            <w:r>
              <w:rPr>
                <w:rFonts w:cs="Calibri"/>
                <w:color w:val="000000"/>
                <w:sz w:val="18"/>
                <w:szCs w:val="18"/>
              </w:rPr>
              <w:t>4.978</w:t>
            </w:r>
          </w:p>
        </w:tc>
        <w:tc>
          <w:tcPr>
            <w:tcW w:w="891" w:type="dxa"/>
            <w:tcBorders>
              <w:right w:val="single" w:sz="4" w:space="0" w:color="385623" w:themeColor="accent6" w:themeShade="80"/>
            </w:tcBorders>
            <w:shd w:val="clear" w:color="auto" w:fill="auto"/>
            <w:noWrap/>
            <w:vAlign w:val="center"/>
          </w:tcPr>
          <w:p w14:paraId="13E10850" w14:textId="48C4501C" w:rsidR="00CC26A8" w:rsidRPr="008414D9" w:rsidRDefault="00CC26A8" w:rsidP="00CC26A8">
            <w:pPr>
              <w:spacing w:after="0"/>
              <w:jc w:val="right"/>
              <w:rPr>
                <w:rFonts w:cs="Calibri"/>
                <w:color w:val="000000"/>
                <w:sz w:val="18"/>
                <w:szCs w:val="18"/>
                <w:lang w:val="en-GB"/>
              </w:rPr>
            </w:pPr>
            <w:r>
              <w:rPr>
                <w:rFonts w:cs="Calibri"/>
                <w:color w:val="000000"/>
                <w:sz w:val="18"/>
                <w:szCs w:val="18"/>
              </w:rPr>
              <w:t>4.753</w:t>
            </w:r>
          </w:p>
        </w:tc>
        <w:tc>
          <w:tcPr>
            <w:tcW w:w="891" w:type="dxa"/>
            <w:tcBorders>
              <w:left w:val="single" w:sz="4" w:space="0" w:color="385623" w:themeColor="accent6" w:themeShade="80"/>
            </w:tcBorders>
            <w:shd w:val="clear" w:color="auto" w:fill="auto"/>
            <w:noWrap/>
            <w:vAlign w:val="center"/>
          </w:tcPr>
          <w:p w14:paraId="3B089F6F" w14:textId="769D14B8" w:rsidR="00CC26A8" w:rsidRPr="008414D9" w:rsidRDefault="00CC26A8" w:rsidP="00CC26A8">
            <w:pPr>
              <w:spacing w:after="0"/>
              <w:jc w:val="right"/>
              <w:rPr>
                <w:rFonts w:cs="Calibri"/>
                <w:color w:val="000000"/>
                <w:sz w:val="18"/>
                <w:szCs w:val="18"/>
                <w:lang w:val="en-GB"/>
              </w:rPr>
            </w:pPr>
            <w:r>
              <w:rPr>
                <w:rFonts w:cs="Calibri"/>
                <w:color w:val="000000"/>
                <w:sz w:val="18"/>
                <w:szCs w:val="18"/>
              </w:rPr>
              <w:t>4</w:t>
            </w:r>
          </w:p>
        </w:tc>
        <w:tc>
          <w:tcPr>
            <w:tcW w:w="891" w:type="dxa"/>
            <w:tcBorders>
              <w:right w:val="single" w:sz="4" w:space="0" w:color="385623" w:themeColor="accent6" w:themeShade="80"/>
            </w:tcBorders>
            <w:shd w:val="clear" w:color="auto" w:fill="auto"/>
            <w:noWrap/>
            <w:vAlign w:val="center"/>
          </w:tcPr>
          <w:p w14:paraId="54D92BE8" w14:textId="01C86648" w:rsidR="00CC26A8" w:rsidRPr="008414D9" w:rsidRDefault="00CC26A8" w:rsidP="00CC26A8">
            <w:pPr>
              <w:spacing w:after="0"/>
              <w:jc w:val="right"/>
              <w:rPr>
                <w:rFonts w:cs="Calibri"/>
                <w:color w:val="000000"/>
                <w:sz w:val="18"/>
                <w:szCs w:val="18"/>
                <w:lang w:val="en-GB"/>
              </w:rPr>
            </w:pPr>
            <w:r>
              <w:rPr>
                <w:rFonts w:cs="Calibri"/>
                <w:color w:val="000000"/>
                <w:sz w:val="18"/>
                <w:szCs w:val="18"/>
              </w:rPr>
              <w:t>6</w:t>
            </w:r>
          </w:p>
        </w:tc>
        <w:tc>
          <w:tcPr>
            <w:tcW w:w="891" w:type="dxa"/>
            <w:tcBorders>
              <w:left w:val="single" w:sz="4" w:space="0" w:color="385623" w:themeColor="accent6" w:themeShade="80"/>
            </w:tcBorders>
            <w:shd w:val="clear" w:color="auto" w:fill="auto"/>
            <w:noWrap/>
            <w:vAlign w:val="center"/>
          </w:tcPr>
          <w:p w14:paraId="2A76412B" w14:textId="7B6A632F" w:rsidR="00CC26A8" w:rsidRPr="008414D9" w:rsidRDefault="00CC26A8" w:rsidP="00CC26A8">
            <w:pPr>
              <w:spacing w:after="0"/>
              <w:jc w:val="right"/>
              <w:rPr>
                <w:rFonts w:cs="Calibri"/>
                <w:color w:val="000000"/>
                <w:sz w:val="18"/>
                <w:szCs w:val="18"/>
                <w:lang w:val="en-GB"/>
              </w:rPr>
            </w:pPr>
            <w:r>
              <w:rPr>
                <w:rFonts w:cs="Calibri"/>
                <w:color w:val="000000"/>
                <w:sz w:val="18"/>
                <w:szCs w:val="18"/>
              </w:rPr>
              <w:t>16.567</w:t>
            </w:r>
          </w:p>
        </w:tc>
        <w:tc>
          <w:tcPr>
            <w:tcW w:w="891" w:type="dxa"/>
            <w:shd w:val="clear" w:color="auto" w:fill="auto"/>
            <w:noWrap/>
            <w:vAlign w:val="center"/>
          </w:tcPr>
          <w:p w14:paraId="15AED8F4" w14:textId="30FCACF6" w:rsidR="00CC26A8" w:rsidRPr="008414D9" w:rsidRDefault="00CC26A8" w:rsidP="00CC26A8">
            <w:pPr>
              <w:spacing w:after="0"/>
              <w:jc w:val="right"/>
              <w:rPr>
                <w:rFonts w:cs="Calibri"/>
                <w:color w:val="000000"/>
                <w:sz w:val="18"/>
                <w:szCs w:val="18"/>
                <w:lang w:val="en-GB"/>
              </w:rPr>
            </w:pPr>
            <w:r>
              <w:rPr>
                <w:rFonts w:cs="Calibri"/>
                <w:color w:val="000000"/>
                <w:sz w:val="18"/>
                <w:szCs w:val="18"/>
              </w:rPr>
              <w:t>14</w:t>
            </w:r>
            <w:r w:rsidR="004F233B">
              <w:rPr>
                <w:rFonts w:cs="Calibri"/>
                <w:color w:val="000000"/>
                <w:sz w:val="18"/>
                <w:szCs w:val="18"/>
              </w:rPr>
              <w:t>.</w:t>
            </w:r>
            <w:r>
              <w:rPr>
                <w:rFonts w:cs="Calibri"/>
                <w:color w:val="000000"/>
                <w:sz w:val="18"/>
                <w:szCs w:val="18"/>
              </w:rPr>
              <w:t>502</w:t>
            </w:r>
          </w:p>
        </w:tc>
      </w:tr>
      <w:tr w:rsidR="00CC26A8" w:rsidRPr="008414D9" w14:paraId="6E191953" w14:textId="77777777" w:rsidTr="009E31E5">
        <w:trPr>
          <w:trHeight w:val="300"/>
        </w:trPr>
        <w:tc>
          <w:tcPr>
            <w:tcW w:w="3330"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vAlign w:val="bottom"/>
            <w:hideMark/>
          </w:tcPr>
          <w:p w14:paraId="10E29029" w14:textId="0E8EC94C" w:rsidR="00CC26A8" w:rsidRPr="008414D9" w:rsidRDefault="00CC26A8" w:rsidP="00CC26A8">
            <w:pPr>
              <w:spacing w:before="20" w:after="20" w:line="240" w:lineRule="auto"/>
              <w:rPr>
                <w:rFonts w:eastAsia="Times New Roman" w:cs="Arial"/>
                <w:b/>
                <w:bCs/>
                <w:color w:val="000000"/>
                <w:sz w:val="18"/>
                <w:szCs w:val="18"/>
                <w:lang w:val="en-GB"/>
              </w:rPr>
            </w:pPr>
            <w:r w:rsidRPr="00AA6103">
              <w:rPr>
                <w:rFonts w:eastAsia="Times New Roman" w:cs="Arial"/>
                <w:b/>
                <w:bCs/>
                <w:color w:val="000000"/>
                <w:sz w:val="18"/>
                <w:szCs w:val="18"/>
              </w:rPr>
              <w:t>Αναπροσαρμοσμένα EBITDA</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5EC11C15" w14:textId="4ED8C485" w:rsidR="00CC26A8" w:rsidRPr="008414D9" w:rsidRDefault="00CC26A8" w:rsidP="00CC26A8">
            <w:pPr>
              <w:spacing w:after="0"/>
              <w:jc w:val="right"/>
              <w:rPr>
                <w:rFonts w:cs="Calibri"/>
                <w:b/>
                <w:bCs/>
                <w:color w:val="000000"/>
                <w:sz w:val="18"/>
                <w:szCs w:val="18"/>
                <w:lang w:val="en-GB"/>
              </w:rPr>
            </w:pPr>
            <w:r>
              <w:rPr>
                <w:rFonts w:cs="Calibri"/>
                <w:b/>
                <w:bCs/>
                <w:color w:val="000000"/>
                <w:sz w:val="18"/>
                <w:szCs w:val="18"/>
              </w:rPr>
              <w:t>79.385</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315F2B65" w14:textId="7E91B338" w:rsidR="00CC26A8" w:rsidRPr="008414D9" w:rsidRDefault="00CC26A8" w:rsidP="00CC26A8">
            <w:pPr>
              <w:spacing w:after="0"/>
              <w:jc w:val="right"/>
              <w:rPr>
                <w:rFonts w:cs="Calibri"/>
                <w:b/>
                <w:bCs/>
                <w:color w:val="000000"/>
                <w:sz w:val="18"/>
                <w:szCs w:val="18"/>
                <w:lang w:val="en-GB"/>
              </w:rPr>
            </w:pPr>
            <w:r>
              <w:rPr>
                <w:rFonts w:cs="Calibri"/>
                <w:b/>
                <w:bCs/>
                <w:color w:val="000000"/>
                <w:sz w:val="18"/>
                <w:szCs w:val="18"/>
              </w:rPr>
              <w:t>59.446</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2B108C66" w14:textId="6A9A4287" w:rsidR="00CC26A8" w:rsidRPr="008414D9" w:rsidRDefault="00CC26A8" w:rsidP="00CC26A8">
            <w:pPr>
              <w:spacing w:after="0"/>
              <w:jc w:val="right"/>
              <w:rPr>
                <w:rFonts w:cs="Calibri"/>
                <w:b/>
                <w:bCs/>
                <w:color w:val="000000"/>
                <w:sz w:val="18"/>
                <w:szCs w:val="18"/>
                <w:lang w:val="en-GB"/>
              </w:rPr>
            </w:pPr>
            <w:r>
              <w:rPr>
                <w:rFonts w:cs="Calibri"/>
                <w:b/>
                <w:bCs/>
                <w:color w:val="000000"/>
                <w:sz w:val="18"/>
                <w:szCs w:val="18"/>
              </w:rPr>
              <w:t>4</w:t>
            </w:r>
            <w:r w:rsidR="00270BFC">
              <w:rPr>
                <w:rFonts w:cs="Calibri"/>
                <w:b/>
                <w:bCs/>
                <w:color w:val="000000"/>
                <w:sz w:val="18"/>
                <w:szCs w:val="18"/>
              </w:rPr>
              <w:t>0</w:t>
            </w:r>
            <w:r>
              <w:rPr>
                <w:rFonts w:cs="Calibri"/>
                <w:b/>
                <w:bCs/>
                <w:color w:val="000000"/>
                <w:sz w:val="18"/>
                <w:szCs w:val="18"/>
              </w:rPr>
              <w:t>.</w:t>
            </w:r>
            <w:r w:rsidR="00270BFC">
              <w:rPr>
                <w:rFonts w:cs="Calibri"/>
                <w:b/>
                <w:bCs/>
                <w:color w:val="000000"/>
                <w:sz w:val="18"/>
                <w:szCs w:val="18"/>
              </w:rPr>
              <w:t>583</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34E6DC34" w14:textId="0B10F479" w:rsidR="00CC26A8" w:rsidRPr="008414D9" w:rsidRDefault="00CC26A8" w:rsidP="00CC26A8">
            <w:pPr>
              <w:spacing w:after="0"/>
              <w:jc w:val="right"/>
              <w:rPr>
                <w:rFonts w:cs="Calibri"/>
                <w:b/>
                <w:bCs/>
                <w:color w:val="000000"/>
                <w:sz w:val="18"/>
                <w:szCs w:val="18"/>
                <w:lang w:val="en-GB"/>
              </w:rPr>
            </w:pPr>
            <w:r>
              <w:rPr>
                <w:rFonts w:cs="Calibri"/>
                <w:b/>
                <w:bCs/>
                <w:color w:val="000000"/>
                <w:sz w:val="18"/>
                <w:szCs w:val="18"/>
              </w:rPr>
              <w:t>27.034</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179A84BE" w14:textId="6C788034" w:rsidR="00CC26A8" w:rsidRPr="008414D9" w:rsidRDefault="00CC26A8" w:rsidP="00CC26A8">
            <w:pPr>
              <w:spacing w:after="0"/>
              <w:jc w:val="right"/>
              <w:rPr>
                <w:rFonts w:cs="Calibri"/>
                <w:b/>
                <w:bCs/>
                <w:color w:val="000000"/>
                <w:sz w:val="18"/>
                <w:szCs w:val="18"/>
                <w:lang w:val="en-GB"/>
              </w:rPr>
            </w:pPr>
            <w:r>
              <w:rPr>
                <w:rFonts w:cs="Calibri"/>
                <w:b/>
                <w:bCs/>
                <w:color w:val="000000"/>
                <w:sz w:val="18"/>
                <w:szCs w:val="18"/>
              </w:rPr>
              <w:t>(511)</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1DE33C4D" w14:textId="28752E1F" w:rsidR="00CC26A8" w:rsidRPr="008414D9" w:rsidRDefault="00CC26A8" w:rsidP="00CC26A8">
            <w:pPr>
              <w:spacing w:after="0"/>
              <w:jc w:val="right"/>
              <w:rPr>
                <w:rFonts w:cs="Calibri"/>
                <w:b/>
                <w:bCs/>
                <w:color w:val="000000"/>
                <w:sz w:val="18"/>
                <w:szCs w:val="18"/>
                <w:lang w:val="en-GB"/>
              </w:rPr>
            </w:pPr>
            <w:r>
              <w:rPr>
                <w:rFonts w:cs="Calibri"/>
                <w:b/>
                <w:bCs/>
                <w:color w:val="000000"/>
                <w:sz w:val="18"/>
                <w:szCs w:val="18"/>
              </w:rPr>
              <w:t>(367)</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318D1031" w14:textId="5037DC72" w:rsidR="00CC26A8" w:rsidRPr="008414D9" w:rsidRDefault="00CC26A8" w:rsidP="00CC26A8">
            <w:pPr>
              <w:spacing w:after="0"/>
              <w:jc w:val="right"/>
              <w:rPr>
                <w:rFonts w:cs="Calibri"/>
                <w:b/>
                <w:bCs/>
                <w:color w:val="000000"/>
                <w:sz w:val="18"/>
                <w:szCs w:val="18"/>
                <w:lang w:val="en-GB"/>
              </w:rPr>
            </w:pPr>
            <w:r>
              <w:rPr>
                <w:rFonts w:cs="Calibri"/>
                <w:b/>
                <w:bCs/>
                <w:color w:val="000000"/>
                <w:sz w:val="18"/>
                <w:szCs w:val="18"/>
              </w:rPr>
              <w:t>119.</w:t>
            </w:r>
            <w:r w:rsidR="00270BFC">
              <w:rPr>
                <w:rFonts w:cs="Calibri"/>
                <w:b/>
                <w:bCs/>
                <w:color w:val="000000"/>
                <w:sz w:val="18"/>
                <w:szCs w:val="18"/>
              </w:rPr>
              <w:t>456</w:t>
            </w:r>
          </w:p>
        </w:tc>
        <w:tc>
          <w:tcPr>
            <w:tcW w:w="891" w:type="dxa"/>
            <w:tcBorders>
              <w:top w:val="single" w:sz="4" w:space="0" w:color="385623" w:themeColor="accent6" w:themeShade="80"/>
              <w:bottom w:val="single" w:sz="4" w:space="0" w:color="385623" w:themeColor="accent6" w:themeShade="80"/>
            </w:tcBorders>
            <w:shd w:val="clear" w:color="auto" w:fill="E2EFD9"/>
            <w:noWrap/>
            <w:vAlign w:val="center"/>
          </w:tcPr>
          <w:p w14:paraId="0BB306D0" w14:textId="62B16377" w:rsidR="00CC26A8" w:rsidRPr="008414D9" w:rsidRDefault="00CC26A8" w:rsidP="00CC26A8">
            <w:pPr>
              <w:spacing w:after="0"/>
              <w:jc w:val="right"/>
              <w:rPr>
                <w:rFonts w:cs="Calibri"/>
                <w:b/>
                <w:bCs/>
                <w:color w:val="000000"/>
                <w:sz w:val="18"/>
                <w:szCs w:val="18"/>
                <w:lang w:val="en-GB"/>
              </w:rPr>
            </w:pPr>
            <w:r>
              <w:rPr>
                <w:rFonts w:cs="Calibri"/>
                <w:b/>
                <w:bCs/>
                <w:color w:val="000000"/>
                <w:sz w:val="18"/>
                <w:szCs w:val="18"/>
              </w:rPr>
              <w:t>86.113</w:t>
            </w:r>
          </w:p>
        </w:tc>
      </w:tr>
    </w:tbl>
    <w:p w14:paraId="7D0570D2" w14:textId="77777777" w:rsidR="00AA0DAB" w:rsidRPr="00E43939" w:rsidRDefault="00AA0DAB" w:rsidP="00AA0DAB">
      <w:pPr>
        <w:numPr>
          <w:ilvl w:val="0"/>
          <w:numId w:val="2"/>
        </w:numPr>
        <w:spacing w:after="0"/>
        <w:ind w:left="284" w:hanging="284"/>
        <w:jc w:val="both"/>
        <w:rPr>
          <w:rFonts w:eastAsia="Times New Roman"/>
          <w:i/>
          <w:color w:val="000000"/>
          <w:sz w:val="18"/>
          <w:szCs w:val="18"/>
        </w:rPr>
      </w:pPr>
      <w:r w:rsidRPr="00E43939">
        <w:rPr>
          <w:i/>
          <w:color w:val="000000"/>
          <w:sz w:val="18"/>
        </w:rPr>
        <w:t>Το αποτέλεσμα μετάλλου είναι η επίδραση στα αποτελέσματα που προκύπτει από διακυμάνσεις των τιμών αγοράς των υποκείμενων μετάλλων (σιδηρούχα και μη σιδηρούχα) που χρησιμοποιούν οι θυγατρικές της Cenergy Holdings ως πρώτες ύλες στις διαδικασίες παραγωγής του τελικού προϊόντος τους.</w:t>
      </w:r>
    </w:p>
    <w:p w14:paraId="54C6354E" w14:textId="77777777" w:rsidR="00AA0DAB" w:rsidRPr="00E43939" w:rsidRDefault="00AA0DAB" w:rsidP="00AA0DAB">
      <w:pPr>
        <w:spacing w:after="0"/>
        <w:ind w:left="284"/>
        <w:jc w:val="both"/>
        <w:rPr>
          <w:rFonts w:eastAsia="Times New Roman"/>
          <w:i/>
          <w:color w:val="000000"/>
          <w:sz w:val="18"/>
          <w:szCs w:val="18"/>
        </w:rPr>
      </w:pPr>
      <w:r w:rsidRPr="00E43939">
        <w:rPr>
          <w:i/>
          <w:color w:val="000000"/>
          <w:sz w:val="18"/>
        </w:rPr>
        <w:t>Το αποτέλεσμα μετάλλου προκύπτει λόγω:</w:t>
      </w:r>
    </w:p>
    <w:p w14:paraId="52F7C57B" w14:textId="77777777" w:rsidR="00AA0DAB" w:rsidRPr="00E43939" w:rsidRDefault="00AA0DAB" w:rsidP="00AA0DAB">
      <w:pPr>
        <w:spacing w:after="0"/>
        <w:ind w:left="284"/>
        <w:jc w:val="both"/>
        <w:rPr>
          <w:rFonts w:eastAsia="Times New Roman"/>
          <w:i/>
          <w:color w:val="000000"/>
          <w:sz w:val="18"/>
          <w:szCs w:val="18"/>
        </w:rPr>
      </w:pPr>
      <w:r w:rsidRPr="00E43939">
        <w:rPr>
          <w:i/>
          <w:color w:val="000000"/>
          <w:sz w:val="18"/>
        </w:rPr>
        <w:t>(i)</w:t>
      </w:r>
      <w:r w:rsidRPr="00E43939">
        <w:rPr>
          <w:i/>
          <w:color w:val="000000"/>
          <w:sz w:val="18"/>
        </w:rPr>
        <w:tab/>
        <w:t>του χρονικού διαστήματος που μεσολαβεί ανάμεσα στην τιμολόγηση των αγορών μετάλλων, την κατοχή και επεξεργασία των μετάλλων, και στην τιμολόγηση της πώλησης των τελικών αποθεμάτων στους πελάτες,</w:t>
      </w:r>
    </w:p>
    <w:p w14:paraId="065FD8DA" w14:textId="77777777" w:rsidR="00AA0DAB" w:rsidRPr="00E43939" w:rsidRDefault="00AA0DAB" w:rsidP="00AA0DAB">
      <w:pPr>
        <w:spacing w:after="0"/>
        <w:ind w:left="284"/>
        <w:jc w:val="both"/>
        <w:rPr>
          <w:rFonts w:eastAsia="Times New Roman"/>
          <w:i/>
          <w:color w:val="000000"/>
          <w:sz w:val="18"/>
          <w:szCs w:val="18"/>
        </w:rPr>
      </w:pPr>
      <w:r w:rsidRPr="00E43939">
        <w:rPr>
          <w:i/>
          <w:color w:val="000000"/>
          <w:sz w:val="18"/>
        </w:rPr>
        <w:t>(ii)</w:t>
      </w:r>
      <w:r w:rsidRPr="00E43939">
        <w:rPr>
          <w:i/>
          <w:color w:val="000000"/>
          <w:sz w:val="18"/>
        </w:rPr>
        <w:tab/>
        <w:t>της επίδρασης του υπολοίπου αποθεμάτων κατά την αρχή της περιόδου (το οποίο, με τη σειρά του, επηρεάζεται από τις τιμές μετάλλων των προηγούμενων περιόδων) στο ποσό που αναφέρεται ως Κόστος Πωληθέντων, λόγω της χρησιμοποιούμενης μεθόδου κοστολόγησης (π.χ. σταθμισμένος μέσος όρος),</w:t>
      </w:r>
    </w:p>
    <w:p w14:paraId="260EDC84" w14:textId="77777777" w:rsidR="00AA0DAB" w:rsidRPr="00E43939" w:rsidRDefault="00AA0DAB" w:rsidP="00AA0DAB">
      <w:pPr>
        <w:spacing w:after="0"/>
        <w:ind w:left="284"/>
        <w:jc w:val="both"/>
        <w:rPr>
          <w:rFonts w:eastAsia="Times New Roman"/>
          <w:i/>
          <w:color w:val="000000"/>
          <w:sz w:val="18"/>
          <w:szCs w:val="18"/>
        </w:rPr>
      </w:pPr>
      <w:r w:rsidRPr="00E43939">
        <w:rPr>
          <w:i/>
          <w:color w:val="000000"/>
          <w:sz w:val="18"/>
        </w:rPr>
        <w:t>(iii)</w:t>
      </w:r>
      <w:r w:rsidRPr="00E43939">
        <w:rPr>
          <w:i/>
          <w:color w:val="000000"/>
          <w:sz w:val="18"/>
        </w:rPr>
        <w:tab/>
        <w:t>ορισμένων συμβάσεων πελατών που περιέχουν δεσμεύσεις σταθερών τιμών και έχουν ως αποτέλεσμα την έκθεση σε μεταβολές των τιμών των μετάλλων για το χρονικό διάστημα από τη στιγμή που ορίζεται η τιμή πώλησης έως τη στιγμή της πραγματικής πώλησης.</w:t>
      </w:r>
    </w:p>
    <w:p w14:paraId="232E8C12" w14:textId="77777777" w:rsidR="00AA0DAB" w:rsidRPr="00FE3CBF" w:rsidRDefault="00AA0DAB" w:rsidP="00AA0DAB">
      <w:pPr>
        <w:spacing w:after="120" w:line="240" w:lineRule="auto"/>
        <w:ind w:left="284"/>
        <w:contextualSpacing/>
        <w:jc w:val="both"/>
        <w:rPr>
          <w:rFonts w:eastAsia="Times New Roman"/>
          <w:i/>
          <w:color w:val="000000"/>
          <w:sz w:val="17"/>
          <w:szCs w:val="17"/>
          <w:lang w:eastAsia="el-GR"/>
        </w:rPr>
      </w:pPr>
      <w:r w:rsidRPr="00E43939">
        <w:rPr>
          <w:i/>
          <w:color w:val="000000"/>
          <w:sz w:val="18"/>
        </w:rPr>
        <w:t>Οι θυγατρικές του κλάδου καλωδίων χρησιμοποιούν παράλληλη αντιστοίχιση των αγορών και των πωλήσεων, ή παράγωγα μέσα, προκειμένου να ελαχιστοποιηθεί η επίδραση της υστέρησης τιμής μετάλλων στα αποτελέσματά τους. Ωστόσο, θα υπάρχει πάντα κάποια επίδραση (θετική ή αρνητική) στα αποτελέσματα, δεδομένου ότι στον κλάδο καλωδίων μέρος των αποθεμάτων αντιμετωπίζεται ως πάγιο ενεργητικό και δεν αντισταθμίζεται. Στον κλάδο των σωλήνων χάλυβα δεν είναι δυνατή η αντιστάθμιση εμπορευμάτων.</w:t>
      </w:r>
    </w:p>
    <w:p w14:paraId="3A9B908E" w14:textId="77777777" w:rsidR="00AA0DAB" w:rsidRPr="006619D8" w:rsidRDefault="00AA0DAB" w:rsidP="001250C2">
      <w:pPr>
        <w:spacing w:after="0"/>
        <w:ind w:left="284"/>
        <w:jc w:val="both"/>
        <w:rPr>
          <w:i/>
          <w:color w:val="000000"/>
          <w:sz w:val="18"/>
        </w:rPr>
      </w:pPr>
    </w:p>
    <w:p w14:paraId="405DD9F6" w14:textId="7C8ACCCE" w:rsidR="00D43E9A" w:rsidRDefault="00D43E9A">
      <w:pPr>
        <w:spacing w:after="0" w:line="240" w:lineRule="auto"/>
        <w:rPr>
          <w:rFonts w:eastAsia="Times New Roman"/>
          <w:i/>
          <w:color w:val="000000"/>
          <w:sz w:val="17"/>
          <w:szCs w:val="17"/>
          <w:lang w:eastAsia="el-GR"/>
        </w:rPr>
      </w:pPr>
    </w:p>
    <w:p w14:paraId="6769CDE4" w14:textId="77777777" w:rsidR="002522B6" w:rsidRDefault="002522B6">
      <w:pPr>
        <w:spacing w:after="0" w:line="240" w:lineRule="auto"/>
        <w:rPr>
          <w:rFonts w:eastAsia="Times New Roman"/>
          <w:i/>
          <w:color w:val="000000"/>
          <w:sz w:val="17"/>
          <w:szCs w:val="17"/>
          <w:lang w:eastAsia="el-GR"/>
        </w:rPr>
      </w:pPr>
    </w:p>
    <w:p w14:paraId="3C56E014" w14:textId="77777777" w:rsidR="002522B6" w:rsidRDefault="002522B6">
      <w:pPr>
        <w:spacing w:after="0" w:line="240" w:lineRule="auto"/>
        <w:rPr>
          <w:rFonts w:eastAsia="Times New Roman"/>
          <w:i/>
          <w:color w:val="000000"/>
          <w:sz w:val="17"/>
          <w:szCs w:val="17"/>
          <w:lang w:eastAsia="el-GR"/>
        </w:rPr>
      </w:pPr>
    </w:p>
    <w:p w14:paraId="6EE083FE" w14:textId="77777777" w:rsidR="002522B6" w:rsidRDefault="002522B6">
      <w:pPr>
        <w:spacing w:after="0" w:line="240" w:lineRule="auto"/>
        <w:rPr>
          <w:rFonts w:eastAsia="Times New Roman"/>
          <w:i/>
          <w:color w:val="000000"/>
          <w:sz w:val="17"/>
          <w:szCs w:val="17"/>
          <w:lang w:eastAsia="el-GR"/>
        </w:rPr>
      </w:pPr>
    </w:p>
    <w:p w14:paraId="1CD047A8" w14:textId="77777777" w:rsidR="002522B6" w:rsidRDefault="002522B6">
      <w:pPr>
        <w:spacing w:after="0" w:line="240" w:lineRule="auto"/>
        <w:rPr>
          <w:rFonts w:eastAsia="Times New Roman"/>
          <w:i/>
          <w:color w:val="000000"/>
          <w:sz w:val="17"/>
          <w:szCs w:val="17"/>
          <w:lang w:eastAsia="el-GR"/>
        </w:rPr>
      </w:pPr>
    </w:p>
    <w:p w14:paraId="75E9F6D1" w14:textId="77777777" w:rsidR="002522B6" w:rsidRPr="001250C2" w:rsidRDefault="002522B6">
      <w:pPr>
        <w:spacing w:after="0" w:line="240" w:lineRule="auto"/>
        <w:rPr>
          <w:rFonts w:eastAsia="Times New Roman"/>
          <w:i/>
          <w:color w:val="000000"/>
          <w:sz w:val="17"/>
          <w:szCs w:val="17"/>
          <w:lang w:eastAsia="el-GR"/>
        </w:rPr>
      </w:pPr>
    </w:p>
    <w:p w14:paraId="127D0CBE" w14:textId="77777777" w:rsidR="002522B6" w:rsidRPr="009259F9" w:rsidRDefault="002522B6" w:rsidP="002522B6">
      <w:pPr>
        <w:spacing w:after="120" w:line="240" w:lineRule="auto"/>
        <w:rPr>
          <w:rFonts w:cs="Calibri"/>
          <w:sz w:val="20"/>
          <w:szCs w:val="20"/>
          <w:lang w:val="en-GB" w:eastAsia="x-none"/>
        </w:rPr>
      </w:pPr>
      <w:r>
        <w:rPr>
          <w:rFonts w:cs="Calibri"/>
          <w:b/>
          <w:sz w:val="20"/>
          <w:szCs w:val="20"/>
          <w:u w:val="single"/>
          <w:lang w:eastAsia="x-none"/>
        </w:rPr>
        <w:t>Καθαρός δανεισμός</w:t>
      </w:r>
      <w:r w:rsidRPr="009259F9">
        <w:rPr>
          <w:rFonts w:cs="Calibri"/>
          <w:b/>
          <w:sz w:val="20"/>
          <w:szCs w:val="20"/>
          <w:u w:val="single"/>
          <w:lang w:val="en-GB" w:eastAsia="x-none"/>
        </w:rPr>
        <w:t>:</w:t>
      </w:r>
    </w:p>
    <w:tbl>
      <w:tblPr>
        <w:tblW w:w="10443"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blBorders>
        <w:tblLayout w:type="fixed"/>
        <w:tblLook w:val="04A0" w:firstRow="1" w:lastRow="0" w:firstColumn="1" w:lastColumn="0" w:noHBand="0" w:noVBand="1"/>
      </w:tblPr>
      <w:tblGrid>
        <w:gridCol w:w="2788"/>
        <w:gridCol w:w="956"/>
        <w:gridCol w:w="957"/>
        <w:gridCol w:w="957"/>
        <w:gridCol w:w="957"/>
        <w:gridCol w:w="957"/>
        <w:gridCol w:w="957"/>
        <w:gridCol w:w="957"/>
        <w:gridCol w:w="957"/>
      </w:tblGrid>
      <w:tr w:rsidR="002522B6" w:rsidRPr="008414D9" w14:paraId="71BA012E" w14:textId="77777777" w:rsidTr="00842565">
        <w:trPr>
          <w:trHeight w:val="300"/>
        </w:trPr>
        <w:tc>
          <w:tcPr>
            <w:tcW w:w="2788" w:type="dxa"/>
            <w:shd w:val="clear" w:color="auto" w:fill="476C2E"/>
            <w:noWrap/>
            <w:vAlign w:val="center"/>
            <w:hideMark/>
          </w:tcPr>
          <w:p w14:paraId="38882F5D" w14:textId="77777777" w:rsidR="002522B6" w:rsidRPr="008414D9" w:rsidRDefault="002522B6" w:rsidP="002522B6">
            <w:pPr>
              <w:spacing w:after="120" w:line="240" w:lineRule="auto"/>
              <w:jc w:val="both"/>
              <w:rPr>
                <w:rFonts w:eastAsia="Times New Roman"/>
                <w:b/>
                <w:bCs/>
                <w:color w:val="FFFFFF"/>
                <w:sz w:val="20"/>
                <w:szCs w:val="20"/>
                <w:lang w:val="en-GB" w:eastAsia="el-GR"/>
              </w:rPr>
            </w:pPr>
            <w:r w:rsidRPr="008414D9">
              <w:rPr>
                <w:rFonts w:eastAsia="Times New Roman"/>
                <w:b/>
                <w:bCs/>
                <w:color w:val="FFFFFF"/>
                <w:sz w:val="20"/>
                <w:szCs w:val="20"/>
                <w:lang w:val="en-GB" w:eastAsia="el-GR"/>
              </w:rPr>
              <w:t> </w:t>
            </w:r>
          </w:p>
        </w:tc>
        <w:tc>
          <w:tcPr>
            <w:tcW w:w="1913" w:type="dxa"/>
            <w:gridSpan w:val="2"/>
            <w:shd w:val="clear" w:color="auto" w:fill="476C2E"/>
            <w:noWrap/>
            <w:vAlign w:val="center"/>
            <w:hideMark/>
          </w:tcPr>
          <w:p w14:paraId="5B8DCA1E" w14:textId="36CB8C46" w:rsidR="002522B6" w:rsidRPr="008414D9" w:rsidRDefault="002522B6" w:rsidP="002522B6">
            <w:pPr>
              <w:spacing w:after="120" w:line="240" w:lineRule="auto"/>
              <w:jc w:val="center"/>
              <w:rPr>
                <w:rFonts w:eastAsia="Times New Roman"/>
                <w:b/>
                <w:bCs/>
                <w:color w:val="FFFFFF"/>
                <w:sz w:val="20"/>
                <w:szCs w:val="20"/>
                <w:u w:val="single"/>
                <w:lang w:val="en-GB" w:eastAsia="el-GR"/>
              </w:rPr>
            </w:pPr>
            <w:r w:rsidRPr="00A46933">
              <w:rPr>
                <w:b/>
                <w:color w:val="FFFFFF"/>
                <w:sz w:val="20"/>
                <w:u w:val="single"/>
              </w:rPr>
              <w:t>Καλώδια</w:t>
            </w:r>
          </w:p>
        </w:tc>
        <w:tc>
          <w:tcPr>
            <w:tcW w:w="1914" w:type="dxa"/>
            <w:gridSpan w:val="2"/>
            <w:shd w:val="clear" w:color="auto" w:fill="476C2E"/>
            <w:noWrap/>
            <w:vAlign w:val="center"/>
            <w:hideMark/>
          </w:tcPr>
          <w:p w14:paraId="698FB7BD" w14:textId="2AFEC05A" w:rsidR="002522B6" w:rsidRPr="008414D9" w:rsidRDefault="002522B6" w:rsidP="002522B6">
            <w:pPr>
              <w:spacing w:after="120" w:line="240" w:lineRule="auto"/>
              <w:jc w:val="center"/>
              <w:rPr>
                <w:rFonts w:eastAsia="Times New Roman"/>
                <w:b/>
                <w:bCs/>
                <w:color w:val="FFFFFF"/>
                <w:sz w:val="20"/>
                <w:szCs w:val="20"/>
                <w:u w:val="single"/>
                <w:lang w:val="en-GB" w:eastAsia="el-GR"/>
              </w:rPr>
            </w:pPr>
            <w:r w:rsidRPr="00A46933">
              <w:rPr>
                <w:b/>
                <w:color w:val="FFFFFF"/>
                <w:sz w:val="20"/>
                <w:u w:val="single"/>
              </w:rPr>
              <w:t>Σωλήνες χάλυβα</w:t>
            </w:r>
          </w:p>
        </w:tc>
        <w:tc>
          <w:tcPr>
            <w:tcW w:w="1914" w:type="dxa"/>
            <w:gridSpan w:val="2"/>
            <w:shd w:val="clear" w:color="auto" w:fill="476C2E"/>
            <w:noWrap/>
            <w:vAlign w:val="center"/>
            <w:hideMark/>
          </w:tcPr>
          <w:p w14:paraId="4988BB81" w14:textId="6DA96C13" w:rsidR="002522B6" w:rsidRPr="008414D9" w:rsidRDefault="002522B6" w:rsidP="002522B6">
            <w:pPr>
              <w:spacing w:after="120" w:line="240" w:lineRule="auto"/>
              <w:jc w:val="center"/>
              <w:rPr>
                <w:rFonts w:eastAsia="Times New Roman"/>
                <w:b/>
                <w:bCs/>
                <w:color w:val="FFFFFF"/>
                <w:sz w:val="20"/>
                <w:szCs w:val="20"/>
                <w:u w:val="single"/>
                <w:lang w:val="en-GB" w:eastAsia="el-GR"/>
              </w:rPr>
            </w:pPr>
            <w:r w:rsidRPr="00A46933">
              <w:rPr>
                <w:b/>
                <w:color w:val="FFFFFF"/>
                <w:sz w:val="20"/>
                <w:u w:val="single"/>
              </w:rPr>
              <w:t>Λοιπές δραστηριότητες</w:t>
            </w:r>
          </w:p>
        </w:tc>
        <w:tc>
          <w:tcPr>
            <w:tcW w:w="1914" w:type="dxa"/>
            <w:gridSpan w:val="2"/>
            <w:shd w:val="clear" w:color="auto" w:fill="476C2E"/>
            <w:noWrap/>
            <w:vAlign w:val="center"/>
            <w:hideMark/>
          </w:tcPr>
          <w:p w14:paraId="1D8E28A5" w14:textId="0B1E31E7" w:rsidR="002522B6" w:rsidRPr="008414D9" w:rsidRDefault="002522B6" w:rsidP="002522B6">
            <w:pPr>
              <w:spacing w:after="120" w:line="240" w:lineRule="auto"/>
              <w:jc w:val="center"/>
              <w:rPr>
                <w:rFonts w:eastAsia="Times New Roman"/>
                <w:b/>
                <w:bCs/>
                <w:color w:val="FFFFFF"/>
                <w:sz w:val="20"/>
                <w:szCs w:val="20"/>
                <w:lang w:val="en-GB" w:eastAsia="el-GR"/>
              </w:rPr>
            </w:pPr>
            <w:r w:rsidRPr="00A46933">
              <w:rPr>
                <w:b/>
                <w:color w:val="FFFFFF"/>
                <w:sz w:val="20"/>
                <w:u w:val="single"/>
              </w:rPr>
              <w:t>Σύνολο</w:t>
            </w:r>
          </w:p>
        </w:tc>
      </w:tr>
      <w:tr w:rsidR="002522B6" w:rsidRPr="008414D9" w14:paraId="5D40007C" w14:textId="77777777" w:rsidTr="00842565">
        <w:trPr>
          <w:trHeight w:val="300"/>
        </w:trPr>
        <w:tc>
          <w:tcPr>
            <w:tcW w:w="2788" w:type="dxa"/>
            <w:shd w:val="clear" w:color="auto" w:fill="476C2E"/>
            <w:noWrap/>
            <w:vAlign w:val="center"/>
            <w:hideMark/>
          </w:tcPr>
          <w:p w14:paraId="07CC273E" w14:textId="35850F3A" w:rsidR="002522B6" w:rsidRPr="008414D9" w:rsidRDefault="002522B6" w:rsidP="002522B6">
            <w:pPr>
              <w:spacing w:after="120" w:line="240" w:lineRule="auto"/>
              <w:jc w:val="both"/>
              <w:rPr>
                <w:rFonts w:eastAsia="Times New Roman"/>
                <w:b/>
                <w:bCs/>
                <w:color w:val="FFFFFF"/>
                <w:sz w:val="20"/>
                <w:szCs w:val="20"/>
                <w:lang w:val="en-GB" w:eastAsia="el-GR"/>
              </w:rPr>
            </w:pPr>
            <w:r w:rsidRPr="00A46933">
              <w:rPr>
                <w:b/>
                <w:color w:val="FFFFFF"/>
                <w:sz w:val="20"/>
              </w:rPr>
              <w:t>Ποσά σε χιλιάδες ευρώ</w:t>
            </w:r>
          </w:p>
        </w:tc>
        <w:tc>
          <w:tcPr>
            <w:tcW w:w="956" w:type="dxa"/>
            <w:tcBorders>
              <w:bottom w:val="nil"/>
            </w:tcBorders>
            <w:shd w:val="clear" w:color="auto" w:fill="476C2E"/>
            <w:noWrap/>
            <w:vAlign w:val="center"/>
          </w:tcPr>
          <w:p w14:paraId="3E0A2DCC" w14:textId="0A553D3F" w:rsidR="002522B6" w:rsidRPr="008414D9" w:rsidRDefault="002522B6" w:rsidP="002522B6">
            <w:pPr>
              <w:spacing w:after="120" w:line="240" w:lineRule="auto"/>
              <w:jc w:val="right"/>
              <w:rPr>
                <w:rFonts w:cs="Arial"/>
                <w:b/>
                <w:bCs/>
                <w:color w:val="FFFFFF"/>
                <w:sz w:val="20"/>
                <w:szCs w:val="20"/>
                <w:lang w:val="en-GB"/>
              </w:rPr>
            </w:pPr>
            <w:r>
              <w:rPr>
                <w:rFonts w:cs="Arial"/>
                <w:b/>
                <w:bCs/>
                <w:color w:val="FFFFFF"/>
                <w:sz w:val="20"/>
                <w:szCs w:val="20"/>
                <w:lang w:val="en-GB"/>
              </w:rPr>
              <w:t>30</w:t>
            </w:r>
            <w:r w:rsidRPr="009259F9">
              <w:rPr>
                <w:rFonts w:cs="Arial"/>
                <w:b/>
                <w:bCs/>
                <w:color w:val="FFFFFF"/>
                <w:sz w:val="20"/>
                <w:szCs w:val="20"/>
                <w:lang w:val="en-GB"/>
              </w:rPr>
              <w:t xml:space="preserve"> </w:t>
            </w:r>
            <w:r>
              <w:rPr>
                <w:rFonts w:cs="Arial"/>
                <w:b/>
                <w:bCs/>
                <w:color w:val="FFFFFF"/>
                <w:sz w:val="20"/>
                <w:szCs w:val="20"/>
              </w:rPr>
              <w:t>Ιουν</w:t>
            </w:r>
            <w:r w:rsidRPr="009259F9">
              <w:rPr>
                <w:rFonts w:cs="Arial"/>
                <w:b/>
                <w:bCs/>
                <w:color w:val="FFFFFF"/>
                <w:sz w:val="20"/>
                <w:szCs w:val="20"/>
                <w:lang w:val="en-GB"/>
              </w:rPr>
              <w:t xml:space="preserve"> 20</w:t>
            </w:r>
            <w:r>
              <w:rPr>
                <w:rFonts w:cs="Arial"/>
                <w:b/>
                <w:bCs/>
                <w:color w:val="FFFFFF"/>
                <w:sz w:val="20"/>
                <w:szCs w:val="20"/>
                <w:lang w:val="en-GB"/>
              </w:rPr>
              <w:t>2</w:t>
            </w:r>
            <w:r>
              <w:rPr>
                <w:rFonts w:cs="Arial"/>
                <w:b/>
                <w:bCs/>
                <w:color w:val="FFFFFF"/>
                <w:sz w:val="20"/>
                <w:szCs w:val="20"/>
              </w:rPr>
              <w:t>4</w:t>
            </w:r>
          </w:p>
        </w:tc>
        <w:tc>
          <w:tcPr>
            <w:tcW w:w="957" w:type="dxa"/>
            <w:tcBorders>
              <w:bottom w:val="nil"/>
            </w:tcBorders>
            <w:shd w:val="clear" w:color="auto" w:fill="476C2E"/>
            <w:noWrap/>
            <w:vAlign w:val="center"/>
            <w:hideMark/>
          </w:tcPr>
          <w:p w14:paraId="278BAE66" w14:textId="488DC4CE" w:rsidR="002522B6" w:rsidRPr="008414D9" w:rsidRDefault="002522B6" w:rsidP="002522B6">
            <w:pPr>
              <w:spacing w:after="120" w:line="240" w:lineRule="auto"/>
              <w:jc w:val="right"/>
              <w:rPr>
                <w:rFonts w:cs="Arial"/>
                <w:b/>
                <w:bCs/>
                <w:color w:val="FFFFFF"/>
                <w:sz w:val="20"/>
                <w:szCs w:val="20"/>
                <w:lang w:val="en-GB"/>
              </w:rPr>
            </w:pPr>
            <w:r w:rsidRPr="009259F9">
              <w:rPr>
                <w:rFonts w:cs="Arial"/>
                <w:b/>
                <w:bCs/>
                <w:color w:val="FFFFFF"/>
                <w:sz w:val="20"/>
                <w:szCs w:val="20"/>
                <w:lang w:val="en-GB"/>
              </w:rPr>
              <w:t xml:space="preserve">31 </w:t>
            </w:r>
            <w:r>
              <w:rPr>
                <w:rFonts w:cs="Arial"/>
                <w:b/>
                <w:bCs/>
                <w:color w:val="FFFFFF"/>
                <w:sz w:val="20"/>
                <w:szCs w:val="20"/>
              </w:rPr>
              <w:t>Δεκ</w:t>
            </w:r>
            <w:r w:rsidRPr="009259F9">
              <w:rPr>
                <w:rFonts w:cs="Arial"/>
                <w:b/>
                <w:bCs/>
                <w:color w:val="FFFFFF"/>
                <w:sz w:val="20"/>
                <w:szCs w:val="20"/>
                <w:lang w:val="en-GB"/>
              </w:rPr>
              <w:t xml:space="preserve"> 20</w:t>
            </w:r>
            <w:r>
              <w:rPr>
                <w:rFonts w:cs="Arial"/>
                <w:b/>
                <w:bCs/>
                <w:color w:val="FFFFFF"/>
                <w:sz w:val="20"/>
                <w:szCs w:val="20"/>
                <w:lang w:val="en-GB"/>
              </w:rPr>
              <w:t>2</w:t>
            </w:r>
            <w:r>
              <w:rPr>
                <w:rFonts w:cs="Arial"/>
                <w:b/>
                <w:bCs/>
                <w:color w:val="FFFFFF"/>
                <w:sz w:val="20"/>
                <w:szCs w:val="20"/>
              </w:rPr>
              <w:t>3</w:t>
            </w:r>
          </w:p>
        </w:tc>
        <w:tc>
          <w:tcPr>
            <w:tcW w:w="957" w:type="dxa"/>
            <w:shd w:val="clear" w:color="auto" w:fill="476C2E"/>
            <w:noWrap/>
            <w:vAlign w:val="center"/>
          </w:tcPr>
          <w:p w14:paraId="34AE36E1" w14:textId="346C6C2B" w:rsidR="002522B6" w:rsidRPr="008414D9" w:rsidRDefault="002522B6" w:rsidP="002522B6">
            <w:pPr>
              <w:spacing w:after="120" w:line="240" w:lineRule="auto"/>
              <w:jc w:val="right"/>
              <w:rPr>
                <w:rFonts w:cs="Arial"/>
                <w:b/>
                <w:bCs/>
                <w:color w:val="FFFFFF"/>
                <w:sz w:val="20"/>
                <w:szCs w:val="20"/>
                <w:lang w:val="en-GB"/>
              </w:rPr>
            </w:pPr>
            <w:r>
              <w:rPr>
                <w:rFonts w:cs="Arial"/>
                <w:b/>
                <w:bCs/>
                <w:color w:val="FFFFFF"/>
                <w:sz w:val="20"/>
                <w:szCs w:val="20"/>
                <w:lang w:val="en-GB"/>
              </w:rPr>
              <w:t>30</w:t>
            </w:r>
            <w:r w:rsidRPr="009259F9">
              <w:rPr>
                <w:rFonts w:cs="Arial"/>
                <w:b/>
                <w:bCs/>
                <w:color w:val="FFFFFF"/>
                <w:sz w:val="20"/>
                <w:szCs w:val="20"/>
                <w:lang w:val="en-GB"/>
              </w:rPr>
              <w:t xml:space="preserve"> </w:t>
            </w:r>
            <w:r>
              <w:rPr>
                <w:rFonts w:cs="Arial"/>
                <w:b/>
                <w:bCs/>
                <w:color w:val="FFFFFF"/>
                <w:sz w:val="20"/>
                <w:szCs w:val="20"/>
              </w:rPr>
              <w:t>Ιουν</w:t>
            </w:r>
            <w:r w:rsidRPr="009259F9">
              <w:rPr>
                <w:rFonts w:cs="Arial"/>
                <w:b/>
                <w:bCs/>
                <w:color w:val="FFFFFF"/>
                <w:sz w:val="20"/>
                <w:szCs w:val="20"/>
                <w:lang w:val="en-GB"/>
              </w:rPr>
              <w:t xml:space="preserve"> 20</w:t>
            </w:r>
            <w:r>
              <w:rPr>
                <w:rFonts w:cs="Arial"/>
                <w:b/>
                <w:bCs/>
                <w:color w:val="FFFFFF"/>
                <w:sz w:val="20"/>
                <w:szCs w:val="20"/>
                <w:lang w:val="en-GB"/>
              </w:rPr>
              <w:t>2</w:t>
            </w:r>
            <w:r>
              <w:rPr>
                <w:rFonts w:cs="Arial"/>
                <w:b/>
                <w:bCs/>
                <w:color w:val="FFFFFF"/>
                <w:sz w:val="20"/>
                <w:szCs w:val="20"/>
              </w:rPr>
              <w:t>4</w:t>
            </w:r>
          </w:p>
        </w:tc>
        <w:tc>
          <w:tcPr>
            <w:tcW w:w="957" w:type="dxa"/>
            <w:shd w:val="clear" w:color="auto" w:fill="476C2E"/>
            <w:noWrap/>
            <w:vAlign w:val="center"/>
            <w:hideMark/>
          </w:tcPr>
          <w:p w14:paraId="1A7C1594" w14:textId="14034F5E" w:rsidR="002522B6" w:rsidRPr="008414D9" w:rsidRDefault="002522B6" w:rsidP="002522B6">
            <w:pPr>
              <w:spacing w:after="120" w:line="240" w:lineRule="auto"/>
              <w:jc w:val="right"/>
              <w:rPr>
                <w:rFonts w:cs="Arial"/>
                <w:b/>
                <w:bCs/>
                <w:color w:val="FFFFFF"/>
                <w:sz w:val="20"/>
                <w:szCs w:val="20"/>
                <w:lang w:val="en-GB"/>
              </w:rPr>
            </w:pPr>
            <w:r w:rsidRPr="009259F9">
              <w:rPr>
                <w:rFonts w:cs="Arial"/>
                <w:b/>
                <w:bCs/>
                <w:color w:val="FFFFFF"/>
                <w:sz w:val="20"/>
                <w:szCs w:val="20"/>
                <w:lang w:val="en-GB"/>
              </w:rPr>
              <w:t xml:space="preserve">31 </w:t>
            </w:r>
            <w:r>
              <w:rPr>
                <w:rFonts w:cs="Arial"/>
                <w:b/>
                <w:bCs/>
                <w:color w:val="FFFFFF"/>
                <w:sz w:val="20"/>
                <w:szCs w:val="20"/>
              </w:rPr>
              <w:t>Δεκ</w:t>
            </w:r>
            <w:r w:rsidRPr="009259F9">
              <w:rPr>
                <w:rFonts w:cs="Arial"/>
                <w:b/>
                <w:bCs/>
                <w:color w:val="FFFFFF"/>
                <w:sz w:val="20"/>
                <w:szCs w:val="20"/>
                <w:lang w:val="en-GB"/>
              </w:rPr>
              <w:t xml:space="preserve"> 20</w:t>
            </w:r>
            <w:r>
              <w:rPr>
                <w:rFonts w:cs="Arial"/>
                <w:b/>
                <w:bCs/>
                <w:color w:val="FFFFFF"/>
                <w:sz w:val="20"/>
                <w:szCs w:val="20"/>
                <w:lang w:val="en-GB"/>
              </w:rPr>
              <w:t>2</w:t>
            </w:r>
            <w:r>
              <w:rPr>
                <w:rFonts w:cs="Arial"/>
                <w:b/>
                <w:bCs/>
                <w:color w:val="FFFFFF"/>
                <w:sz w:val="20"/>
                <w:szCs w:val="20"/>
              </w:rPr>
              <w:t>3</w:t>
            </w:r>
          </w:p>
        </w:tc>
        <w:tc>
          <w:tcPr>
            <w:tcW w:w="957" w:type="dxa"/>
            <w:tcBorders>
              <w:bottom w:val="nil"/>
            </w:tcBorders>
            <w:shd w:val="clear" w:color="auto" w:fill="476C2E"/>
            <w:noWrap/>
            <w:vAlign w:val="center"/>
          </w:tcPr>
          <w:p w14:paraId="25549F51" w14:textId="036ADFA4" w:rsidR="002522B6" w:rsidRPr="008414D9" w:rsidRDefault="002522B6" w:rsidP="002522B6">
            <w:pPr>
              <w:spacing w:after="120" w:line="240" w:lineRule="auto"/>
              <w:jc w:val="right"/>
              <w:rPr>
                <w:rFonts w:cs="Arial"/>
                <w:b/>
                <w:bCs/>
                <w:color w:val="FFFFFF"/>
                <w:sz w:val="20"/>
                <w:szCs w:val="20"/>
                <w:lang w:val="en-GB"/>
              </w:rPr>
            </w:pPr>
            <w:r>
              <w:rPr>
                <w:rFonts w:cs="Arial"/>
                <w:b/>
                <w:bCs/>
                <w:color w:val="FFFFFF"/>
                <w:sz w:val="20"/>
                <w:szCs w:val="20"/>
                <w:lang w:val="en-GB"/>
              </w:rPr>
              <w:t>30</w:t>
            </w:r>
            <w:r w:rsidRPr="009259F9">
              <w:rPr>
                <w:rFonts w:cs="Arial"/>
                <w:b/>
                <w:bCs/>
                <w:color w:val="FFFFFF"/>
                <w:sz w:val="20"/>
                <w:szCs w:val="20"/>
                <w:lang w:val="en-GB"/>
              </w:rPr>
              <w:t xml:space="preserve"> </w:t>
            </w:r>
            <w:r>
              <w:rPr>
                <w:rFonts w:cs="Arial"/>
                <w:b/>
                <w:bCs/>
                <w:color w:val="FFFFFF"/>
                <w:sz w:val="20"/>
                <w:szCs w:val="20"/>
              </w:rPr>
              <w:t>Ιουν</w:t>
            </w:r>
            <w:r w:rsidRPr="009259F9">
              <w:rPr>
                <w:rFonts w:cs="Arial"/>
                <w:b/>
                <w:bCs/>
                <w:color w:val="FFFFFF"/>
                <w:sz w:val="20"/>
                <w:szCs w:val="20"/>
                <w:lang w:val="en-GB"/>
              </w:rPr>
              <w:t xml:space="preserve"> 20</w:t>
            </w:r>
            <w:r>
              <w:rPr>
                <w:rFonts w:cs="Arial"/>
                <w:b/>
                <w:bCs/>
                <w:color w:val="FFFFFF"/>
                <w:sz w:val="20"/>
                <w:szCs w:val="20"/>
                <w:lang w:val="en-GB"/>
              </w:rPr>
              <w:t>2</w:t>
            </w:r>
            <w:r>
              <w:rPr>
                <w:rFonts w:cs="Arial"/>
                <w:b/>
                <w:bCs/>
                <w:color w:val="FFFFFF"/>
                <w:sz w:val="20"/>
                <w:szCs w:val="20"/>
              </w:rPr>
              <w:t>4</w:t>
            </w:r>
          </w:p>
        </w:tc>
        <w:tc>
          <w:tcPr>
            <w:tcW w:w="957" w:type="dxa"/>
            <w:tcBorders>
              <w:bottom w:val="nil"/>
            </w:tcBorders>
            <w:shd w:val="clear" w:color="auto" w:fill="476C2E"/>
            <w:noWrap/>
            <w:vAlign w:val="center"/>
            <w:hideMark/>
          </w:tcPr>
          <w:p w14:paraId="3A70A404" w14:textId="76A44D46" w:rsidR="002522B6" w:rsidRPr="008414D9" w:rsidRDefault="002522B6" w:rsidP="002522B6">
            <w:pPr>
              <w:spacing w:after="120" w:line="240" w:lineRule="auto"/>
              <w:jc w:val="right"/>
              <w:rPr>
                <w:rFonts w:cs="Arial"/>
                <w:b/>
                <w:bCs/>
                <w:color w:val="FFFFFF"/>
                <w:sz w:val="20"/>
                <w:szCs w:val="20"/>
                <w:lang w:val="en-GB"/>
              </w:rPr>
            </w:pPr>
            <w:r w:rsidRPr="009259F9">
              <w:rPr>
                <w:rFonts w:cs="Arial"/>
                <w:b/>
                <w:bCs/>
                <w:color w:val="FFFFFF"/>
                <w:sz w:val="20"/>
                <w:szCs w:val="20"/>
                <w:lang w:val="en-GB"/>
              </w:rPr>
              <w:t xml:space="preserve">31 </w:t>
            </w:r>
            <w:r>
              <w:rPr>
                <w:rFonts w:cs="Arial"/>
                <w:b/>
                <w:bCs/>
                <w:color w:val="FFFFFF"/>
                <w:sz w:val="20"/>
                <w:szCs w:val="20"/>
              </w:rPr>
              <w:t>Δεκ</w:t>
            </w:r>
            <w:r w:rsidRPr="009259F9">
              <w:rPr>
                <w:rFonts w:cs="Arial"/>
                <w:b/>
                <w:bCs/>
                <w:color w:val="FFFFFF"/>
                <w:sz w:val="20"/>
                <w:szCs w:val="20"/>
                <w:lang w:val="en-GB"/>
              </w:rPr>
              <w:t xml:space="preserve"> 20</w:t>
            </w:r>
            <w:r>
              <w:rPr>
                <w:rFonts w:cs="Arial"/>
                <w:b/>
                <w:bCs/>
                <w:color w:val="FFFFFF"/>
                <w:sz w:val="20"/>
                <w:szCs w:val="20"/>
                <w:lang w:val="en-GB"/>
              </w:rPr>
              <w:t>2</w:t>
            </w:r>
            <w:r>
              <w:rPr>
                <w:rFonts w:cs="Arial"/>
                <w:b/>
                <w:bCs/>
                <w:color w:val="FFFFFF"/>
                <w:sz w:val="20"/>
                <w:szCs w:val="20"/>
              </w:rPr>
              <w:t>3</w:t>
            </w:r>
          </w:p>
        </w:tc>
        <w:tc>
          <w:tcPr>
            <w:tcW w:w="957" w:type="dxa"/>
            <w:shd w:val="clear" w:color="auto" w:fill="476C2E"/>
            <w:noWrap/>
            <w:vAlign w:val="center"/>
            <w:hideMark/>
          </w:tcPr>
          <w:p w14:paraId="0E511322" w14:textId="35D7D2F2" w:rsidR="002522B6" w:rsidRPr="008414D9" w:rsidRDefault="002522B6" w:rsidP="002522B6">
            <w:pPr>
              <w:spacing w:after="120" w:line="240" w:lineRule="auto"/>
              <w:jc w:val="right"/>
              <w:rPr>
                <w:rFonts w:cs="Arial"/>
                <w:b/>
                <w:bCs/>
                <w:color w:val="FFFFFF"/>
                <w:sz w:val="20"/>
                <w:szCs w:val="20"/>
                <w:lang w:val="en-GB"/>
              </w:rPr>
            </w:pPr>
            <w:r>
              <w:rPr>
                <w:rFonts w:cs="Arial"/>
                <w:b/>
                <w:bCs/>
                <w:color w:val="FFFFFF"/>
                <w:sz w:val="20"/>
                <w:szCs w:val="20"/>
                <w:lang w:val="en-GB"/>
              </w:rPr>
              <w:t>30</w:t>
            </w:r>
            <w:r w:rsidRPr="009259F9">
              <w:rPr>
                <w:rFonts w:cs="Arial"/>
                <w:b/>
                <w:bCs/>
                <w:color w:val="FFFFFF"/>
                <w:sz w:val="20"/>
                <w:szCs w:val="20"/>
                <w:lang w:val="en-GB"/>
              </w:rPr>
              <w:t xml:space="preserve"> </w:t>
            </w:r>
            <w:r>
              <w:rPr>
                <w:rFonts w:cs="Arial"/>
                <w:b/>
                <w:bCs/>
                <w:color w:val="FFFFFF"/>
                <w:sz w:val="20"/>
                <w:szCs w:val="20"/>
              </w:rPr>
              <w:t>Ιουν</w:t>
            </w:r>
            <w:r w:rsidRPr="009259F9">
              <w:rPr>
                <w:rFonts w:cs="Arial"/>
                <w:b/>
                <w:bCs/>
                <w:color w:val="FFFFFF"/>
                <w:sz w:val="20"/>
                <w:szCs w:val="20"/>
                <w:lang w:val="en-GB"/>
              </w:rPr>
              <w:t xml:space="preserve"> 20</w:t>
            </w:r>
            <w:r>
              <w:rPr>
                <w:rFonts w:cs="Arial"/>
                <w:b/>
                <w:bCs/>
                <w:color w:val="FFFFFF"/>
                <w:sz w:val="20"/>
                <w:szCs w:val="20"/>
                <w:lang w:val="en-GB"/>
              </w:rPr>
              <w:t>2</w:t>
            </w:r>
            <w:r>
              <w:rPr>
                <w:rFonts w:cs="Arial"/>
                <w:b/>
                <w:bCs/>
                <w:color w:val="FFFFFF"/>
                <w:sz w:val="20"/>
                <w:szCs w:val="20"/>
              </w:rPr>
              <w:t>4</w:t>
            </w:r>
          </w:p>
        </w:tc>
        <w:tc>
          <w:tcPr>
            <w:tcW w:w="957" w:type="dxa"/>
            <w:shd w:val="clear" w:color="auto" w:fill="476C2E"/>
            <w:noWrap/>
            <w:vAlign w:val="center"/>
            <w:hideMark/>
          </w:tcPr>
          <w:p w14:paraId="5757C57C" w14:textId="0F013D7B" w:rsidR="002522B6" w:rsidRPr="008414D9" w:rsidRDefault="002522B6" w:rsidP="002522B6">
            <w:pPr>
              <w:spacing w:after="120" w:line="240" w:lineRule="auto"/>
              <w:jc w:val="right"/>
              <w:rPr>
                <w:rFonts w:cs="Arial"/>
                <w:b/>
                <w:bCs/>
                <w:color w:val="FFFFFF"/>
                <w:sz w:val="20"/>
                <w:szCs w:val="20"/>
                <w:lang w:val="en-GB"/>
              </w:rPr>
            </w:pPr>
            <w:r w:rsidRPr="009259F9">
              <w:rPr>
                <w:rFonts w:cs="Arial"/>
                <w:b/>
                <w:bCs/>
                <w:color w:val="FFFFFF"/>
                <w:sz w:val="20"/>
                <w:szCs w:val="20"/>
                <w:lang w:val="en-GB"/>
              </w:rPr>
              <w:t xml:space="preserve">31 </w:t>
            </w:r>
            <w:r>
              <w:rPr>
                <w:rFonts w:cs="Arial"/>
                <w:b/>
                <w:bCs/>
                <w:color w:val="FFFFFF"/>
                <w:sz w:val="20"/>
                <w:szCs w:val="20"/>
              </w:rPr>
              <w:t>Δεκ</w:t>
            </w:r>
            <w:r w:rsidRPr="009259F9">
              <w:rPr>
                <w:rFonts w:cs="Arial"/>
                <w:b/>
                <w:bCs/>
                <w:color w:val="FFFFFF"/>
                <w:sz w:val="20"/>
                <w:szCs w:val="20"/>
                <w:lang w:val="en-GB"/>
              </w:rPr>
              <w:t xml:space="preserve"> 20</w:t>
            </w:r>
            <w:r>
              <w:rPr>
                <w:rFonts w:cs="Arial"/>
                <w:b/>
                <w:bCs/>
                <w:color w:val="FFFFFF"/>
                <w:sz w:val="20"/>
                <w:szCs w:val="20"/>
                <w:lang w:val="en-GB"/>
              </w:rPr>
              <w:t>2</w:t>
            </w:r>
            <w:r>
              <w:rPr>
                <w:rFonts w:cs="Arial"/>
                <w:b/>
                <w:bCs/>
                <w:color w:val="FFFFFF"/>
                <w:sz w:val="20"/>
                <w:szCs w:val="20"/>
              </w:rPr>
              <w:t>3</w:t>
            </w:r>
          </w:p>
        </w:tc>
      </w:tr>
      <w:tr w:rsidR="002522B6" w:rsidRPr="008414D9" w14:paraId="0C709E53" w14:textId="77777777" w:rsidTr="004F59F4">
        <w:trPr>
          <w:trHeight w:val="375"/>
        </w:trPr>
        <w:tc>
          <w:tcPr>
            <w:tcW w:w="2788" w:type="dxa"/>
            <w:tcBorders>
              <w:right w:val="single" w:sz="4" w:space="0" w:color="385623" w:themeColor="accent6" w:themeShade="80"/>
            </w:tcBorders>
            <w:shd w:val="clear" w:color="auto" w:fill="auto"/>
            <w:noWrap/>
            <w:vAlign w:val="bottom"/>
            <w:hideMark/>
          </w:tcPr>
          <w:p w14:paraId="7B5F7819" w14:textId="3C08B30C" w:rsidR="002522B6" w:rsidRPr="002522B6" w:rsidRDefault="002522B6" w:rsidP="002522B6">
            <w:pPr>
              <w:spacing w:after="120" w:line="240" w:lineRule="auto"/>
              <w:rPr>
                <w:rFonts w:eastAsia="Times New Roman"/>
                <w:color w:val="000000"/>
                <w:sz w:val="18"/>
                <w:szCs w:val="18"/>
                <w:lang w:eastAsia="el-GR"/>
              </w:rPr>
            </w:pPr>
            <w:r w:rsidRPr="00AA6103">
              <w:rPr>
                <w:color w:val="000000"/>
                <w:sz w:val="18"/>
                <w:szCs w:val="18"/>
              </w:rPr>
              <w:t>Μακροπρόθεσμα δάνεια και υποχρεώσεις από μισθώσεις</w:t>
            </w:r>
          </w:p>
        </w:tc>
        <w:tc>
          <w:tcPr>
            <w:tcW w:w="956" w:type="dxa"/>
            <w:tcBorders>
              <w:top w:val="nil"/>
              <w:left w:val="single" w:sz="4" w:space="0" w:color="385623" w:themeColor="accent6" w:themeShade="80"/>
            </w:tcBorders>
            <w:shd w:val="clear" w:color="auto" w:fill="auto"/>
            <w:noWrap/>
            <w:vAlign w:val="center"/>
          </w:tcPr>
          <w:p w14:paraId="188F5C3B" w14:textId="26BC805B" w:rsidR="002522B6" w:rsidRPr="008414D9" w:rsidRDefault="002522B6" w:rsidP="002522B6">
            <w:pPr>
              <w:spacing w:after="120" w:line="240" w:lineRule="auto"/>
              <w:jc w:val="right"/>
              <w:rPr>
                <w:rFonts w:cs="Calibri"/>
                <w:color w:val="000000"/>
                <w:sz w:val="18"/>
                <w:szCs w:val="18"/>
                <w:lang w:val="en-GB"/>
              </w:rPr>
            </w:pPr>
            <w:r>
              <w:rPr>
                <w:rFonts w:cs="Calibri"/>
                <w:color w:val="000000"/>
                <w:sz w:val="18"/>
                <w:szCs w:val="18"/>
              </w:rPr>
              <w:t>242.192</w:t>
            </w:r>
          </w:p>
        </w:tc>
        <w:tc>
          <w:tcPr>
            <w:tcW w:w="957" w:type="dxa"/>
            <w:tcBorders>
              <w:top w:val="nil"/>
              <w:right w:val="single" w:sz="4" w:space="0" w:color="385623" w:themeColor="accent6" w:themeShade="80"/>
            </w:tcBorders>
            <w:shd w:val="clear" w:color="auto" w:fill="auto"/>
            <w:noWrap/>
            <w:vAlign w:val="center"/>
          </w:tcPr>
          <w:p w14:paraId="4ED214BB" w14:textId="5418F1C3" w:rsidR="002522B6" w:rsidRPr="008414D9" w:rsidRDefault="002522B6" w:rsidP="002522B6">
            <w:pPr>
              <w:spacing w:after="120" w:line="240" w:lineRule="auto"/>
              <w:jc w:val="right"/>
              <w:rPr>
                <w:rFonts w:cs="Calibri"/>
                <w:color w:val="000000"/>
                <w:sz w:val="18"/>
                <w:szCs w:val="18"/>
                <w:lang w:val="en-GB"/>
              </w:rPr>
            </w:pPr>
            <w:r>
              <w:rPr>
                <w:rFonts w:cs="Calibri"/>
                <w:color w:val="000000"/>
                <w:sz w:val="18"/>
                <w:szCs w:val="18"/>
              </w:rPr>
              <w:t>180.292</w:t>
            </w:r>
          </w:p>
        </w:tc>
        <w:tc>
          <w:tcPr>
            <w:tcW w:w="957" w:type="dxa"/>
            <w:tcBorders>
              <w:left w:val="single" w:sz="4" w:space="0" w:color="385623" w:themeColor="accent6" w:themeShade="80"/>
            </w:tcBorders>
            <w:shd w:val="clear" w:color="auto" w:fill="auto"/>
            <w:noWrap/>
            <w:vAlign w:val="center"/>
          </w:tcPr>
          <w:p w14:paraId="6C7226D8" w14:textId="7CA2B995" w:rsidR="002522B6" w:rsidRPr="008414D9" w:rsidRDefault="002522B6" w:rsidP="002522B6">
            <w:pPr>
              <w:spacing w:after="120" w:line="240" w:lineRule="auto"/>
              <w:jc w:val="right"/>
              <w:rPr>
                <w:rFonts w:cs="Calibri"/>
                <w:color w:val="000000"/>
                <w:sz w:val="18"/>
                <w:szCs w:val="18"/>
                <w:lang w:val="en-GB"/>
              </w:rPr>
            </w:pPr>
            <w:r>
              <w:rPr>
                <w:rFonts w:cs="Calibri"/>
                <w:color w:val="000000"/>
                <w:sz w:val="18"/>
                <w:szCs w:val="18"/>
              </w:rPr>
              <w:t>31.793</w:t>
            </w:r>
          </w:p>
        </w:tc>
        <w:tc>
          <w:tcPr>
            <w:tcW w:w="957" w:type="dxa"/>
            <w:tcBorders>
              <w:right w:val="single" w:sz="4" w:space="0" w:color="385623" w:themeColor="accent6" w:themeShade="80"/>
            </w:tcBorders>
            <w:shd w:val="clear" w:color="auto" w:fill="auto"/>
            <w:noWrap/>
            <w:vAlign w:val="center"/>
          </w:tcPr>
          <w:p w14:paraId="72490F4C" w14:textId="66C26129" w:rsidR="002522B6" w:rsidRPr="008414D9" w:rsidRDefault="002522B6" w:rsidP="002522B6">
            <w:pPr>
              <w:spacing w:after="120" w:line="240" w:lineRule="auto"/>
              <w:jc w:val="right"/>
              <w:rPr>
                <w:rFonts w:cs="Calibri"/>
                <w:color w:val="000000"/>
                <w:sz w:val="18"/>
                <w:szCs w:val="18"/>
                <w:lang w:val="en-GB"/>
              </w:rPr>
            </w:pPr>
            <w:r>
              <w:rPr>
                <w:rFonts w:cs="Calibri"/>
                <w:color w:val="000000"/>
                <w:sz w:val="18"/>
                <w:szCs w:val="18"/>
              </w:rPr>
              <w:t>34.353</w:t>
            </w:r>
          </w:p>
        </w:tc>
        <w:tc>
          <w:tcPr>
            <w:tcW w:w="957" w:type="dxa"/>
            <w:tcBorders>
              <w:top w:val="nil"/>
              <w:left w:val="single" w:sz="4" w:space="0" w:color="385623" w:themeColor="accent6" w:themeShade="80"/>
            </w:tcBorders>
            <w:shd w:val="clear" w:color="auto" w:fill="auto"/>
            <w:noWrap/>
            <w:vAlign w:val="center"/>
          </w:tcPr>
          <w:p w14:paraId="77DCC6EC" w14:textId="6C1B5C29" w:rsidR="002522B6" w:rsidRPr="008414D9" w:rsidRDefault="002522B6" w:rsidP="002522B6">
            <w:pPr>
              <w:spacing w:after="120" w:line="240" w:lineRule="auto"/>
              <w:jc w:val="right"/>
              <w:rPr>
                <w:rFonts w:cs="Calibri"/>
                <w:color w:val="000000"/>
                <w:sz w:val="18"/>
                <w:szCs w:val="18"/>
                <w:lang w:val="en-GB"/>
              </w:rPr>
            </w:pPr>
            <w:r>
              <w:rPr>
                <w:rFonts w:cs="Calibri"/>
                <w:color w:val="000000"/>
                <w:sz w:val="18"/>
                <w:szCs w:val="18"/>
              </w:rPr>
              <w:t>10</w:t>
            </w:r>
          </w:p>
        </w:tc>
        <w:tc>
          <w:tcPr>
            <w:tcW w:w="957" w:type="dxa"/>
            <w:tcBorders>
              <w:top w:val="nil"/>
              <w:right w:val="single" w:sz="4" w:space="0" w:color="385623" w:themeColor="accent6" w:themeShade="80"/>
            </w:tcBorders>
            <w:shd w:val="clear" w:color="auto" w:fill="auto"/>
            <w:noWrap/>
            <w:vAlign w:val="center"/>
          </w:tcPr>
          <w:p w14:paraId="6BC856B9" w14:textId="7C2774A9" w:rsidR="002522B6" w:rsidRPr="008414D9" w:rsidRDefault="002522B6" w:rsidP="002522B6">
            <w:pPr>
              <w:spacing w:after="120" w:line="240" w:lineRule="auto"/>
              <w:jc w:val="right"/>
              <w:rPr>
                <w:rFonts w:cs="Calibri"/>
                <w:color w:val="000000"/>
                <w:sz w:val="18"/>
                <w:szCs w:val="18"/>
                <w:lang w:val="en-GB"/>
              </w:rPr>
            </w:pPr>
            <w:r>
              <w:rPr>
                <w:rFonts w:cs="Calibri"/>
                <w:color w:val="000000"/>
                <w:sz w:val="18"/>
                <w:szCs w:val="18"/>
              </w:rPr>
              <w:t>13</w:t>
            </w:r>
          </w:p>
        </w:tc>
        <w:tc>
          <w:tcPr>
            <w:tcW w:w="957" w:type="dxa"/>
            <w:tcBorders>
              <w:left w:val="single" w:sz="4" w:space="0" w:color="385623" w:themeColor="accent6" w:themeShade="80"/>
            </w:tcBorders>
            <w:shd w:val="clear" w:color="auto" w:fill="auto"/>
            <w:noWrap/>
            <w:vAlign w:val="center"/>
          </w:tcPr>
          <w:p w14:paraId="7FB3F54F" w14:textId="7F691D73" w:rsidR="002522B6" w:rsidRPr="008414D9" w:rsidRDefault="002522B6" w:rsidP="002522B6">
            <w:pPr>
              <w:spacing w:after="120" w:line="240" w:lineRule="auto"/>
              <w:jc w:val="right"/>
              <w:rPr>
                <w:rFonts w:cs="Calibri"/>
                <w:color w:val="000000"/>
                <w:sz w:val="18"/>
                <w:szCs w:val="18"/>
                <w:lang w:val="en-GB"/>
              </w:rPr>
            </w:pPr>
            <w:r>
              <w:rPr>
                <w:rFonts w:cs="Calibri"/>
                <w:color w:val="000000"/>
                <w:sz w:val="18"/>
                <w:szCs w:val="18"/>
              </w:rPr>
              <w:t>273.995</w:t>
            </w:r>
          </w:p>
        </w:tc>
        <w:tc>
          <w:tcPr>
            <w:tcW w:w="957" w:type="dxa"/>
            <w:shd w:val="clear" w:color="auto" w:fill="auto"/>
            <w:noWrap/>
            <w:vAlign w:val="center"/>
          </w:tcPr>
          <w:p w14:paraId="35D6CC83" w14:textId="384849DC" w:rsidR="002522B6" w:rsidRPr="008414D9" w:rsidRDefault="002522B6" w:rsidP="002522B6">
            <w:pPr>
              <w:spacing w:after="120" w:line="240" w:lineRule="auto"/>
              <w:jc w:val="right"/>
              <w:rPr>
                <w:rFonts w:cs="Calibri"/>
                <w:color w:val="000000"/>
                <w:sz w:val="18"/>
                <w:szCs w:val="18"/>
                <w:lang w:val="en-GB"/>
              </w:rPr>
            </w:pPr>
            <w:r>
              <w:rPr>
                <w:rFonts w:cs="Calibri"/>
                <w:color w:val="000000"/>
                <w:sz w:val="18"/>
                <w:szCs w:val="18"/>
              </w:rPr>
              <w:t>214.658</w:t>
            </w:r>
          </w:p>
        </w:tc>
      </w:tr>
      <w:tr w:rsidR="002522B6" w:rsidRPr="008414D9" w14:paraId="772A1638" w14:textId="77777777" w:rsidTr="004F59F4">
        <w:trPr>
          <w:trHeight w:val="375"/>
        </w:trPr>
        <w:tc>
          <w:tcPr>
            <w:tcW w:w="2788" w:type="dxa"/>
            <w:tcBorders>
              <w:right w:val="single" w:sz="4" w:space="0" w:color="385623" w:themeColor="accent6" w:themeShade="80"/>
            </w:tcBorders>
            <w:shd w:val="clear" w:color="auto" w:fill="auto"/>
            <w:vAlign w:val="bottom"/>
            <w:hideMark/>
          </w:tcPr>
          <w:p w14:paraId="57769CBC" w14:textId="3814AE8E" w:rsidR="002522B6" w:rsidRPr="002522B6" w:rsidRDefault="002522B6" w:rsidP="002522B6">
            <w:pPr>
              <w:spacing w:after="120" w:line="240" w:lineRule="auto"/>
              <w:rPr>
                <w:rFonts w:eastAsia="Times New Roman"/>
                <w:color w:val="000000"/>
                <w:sz w:val="18"/>
                <w:szCs w:val="18"/>
                <w:lang w:eastAsia="el-GR"/>
              </w:rPr>
            </w:pPr>
            <w:r w:rsidRPr="00AA6103">
              <w:rPr>
                <w:color w:val="000000"/>
                <w:sz w:val="18"/>
                <w:szCs w:val="18"/>
              </w:rPr>
              <w:t>Βραχυπρόθεσμα δάνεια και υποχρεώσεις από μισθώσεις</w:t>
            </w:r>
          </w:p>
        </w:tc>
        <w:tc>
          <w:tcPr>
            <w:tcW w:w="956" w:type="dxa"/>
            <w:tcBorders>
              <w:left w:val="single" w:sz="4" w:space="0" w:color="385623" w:themeColor="accent6" w:themeShade="80"/>
            </w:tcBorders>
            <w:shd w:val="clear" w:color="auto" w:fill="auto"/>
            <w:noWrap/>
            <w:vAlign w:val="center"/>
          </w:tcPr>
          <w:p w14:paraId="7C67B62E" w14:textId="75B700BC" w:rsidR="002522B6" w:rsidRPr="008414D9" w:rsidRDefault="002522B6" w:rsidP="002522B6">
            <w:pPr>
              <w:spacing w:after="120" w:line="240" w:lineRule="auto"/>
              <w:jc w:val="right"/>
              <w:rPr>
                <w:rFonts w:cs="Calibri"/>
                <w:color w:val="000000"/>
                <w:sz w:val="18"/>
                <w:szCs w:val="18"/>
                <w:lang w:val="en-GB"/>
              </w:rPr>
            </w:pPr>
            <w:r>
              <w:rPr>
                <w:rFonts w:cs="Calibri"/>
                <w:color w:val="000000"/>
                <w:sz w:val="18"/>
                <w:szCs w:val="18"/>
              </w:rPr>
              <w:t>260.028</w:t>
            </w:r>
          </w:p>
        </w:tc>
        <w:tc>
          <w:tcPr>
            <w:tcW w:w="957" w:type="dxa"/>
            <w:tcBorders>
              <w:right w:val="single" w:sz="4" w:space="0" w:color="385623" w:themeColor="accent6" w:themeShade="80"/>
            </w:tcBorders>
            <w:shd w:val="clear" w:color="auto" w:fill="auto"/>
            <w:noWrap/>
            <w:vAlign w:val="center"/>
          </w:tcPr>
          <w:p w14:paraId="31C4F367" w14:textId="4EE16D3A" w:rsidR="002522B6" w:rsidRPr="008414D9" w:rsidRDefault="002522B6" w:rsidP="002522B6">
            <w:pPr>
              <w:spacing w:after="120" w:line="240" w:lineRule="auto"/>
              <w:jc w:val="right"/>
              <w:rPr>
                <w:rFonts w:cs="Calibri"/>
                <w:color w:val="000000"/>
                <w:sz w:val="18"/>
                <w:szCs w:val="18"/>
                <w:lang w:val="en-GB"/>
              </w:rPr>
            </w:pPr>
            <w:r>
              <w:rPr>
                <w:rFonts w:cs="Calibri"/>
                <w:color w:val="000000"/>
                <w:sz w:val="18"/>
                <w:szCs w:val="18"/>
              </w:rPr>
              <w:t>255.223</w:t>
            </w:r>
          </w:p>
        </w:tc>
        <w:tc>
          <w:tcPr>
            <w:tcW w:w="957" w:type="dxa"/>
            <w:tcBorders>
              <w:left w:val="single" w:sz="4" w:space="0" w:color="385623" w:themeColor="accent6" w:themeShade="80"/>
            </w:tcBorders>
            <w:shd w:val="clear" w:color="auto" w:fill="auto"/>
            <w:noWrap/>
            <w:vAlign w:val="center"/>
          </w:tcPr>
          <w:p w14:paraId="6BBA9773" w14:textId="380D72AA" w:rsidR="002522B6" w:rsidRPr="008414D9" w:rsidRDefault="002522B6" w:rsidP="002522B6">
            <w:pPr>
              <w:spacing w:after="120" w:line="240" w:lineRule="auto"/>
              <w:jc w:val="right"/>
              <w:rPr>
                <w:rFonts w:cs="Calibri"/>
                <w:color w:val="000000"/>
                <w:sz w:val="18"/>
                <w:szCs w:val="18"/>
                <w:lang w:val="en-GB"/>
              </w:rPr>
            </w:pPr>
            <w:r>
              <w:rPr>
                <w:rFonts w:cs="Calibri"/>
                <w:color w:val="000000"/>
                <w:sz w:val="18"/>
                <w:szCs w:val="18"/>
              </w:rPr>
              <w:t>115.749</w:t>
            </w:r>
          </w:p>
        </w:tc>
        <w:tc>
          <w:tcPr>
            <w:tcW w:w="957" w:type="dxa"/>
            <w:tcBorders>
              <w:right w:val="single" w:sz="4" w:space="0" w:color="385623" w:themeColor="accent6" w:themeShade="80"/>
            </w:tcBorders>
            <w:shd w:val="clear" w:color="auto" w:fill="auto"/>
            <w:noWrap/>
            <w:vAlign w:val="center"/>
          </w:tcPr>
          <w:p w14:paraId="7050F93B" w14:textId="4EBE4CCA" w:rsidR="002522B6" w:rsidRPr="008414D9" w:rsidRDefault="002522B6" w:rsidP="002522B6">
            <w:pPr>
              <w:spacing w:after="120" w:line="240" w:lineRule="auto"/>
              <w:jc w:val="right"/>
              <w:rPr>
                <w:rFonts w:cs="Calibri"/>
                <w:color w:val="000000"/>
                <w:sz w:val="18"/>
                <w:szCs w:val="18"/>
                <w:lang w:val="en-GB"/>
              </w:rPr>
            </w:pPr>
            <w:r>
              <w:rPr>
                <w:rFonts w:cs="Calibri"/>
                <w:color w:val="000000"/>
                <w:sz w:val="18"/>
                <w:szCs w:val="18"/>
              </w:rPr>
              <w:t>91.084</w:t>
            </w:r>
          </w:p>
        </w:tc>
        <w:tc>
          <w:tcPr>
            <w:tcW w:w="957" w:type="dxa"/>
            <w:tcBorders>
              <w:left w:val="single" w:sz="4" w:space="0" w:color="385623" w:themeColor="accent6" w:themeShade="80"/>
            </w:tcBorders>
            <w:shd w:val="clear" w:color="auto" w:fill="auto"/>
            <w:noWrap/>
            <w:vAlign w:val="center"/>
          </w:tcPr>
          <w:p w14:paraId="6D764058" w14:textId="38CF73B9" w:rsidR="002522B6" w:rsidRPr="008414D9" w:rsidRDefault="002522B6" w:rsidP="002522B6">
            <w:pPr>
              <w:spacing w:after="120" w:line="240" w:lineRule="auto"/>
              <w:jc w:val="right"/>
              <w:rPr>
                <w:rFonts w:cs="Calibri"/>
                <w:color w:val="000000"/>
                <w:sz w:val="18"/>
                <w:szCs w:val="18"/>
                <w:lang w:val="en-GB"/>
              </w:rPr>
            </w:pPr>
            <w:r>
              <w:rPr>
                <w:rFonts w:cs="Calibri"/>
                <w:color w:val="000000"/>
                <w:sz w:val="18"/>
                <w:szCs w:val="18"/>
              </w:rPr>
              <w:t>7</w:t>
            </w:r>
          </w:p>
        </w:tc>
        <w:tc>
          <w:tcPr>
            <w:tcW w:w="957" w:type="dxa"/>
            <w:tcBorders>
              <w:right w:val="single" w:sz="4" w:space="0" w:color="385623" w:themeColor="accent6" w:themeShade="80"/>
            </w:tcBorders>
            <w:shd w:val="clear" w:color="auto" w:fill="auto"/>
            <w:noWrap/>
            <w:vAlign w:val="center"/>
          </w:tcPr>
          <w:p w14:paraId="6C8F702B" w14:textId="0CC582C9" w:rsidR="002522B6" w:rsidRPr="008414D9" w:rsidRDefault="002522B6" w:rsidP="002522B6">
            <w:pPr>
              <w:spacing w:after="120" w:line="240" w:lineRule="auto"/>
              <w:jc w:val="right"/>
              <w:rPr>
                <w:sz w:val="20"/>
                <w:szCs w:val="20"/>
                <w:lang w:val="en-GB"/>
              </w:rPr>
            </w:pPr>
            <w:r>
              <w:rPr>
                <w:rFonts w:cs="Calibri"/>
                <w:color w:val="000000"/>
                <w:sz w:val="18"/>
                <w:szCs w:val="18"/>
              </w:rPr>
              <w:t>7</w:t>
            </w:r>
          </w:p>
        </w:tc>
        <w:tc>
          <w:tcPr>
            <w:tcW w:w="957" w:type="dxa"/>
            <w:tcBorders>
              <w:left w:val="single" w:sz="4" w:space="0" w:color="385623" w:themeColor="accent6" w:themeShade="80"/>
            </w:tcBorders>
            <w:shd w:val="clear" w:color="auto" w:fill="auto"/>
            <w:noWrap/>
            <w:vAlign w:val="center"/>
          </w:tcPr>
          <w:p w14:paraId="55CF19BB" w14:textId="6C093220" w:rsidR="002522B6" w:rsidRPr="008414D9" w:rsidRDefault="002522B6" w:rsidP="002522B6">
            <w:pPr>
              <w:spacing w:after="120" w:line="240" w:lineRule="auto"/>
              <w:jc w:val="right"/>
              <w:rPr>
                <w:rFonts w:cs="Calibri"/>
                <w:color w:val="000000"/>
                <w:sz w:val="18"/>
                <w:szCs w:val="18"/>
                <w:lang w:val="en-GB"/>
              </w:rPr>
            </w:pPr>
            <w:r>
              <w:rPr>
                <w:rFonts w:cs="Calibri"/>
                <w:color w:val="000000"/>
                <w:sz w:val="18"/>
                <w:szCs w:val="18"/>
              </w:rPr>
              <w:t>375.783</w:t>
            </w:r>
          </w:p>
        </w:tc>
        <w:tc>
          <w:tcPr>
            <w:tcW w:w="957" w:type="dxa"/>
            <w:shd w:val="clear" w:color="auto" w:fill="auto"/>
            <w:noWrap/>
            <w:vAlign w:val="center"/>
          </w:tcPr>
          <w:p w14:paraId="051AFB5F" w14:textId="4DC04568" w:rsidR="002522B6" w:rsidRPr="008414D9" w:rsidRDefault="002522B6" w:rsidP="002522B6">
            <w:pPr>
              <w:spacing w:after="120" w:line="240" w:lineRule="auto"/>
              <w:jc w:val="right"/>
              <w:rPr>
                <w:rFonts w:cs="Calibri"/>
                <w:color w:val="000000"/>
                <w:sz w:val="18"/>
                <w:szCs w:val="18"/>
                <w:lang w:val="en-GB"/>
              </w:rPr>
            </w:pPr>
            <w:r>
              <w:rPr>
                <w:rFonts w:cs="Calibri"/>
                <w:color w:val="000000"/>
                <w:sz w:val="18"/>
                <w:szCs w:val="18"/>
              </w:rPr>
              <w:t>346.314</w:t>
            </w:r>
          </w:p>
        </w:tc>
      </w:tr>
      <w:tr w:rsidR="002522B6" w:rsidRPr="008414D9" w14:paraId="6FD7A297" w14:textId="77777777" w:rsidTr="004F59F4">
        <w:trPr>
          <w:trHeight w:val="375"/>
        </w:trPr>
        <w:tc>
          <w:tcPr>
            <w:tcW w:w="2788" w:type="dxa"/>
            <w:tcBorders>
              <w:bottom w:val="single" w:sz="4" w:space="0" w:color="385623" w:themeColor="accent6" w:themeShade="80"/>
              <w:right w:val="single" w:sz="4" w:space="0" w:color="385623" w:themeColor="accent6" w:themeShade="80"/>
            </w:tcBorders>
            <w:shd w:val="clear" w:color="auto" w:fill="auto"/>
            <w:noWrap/>
            <w:vAlign w:val="bottom"/>
            <w:hideMark/>
          </w:tcPr>
          <w:p w14:paraId="24A350B7" w14:textId="22F4069D" w:rsidR="002522B6" w:rsidRPr="008414D9" w:rsidRDefault="002522B6" w:rsidP="002522B6">
            <w:pPr>
              <w:spacing w:after="120" w:line="240" w:lineRule="auto"/>
              <w:rPr>
                <w:rFonts w:eastAsia="Times New Roman"/>
                <w:color w:val="000000"/>
                <w:sz w:val="18"/>
                <w:szCs w:val="18"/>
                <w:lang w:val="en-GB" w:eastAsia="el-GR"/>
              </w:rPr>
            </w:pPr>
            <w:r w:rsidRPr="00C91C26">
              <w:rPr>
                <w:color w:val="000000"/>
                <w:sz w:val="18"/>
                <w:szCs w:val="18"/>
              </w:rPr>
              <w:t>Ταμειακά διαθέσιμα και ισοδύναμα</w:t>
            </w:r>
          </w:p>
        </w:tc>
        <w:tc>
          <w:tcPr>
            <w:tcW w:w="956" w:type="dxa"/>
            <w:tcBorders>
              <w:left w:val="single" w:sz="4" w:space="0" w:color="385623" w:themeColor="accent6" w:themeShade="80"/>
              <w:bottom w:val="single" w:sz="4" w:space="0" w:color="385623" w:themeColor="accent6" w:themeShade="80"/>
            </w:tcBorders>
            <w:shd w:val="clear" w:color="auto" w:fill="auto"/>
            <w:noWrap/>
            <w:vAlign w:val="center"/>
          </w:tcPr>
          <w:p w14:paraId="285C4563" w14:textId="1AB3FA0C" w:rsidR="002522B6" w:rsidRPr="008414D9" w:rsidRDefault="002522B6" w:rsidP="002522B6">
            <w:pPr>
              <w:spacing w:after="120" w:line="240" w:lineRule="auto"/>
              <w:jc w:val="right"/>
              <w:rPr>
                <w:rFonts w:cs="Calibri"/>
                <w:color w:val="000000"/>
                <w:sz w:val="18"/>
                <w:szCs w:val="18"/>
                <w:lang w:val="en-GB"/>
              </w:rPr>
            </w:pPr>
            <w:r>
              <w:rPr>
                <w:rFonts w:cs="Calibri"/>
                <w:color w:val="000000"/>
                <w:sz w:val="18"/>
                <w:szCs w:val="18"/>
              </w:rPr>
              <w:t>(116.362)</w:t>
            </w:r>
          </w:p>
        </w:tc>
        <w:tc>
          <w:tcPr>
            <w:tcW w:w="957" w:type="dxa"/>
            <w:tcBorders>
              <w:bottom w:val="single" w:sz="4" w:space="0" w:color="385623" w:themeColor="accent6" w:themeShade="80"/>
              <w:right w:val="single" w:sz="4" w:space="0" w:color="385623" w:themeColor="accent6" w:themeShade="80"/>
            </w:tcBorders>
            <w:shd w:val="clear" w:color="auto" w:fill="auto"/>
            <w:noWrap/>
            <w:vAlign w:val="center"/>
          </w:tcPr>
          <w:p w14:paraId="76DEB6AF" w14:textId="3DFE4AAB" w:rsidR="002522B6" w:rsidRPr="008414D9" w:rsidRDefault="002522B6" w:rsidP="002522B6">
            <w:pPr>
              <w:spacing w:after="120" w:line="240" w:lineRule="auto"/>
              <w:jc w:val="right"/>
              <w:rPr>
                <w:rFonts w:cs="Calibri"/>
                <w:color w:val="000000"/>
                <w:sz w:val="18"/>
                <w:szCs w:val="18"/>
                <w:lang w:val="en-GB"/>
              </w:rPr>
            </w:pPr>
            <w:r>
              <w:rPr>
                <w:rFonts w:cs="Calibri"/>
                <w:color w:val="000000"/>
                <w:sz w:val="18"/>
                <w:szCs w:val="18"/>
              </w:rPr>
              <w:t>(131.153)</w:t>
            </w:r>
          </w:p>
        </w:tc>
        <w:tc>
          <w:tcPr>
            <w:tcW w:w="957" w:type="dxa"/>
            <w:tcBorders>
              <w:left w:val="single" w:sz="4" w:space="0" w:color="385623" w:themeColor="accent6" w:themeShade="80"/>
              <w:bottom w:val="single" w:sz="4" w:space="0" w:color="385623" w:themeColor="accent6" w:themeShade="80"/>
            </w:tcBorders>
            <w:shd w:val="clear" w:color="auto" w:fill="auto"/>
            <w:noWrap/>
            <w:vAlign w:val="center"/>
          </w:tcPr>
          <w:p w14:paraId="591361F7" w14:textId="25D28B7D" w:rsidR="002522B6" w:rsidRPr="008414D9" w:rsidRDefault="002522B6" w:rsidP="002522B6">
            <w:pPr>
              <w:spacing w:after="120" w:line="240" w:lineRule="auto"/>
              <w:jc w:val="right"/>
              <w:rPr>
                <w:rFonts w:cs="Calibri"/>
                <w:color w:val="000000"/>
                <w:sz w:val="18"/>
                <w:szCs w:val="18"/>
                <w:lang w:val="en-GB"/>
              </w:rPr>
            </w:pPr>
            <w:r>
              <w:rPr>
                <w:rFonts w:cs="Calibri"/>
                <w:color w:val="000000"/>
                <w:sz w:val="18"/>
                <w:szCs w:val="18"/>
              </w:rPr>
              <w:t>(32.815)</w:t>
            </w:r>
          </w:p>
        </w:tc>
        <w:tc>
          <w:tcPr>
            <w:tcW w:w="957" w:type="dxa"/>
            <w:tcBorders>
              <w:bottom w:val="single" w:sz="4" w:space="0" w:color="385623" w:themeColor="accent6" w:themeShade="80"/>
              <w:right w:val="single" w:sz="4" w:space="0" w:color="385623" w:themeColor="accent6" w:themeShade="80"/>
            </w:tcBorders>
            <w:shd w:val="clear" w:color="auto" w:fill="auto"/>
            <w:noWrap/>
            <w:vAlign w:val="center"/>
          </w:tcPr>
          <w:p w14:paraId="57A22D73" w14:textId="522ABBAD" w:rsidR="002522B6" w:rsidRPr="008414D9" w:rsidRDefault="002522B6" w:rsidP="002522B6">
            <w:pPr>
              <w:spacing w:after="120" w:line="240" w:lineRule="auto"/>
              <w:jc w:val="right"/>
              <w:rPr>
                <w:rFonts w:cs="Calibri"/>
                <w:color w:val="000000"/>
                <w:sz w:val="18"/>
                <w:szCs w:val="18"/>
                <w:lang w:val="en-GB"/>
              </w:rPr>
            </w:pPr>
            <w:r>
              <w:rPr>
                <w:rFonts w:cs="Calibri"/>
                <w:color w:val="000000"/>
                <w:sz w:val="18"/>
                <w:szCs w:val="18"/>
              </w:rPr>
              <w:t>(51.885)</w:t>
            </w:r>
          </w:p>
        </w:tc>
        <w:tc>
          <w:tcPr>
            <w:tcW w:w="957" w:type="dxa"/>
            <w:tcBorders>
              <w:left w:val="single" w:sz="4" w:space="0" w:color="385623" w:themeColor="accent6" w:themeShade="80"/>
              <w:bottom w:val="single" w:sz="4" w:space="0" w:color="385623" w:themeColor="accent6" w:themeShade="80"/>
            </w:tcBorders>
            <w:shd w:val="clear" w:color="auto" w:fill="auto"/>
            <w:noWrap/>
            <w:vAlign w:val="center"/>
          </w:tcPr>
          <w:p w14:paraId="03B68420" w14:textId="54E40B9A" w:rsidR="002522B6" w:rsidRPr="008414D9" w:rsidRDefault="002522B6" w:rsidP="002522B6">
            <w:pPr>
              <w:spacing w:after="120" w:line="240" w:lineRule="auto"/>
              <w:jc w:val="right"/>
              <w:rPr>
                <w:rFonts w:cs="Calibri"/>
                <w:color w:val="000000"/>
                <w:sz w:val="18"/>
                <w:szCs w:val="18"/>
                <w:lang w:val="en-GB"/>
              </w:rPr>
            </w:pPr>
            <w:r>
              <w:rPr>
                <w:rFonts w:cs="Calibri"/>
                <w:color w:val="000000"/>
                <w:sz w:val="18"/>
                <w:szCs w:val="18"/>
              </w:rPr>
              <w:t>(6.647)</w:t>
            </w:r>
          </w:p>
        </w:tc>
        <w:tc>
          <w:tcPr>
            <w:tcW w:w="957" w:type="dxa"/>
            <w:tcBorders>
              <w:bottom w:val="single" w:sz="4" w:space="0" w:color="385623" w:themeColor="accent6" w:themeShade="80"/>
              <w:right w:val="single" w:sz="4" w:space="0" w:color="385623" w:themeColor="accent6" w:themeShade="80"/>
            </w:tcBorders>
            <w:shd w:val="clear" w:color="auto" w:fill="auto"/>
            <w:noWrap/>
            <w:vAlign w:val="center"/>
          </w:tcPr>
          <w:p w14:paraId="0BF76FF5" w14:textId="0E288490" w:rsidR="002522B6" w:rsidRPr="008414D9" w:rsidRDefault="002522B6" w:rsidP="002522B6">
            <w:pPr>
              <w:spacing w:after="120" w:line="240" w:lineRule="auto"/>
              <w:jc w:val="right"/>
              <w:rPr>
                <w:rFonts w:cs="Calibri"/>
                <w:color w:val="000000"/>
                <w:sz w:val="18"/>
                <w:szCs w:val="18"/>
                <w:lang w:val="en-GB"/>
              </w:rPr>
            </w:pPr>
            <w:r>
              <w:rPr>
                <w:rFonts w:cs="Calibri"/>
                <w:color w:val="000000"/>
                <w:sz w:val="18"/>
                <w:szCs w:val="18"/>
              </w:rPr>
              <w:t>(363)</w:t>
            </w:r>
          </w:p>
        </w:tc>
        <w:tc>
          <w:tcPr>
            <w:tcW w:w="957" w:type="dxa"/>
            <w:tcBorders>
              <w:left w:val="single" w:sz="4" w:space="0" w:color="385623" w:themeColor="accent6" w:themeShade="80"/>
              <w:bottom w:val="single" w:sz="4" w:space="0" w:color="385623" w:themeColor="accent6" w:themeShade="80"/>
            </w:tcBorders>
            <w:shd w:val="clear" w:color="auto" w:fill="auto"/>
            <w:noWrap/>
            <w:vAlign w:val="center"/>
          </w:tcPr>
          <w:p w14:paraId="2E8EC38D" w14:textId="69FE5DFC" w:rsidR="002522B6" w:rsidRPr="008414D9" w:rsidRDefault="002522B6" w:rsidP="002522B6">
            <w:pPr>
              <w:spacing w:after="120" w:line="240" w:lineRule="auto"/>
              <w:jc w:val="right"/>
              <w:rPr>
                <w:rFonts w:cs="Calibri"/>
                <w:color w:val="000000"/>
                <w:sz w:val="18"/>
                <w:szCs w:val="18"/>
                <w:lang w:val="en-GB"/>
              </w:rPr>
            </w:pPr>
            <w:r>
              <w:rPr>
                <w:rFonts w:cs="Calibri"/>
                <w:color w:val="000000"/>
                <w:sz w:val="18"/>
                <w:szCs w:val="18"/>
              </w:rPr>
              <w:t>(155.824)</w:t>
            </w:r>
          </w:p>
        </w:tc>
        <w:tc>
          <w:tcPr>
            <w:tcW w:w="957" w:type="dxa"/>
            <w:tcBorders>
              <w:bottom w:val="single" w:sz="4" w:space="0" w:color="385623" w:themeColor="accent6" w:themeShade="80"/>
            </w:tcBorders>
            <w:shd w:val="clear" w:color="auto" w:fill="auto"/>
            <w:noWrap/>
            <w:vAlign w:val="center"/>
          </w:tcPr>
          <w:p w14:paraId="35F0BEE2" w14:textId="2935CA47" w:rsidR="002522B6" w:rsidRPr="008414D9" w:rsidRDefault="002522B6" w:rsidP="002522B6">
            <w:pPr>
              <w:spacing w:after="120" w:line="240" w:lineRule="auto"/>
              <w:jc w:val="right"/>
              <w:rPr>
                <w:rFonts w:cs="Calibri"/>
                <w:color w:val="000000"/>
                <w:sz w:val="18"/>
                <w:szCs w:val="18"/>
                <w:lang w:val="en-GB"/>
              </w:rPr>
            </w:pPr>
            <w:r>
              <w:rPr>
                <w:rFonts w:cs="Calibri"/>
                <w:color w:val="000000"/>
                <w:sz w:val="18"/>
                <w:szCs w:val="18"/>
              </w:rPr>
              <w:t>(183.400)</w:t>
            </w:r>
          </w:p>
        </w:tc>
      </w:tr>
      <w:tr w:rsidR="002522B6" w:rsidRPr="008414D9" w14:paraId="4AF74471" w14:textId="77777777" w:rsidTr="004F59F4">
        <w:trPr>
          <w:trHeight w:val="375"/>
        </w:trPr>
        <w:tc>
          <w:tcPr>
            <w:tcW w:w="2788"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vAlign w:val="bottom"/>
            <w:hideMark/>
          </w:tcPr>
          <w:p w14:paraId="3E85676D" w14:textId="6CEC0FC0" w:rsidR="002522B6" w:rsidRPr="008414D9" w:rsidRDefault="002522B6" w:rsidP="002522B6">
            <w:pPr>
              <w:spacing w:after="120" w:line="240" w:lineRule="auto"/>
              <w:rPr>
                <w:rFonts w:eastAsia="Times New Roman"/>
                <w:b/>
                <w:bCs/>
                <w:color w:val="000000"/>
                <w:sz w:val="18"/>
                <w:szCs w:val="18"/>
                <w:lang w:val="en-GB" w:eastAsia="el-GR"/>
              </w:rPr>
            </w:pPr>
            <w:r>
              <w:rPr>
                <w:rFonts w:eastAsia="Times New Roman"/>
                <w:b/>
                <w:bCs/>
                <w:color w:val="000000"/>
                <w:sz w:val="18"/>
                <w:szCs w:val="18"/>
                <w:lang w:eastAsia="el-GR"/>
              </w:rPr>
              <w:t>Καθαρός δανεισμός</w:t>
            </w:r>
          </w:p>
        </w:tc>
        <w:tc>
          <w:tcPr>
            <w:tcW w:w="956"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1EDDA215" w14:textId="77C9BB42" w:rsidR="002522B6" w:rsidRPr="008414D9" w:rsidRDefault="002522B6" w:rsidP="002522B6">
            <w:pPr>
              <w:spacing w:after="120" w:line="240" w:lineRule="auto"/>
              <w:jc w:val="right"/>
              <w:rPr>
                <w:rFonts w:cs="Calibri"/>
                <w:b/>
                <w:bCs/>
                <w:color w:val="000000"/>
                <w:sz w:val="18"/>
                <w:szCs w:val="18"/>
                <w:lang w:val="en-GB"/>
              </w:rPr>
            </w:pPr>
            <w:r>
              <w:rPr>
                <w:rFonts w:cs="Calibri"/>
                <w:b/>
                <w:bCs/>
                <w:color w:val="000000"/>
                <w:sz w:val="18"/>
                <w:szCs w:val="18"/>
              </w:rPr>
              <w:t>385.858</w:t>
            </w:r>
          </w:p>
        </w:tc>
        <w:tc>
          <w:tcPr>
            <w:tcW w:w="957"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379FBF2B" w14:textId="58C0C81E" w:rsidR="002522B6" w:rsidRPr="008414D9" w:rsidRDefault="002522B6" w:rsidP="002522B6">
            <w:pPr>
              <w:spacing w:after="120" w:line="240" w:lineRule="auto"/>
              <w:jc w:val="right"/>
              <w:rPr>
                <w:rFonts w:cs="Calibri"/>
                <w:b/>
                <w:bCs/>
                <w:color w:val="000000"/>
                <w:sz w:val="18"/>
                <w:szCs w:val="18"/>
                <w:lang w:val="en-GB"/>
              </w:rPr>
            </w:pPr>
            <w:r>
              <w:rPr>
                <w:rFonts w:cs="Calibri"/>
                <w:b/>
                <w:bCs/>
                <w:color w:val="000000"/>
                <w:sz w:val="18"/>
                <w:szCs w:val="18"/>
              </w:rPr>
              <w:t>304.362</w:t>
            </w:r>
          </w:p>
        </w:tc>
        <w:tc>
          <w:tcPr>
            <w:tcW w:w="957"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0675AFAA" w14:textId="7BBE8263" w:rsidR="002522B6" w:rsidRPr="008414D9" w:rsidRDefault="002522B6" w:rsidP="002522B6">
            <w:pPr>
              <w:spacing w:after="120" w:line="240" w:lineRule="auto"/>
              <w:jc w:val="right"/>
              <w:rPr>
                <w:rFonts w:cs="Calibri"/>
                <w:b/>
                <w:bCs/>
                <w:color w:val="000000"/>
                <w:sz w:val="18"/>
                <w:szCs w:val="18"/>
                <w:lang w:val="en-GB"/>
              </w:rPr>
            </w:pPr>
            <w:r>
              <w:rPr>
                <w:rFonts w:cs="Calibri"/>
                <w:b/>
                <w:bCs/>
                <w:color w:val="000000"/>
                <w:sz w:val="18"/>
                <w:szCs w:val="18"/>
              </w:rPr>
              <w:t>114.726</w:t>
            </w:r>
          </w:p>
        </w:tc>
        <w:tc>
          <w:tcPr>
            <w:tcW w:w="957"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6BE0B478" w14:textId="61799F44" w:rsidR="002522B6" w:rsidRPr="008414D9" w:rsidRDefault="002522B6" w:rsidP="002522B6">
            <w:pPr>
              <w:spacing w:after="120" w:line="240" w:lineRule="auto"/>
              <w:jc w:val="right"/>
              <w:rPr>
                <w:rFonts w:cs="Calibri"/>
                <w:b/>
                <w:bCs/>
                <w:color w:val="000000"/>
                <w:sz w:val="18"/>
                <w:szCs w:val="18"/>
                <w:lang w:val="en-GB"/>
              </w:rPr>
            </w:pPr>
            <w:r>
              <w:rPr>
                <w:rFonts w:cs="Calibri"/>
                <w:b/>
                <w:bCs/>
                <w:color w:val="000000"/>
                <w:sz w:val="18"/>
                <w:szCs w:val="18"/>
              </w:rPr>
              <w:t>73.552</w:t>
            </w:r>
          </w:p>
        </w:tc>
        <w:tc>
          <w:tcPr>
            <w:tcW w:w="957"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267843C6" w14:textId="06241A97" w:rsidR="002522B6" w:rsidRPr="008414D9" w:rsidRDefault="002522B6" w:rsidP="002522B6">
            <w:pPr>
              <w:spacing w:after="120" w:line="240" w:lineRule="auto"/>
              <w:jc w:val="right"/>
              <w:rPr>
                <w:rFonts w:cs="Calibri"/>
                <w:b/>
                <w:bCs/>
                <w:color w:val="000000"/>
                <w:sz w:val="18"/>
                <w:szCs w:val="18"/>
                <w:lang w:val="en-GB"/>
              </w:rPr>
            </w:pPr>
            <w:r>
              <w:rPr>
                <w:rFonts w:cs="Calibri"/>
                <w:b/>
                <w:bCs/>
                <w:color w:val="000000"/>
                <w:sz w:val="18"/>
                <w:szCs w:val="18"/>
              </w:rPr>
              <w:t>(6.630)</w:t>
            </w:r>
          </w:p>
        </w:tc>
        <w:tc>
          <w:tcPr>
            <w:tcW w:w="957"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6ECCD739" w14:textId="1F491416" w:rsidR="002522B6" w:rsidRPr="008414D9" w:rsidRDefault="002522B6" w:rsidP="002522B6">
            <w:pPr>
              <w:spacing w:after="120" w:line="240" w:lineRule="auto"/>
              <w:jc w:val="right"/>
              <w:rPr>
                <w:rFonts w:cs="Calibri"/>
                <w:b/>
                <w:bCs/>
                <w:color w:val="000000"/>
                <w:sz w:val="18"/>
                <w:szCs w:val="18"/>
                <w:lang w:val="en-GB"/>
              </w:rPr>
            </w:pPr>
            <w:r>
              <w:rPr>
                <w:rFonts w:cs="Calibri"/>
                <w:b/>
                <w:bCs/>
                <w:color w:val="000000"/>
                <w:sz w:val="18"/>
                <w:szCs w:val="18"/>
              </w:rPr>
              <w:t>(343)</w:t>
            </w:r>
          </w:p>
        </w:tc>
        <w:tc>
          <w:tcPr>
            <w:tcW w:w="957"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43698CCF" w14:textId="14A6BFEB" w:rsidR="002522B6" w:rsidRPr="008414D9" w:rsidRDefault="002522B6" w:rsidP="002522B6">
            <w:pPr>
              <w:spacing w:after="120" w:line="240" w:lineRule="auto"/>
              <w:jc w:val="right"/>
              <w:rPr>
                <w:rFonts w:cs="Calibri"/>
                <w:b/>
                <w:bCs/>
                <w:color w:val="000000"/>
                <w:sz w:val="18"/>
                <w:szCs w:val="18"/>
                <w:lang w:val="en-GB"/>
              </w:rPr>
            </w:pPr>
            <w:r>
              <w:rPr>
                <w:rFonts w:cs="Calibri"/>
                <w:b/>
                <w:bCs/>
                <w:color w:val="000000"/>
                <w:sz w:val="18"/>
                <w:szCs w:val="18"/>
              </w:rPr>
              <w:t>493.954</w:t>
            </w:r>
          </w:p>
        </w:tc>
        <w:tc>
          <w:tcPr>
            <w:tcW w:w="957" w:type="dxa"/>
            <w:tcBorders>
              <w:top w:val="single" w:sz="4" w:space="0" w:color="385623" w:themeColor="accent6" w:themeShade="80"/>
              <w:bottom w:val="single" w:sz="4" w:space="0" w:color="385623" w:themeColor="accent6" w:themeShade="80"/>
            </w:tcBorders>
            <w:shd w:val="clear" w:color="auto" w:fill="E2EFD9"/>
            <w:noWrap/>
            <w:vAlign w:val="center"/>
          </w:tcPr>
          <w:p w14:paraId="434BB8A4" w14:textId="3351C14A" w:rsidR="002522B6" w:rsidRPr="008414D9" w:rsidRDefault="002522B6" w:rsidP="002522B6">
            <w:pPr>
              <w:spacing w:after="120" w:line="240" w:lineRule="auto"/>
              <w:jc w:val="right"/>
              <w:rPr>
                <w:rFonts w:cs="Calibri"/>
                <w:b/>
                <w:bCs/>
                <w:color w:val="000000"/>
                <w:sz w:val="18"/>
                <w:szCs w:val="18"/>
                <w:lang w:val="en-GB"/>
              </w:rPr>
            </w:pPr>
            <w:r>
              <w:rPr>
                <w:rFonts w:cs="Calibri"/>
                <w:b/>
                <w:bCs/>
                <w:color w:val="000000"/>
                <w:sz w:val="18"/>
                <w:szCs w:val="18"/>
              </w:rPr>
              <w:t>377.572</w:t>
            </w:r>
          </w:p>
        </w:tc>
      </w:tr>
    </w:tbl>
    <w:p w14:paraId="0B098D3A" w14:textId="77777777" w:rsidR="0030155B" w:rsidRPr="008414D9" w:rsidRDefault="0030155B" w:rsidP="006C5C49">
      <w:pPr>
        <w:spacing w:after="120" w:line="240" w:lineRule="auto"/>
        <w:jc w:val="both"/>
        <w:rPr>
          <w:rFonts w:cs="Calibri"/>
          <w:sz w:val="20"/>
          <w:szCs w:val="20"/>
          <w:lang w:val="en-GB" w:eastAsia="x-none"/>
        </w:rPr>
      </w:pPr>
    </w:p>
    <w:sectPr w:rsidR="0030155B" w:rsidRPr="008414D9" w:rsidSect="008A62F1">
      <w:headerReference w:type="first" r:id="rId18"/>
      <w:pgSz w:w="11906" w:h="16838" w:code="9"/>
      <w:pgMar w:top="1684" w:right="851" w:bottom="284" w:left="1077" w:header="0" w:footer="4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831B8F" w14:textId="77777777" w:rsidR="004A35BF" w:rsidRDefault="004A35BF" w:rsidP="009010E3">
      <w:pPr>
        <w:spacing w:after="0" w:line="240" w:lineRule="auto"/>
      </w:pPr>
      <w:r>
        <w:separator/>
      </w:r>
    </w:p>
  </w:endnote>
  <w:endnote w:type="continuationSeparator" w:id="0">
    <w:p w14:paraId="3B369584" w14:textId="77777777" w:rsidR="004A35BF" w:rsidRDefault="004A35BF" w:rsidP="009010E3">
      <w:pPr>
        <w:spacing w:after="0" w:line="240" w:lineRule="auto"/>
      </w:pPr>
      <w:r>
        <w:continuationSeparator/>
      </w:r>
    </w:p>
  </w:endnote>
  <w:endnote w:type="continuationNotice" w:id="1">
    <w:p w14:paraId="427FDAA7" w14:textId="77777777" w:rsidR="004A35BF" w:rsidRDefault="004A35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C STKaiti">
    <w:altName w:val="Microsoft YaHei"/>
    <w:charset w:val="86"/>
    <w:family w:val="auto"/>
    <w:pitch w:val="variable"/>
    <w:sig w:usb0="00000287" w:usb1="080F0000" w:usb2="00000010" w:usb3="00000000" w:csb0="0004009F" w:csb1="00000000"/>
  </w:font>
  <w:font w:name="Cambria">
    <w:panose1 w:val="02040503050406030204"/>
    <w:charset w:val="A1"/>
    <w:family w:val="roman"/>
    <w:pitch w:val="variable"/>
    <w:sig w:usb0="E00006FF" w:usb1="420024FF" w:usb2="02000000" w:usb3="00000000" w:csb0="0000019F" w:csb1="00000000"/>
  </w:font>
  <w:font w:name="HGGothicM">
    <w:charset w:val="80"/>
    <w:family w:val="modern"/>
    <w:pitch w:val="fixed"/>
    <w:sig w:usb0="80000281" w:usb1="28C76CF8" w:usb2="00000010" w:usb3="00000000" w:csb0="00020000" w:csb1="00000000"/>
  </w:font>
  <w:font w:name="Tahoma">
    <w:panose1 w:val="020B0604030504040204"/>
    <w:charset w:val="A1"/>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HGMinchoB">
    <w:charset w:val="80"/>
    <w:family w:val="roman"/>
    <w:pitch w:val="fixed"/>
    <w:sig w:usb0="80000281" w:usb1="28C76CF8" w:usb2="00000010" w:usb3="00000000" w:csb0="00020000"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rbel">
    <w:panose1 w:val="020B0503020204020204"/>
    <w:charset w:val="A1"/>
    <w:family w:val="swiss"/>
    <w:pitch w:val="variable"/>
    <w:sig w:usb0="A00002EF" w:usb1="4000A44B" w:usb2="00000000" w:usb3="00000000" w:csb0="0000019F" w:csb1="00000000"/>
  </w:font>
  <w:font w:name="Gotham">
    <w:panose1 w:val="02000604040000020004"/>
    <w:charset w:val="00"/>
    <w:family w:val="modern"/>
    <w:notTrueType/>
    <w:pitch w:val="variable"/>
    <w:sig w:usb0="800000AF" w:usb1="4000004A"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A1538" w14:textId="330AED46" w:rsidR="008A62F1" w:rsidRPr="00B4712C" w:rsidRDefault="008A62F1" w:rsidP="008A62F1">
    <w:pPr>
      <w:pStyle w:val="a9"/>
      <w:framePr w:w="1186" w:wrap="around" w:vAnchor="text" w:hAnchor="page" w:x="123" w:y="238"/>
      <w:jc w:val="right"/>
      <w:rPr>
        <w:rStyle w:val="afc"/>
        <w:b/>
        <w:lang w:val="en-US"/>
      </w:rPr>
    </w:pPr>
    <w:r w:rsidRPr="00CF2C09">
      <w:rPr>
        <w:rStyle w:val="afc"/>
        <w:b/>
      </w:rPr>
      <w:fldChar w:fldCharType="begin"/>
    </w:r>
    <w:r w:rsidRPr="00B4712C">
      <w:rPr>
        <w:rStyle w:val="afc"/>
        <w:b/>
        <w:lang w:val="en-US"/>
      </w:rPr>
      <w:instrText xml:space="preserve">PAGE  </w:instrText>
    </w:r>
    <w:r w:rsidRPr="00CF2C09">
      <w:rPr>
        <w:rStyle w:val="afc"/>
        <w:b/>
      </w:rPr>
      <w:fldChar w:fldCharType="separate"/>
    </w:r>
    <w:r w:rsidRPr="008A62F1">
      <w:rPr>
        <w:rStyle w:val="afc"/>
        <w:b/>
        <w:lang w:val="en-US"/>
      </w:rPr>
      <w:t>2</w:t>
    </w:r>
    <w:r w:rsidRPr="00CF2C09">
      <w:rPr>
        <w:rStyle w:val="afc"/>
        <w:b/>
      </w:rPr>
      <w:fldChar w:fldCharType="end"/>
    </w:r>
  </w:p>
  <w:p w14:paraId="2C9569BC" w14:textId="77B82B5D" w:rsidR="008A62F1" w:rsidRPr="00664167" w:rsidRDefault="00664167" w:rsidP="008A62F1">
    <w:pPr>
      <w:pStyle w:val="a9"/>
      <w:framePr w:w="5530" w:wrap="around" w:vAnchor="text" w:hAnchor="page" w:x="1428" w:y="238"/>
      <w:rPr>
        <w:rStyle w:val="afc"/>
        <w:bCs/>
      </w:rPr>
    </w:pPr>
    <w:r>
      <w:rPr>
        <w:rStyle w:val="afc"/>
        <w:bCs/>
      </w:rPr>
      <w:t>ΟΙΚΟΝΟΜΙΚΑ ΑΠΟΤΕΛΕΣΜΑΤΑ Α’ ΕΞΑΜΗΝΟΥ 2024</w:t>
    </w:r>
  </w:p>
  <w:p w14:paraId="68992029" w14:textId="12F286A2" w:rsidR="00B4712C" w:rsidRPr="00B4712C" w:rsidRDefault="00B4712C" w:rsidP="00C6458F">
    <w:pPr>
      <w:pStyle w:val="a9"/>
      <w:spacing w:before="240"/>
      <w:rPr>
        <w:lang w:val="en-US"/>
      </w:rPr>
    </w:pPr>
    <w:r>
      <w:rPr>
        <w:noProof/>
        <w:lang w:val="en-US"/>
      </w:rPr>
      <mc:AlternateContent>
        <mc:Choice Requires="wps">
          <w:drawing>
            <wp:anchor distT="0" distB="0" distL="114300" distR="114300" simplePos="0" relativeHeight="251659264" behindDoc="1" locked="0" layoutInCell="1" allowOverlap="1" wp14:anchorId="3B1660F7" wp14:editId="39F34107">
              <wp:simplePos x="0" y="0"/>
              <wp:positionH relativeFrom="page">
                <wp:posOffset>0</wp:posOffset>
              </wp:positionH>
              <wp:positionV relativeFrom="paragraph">
                <wp:posOffset>116576</wp:posOffset>
              </wp:positionV>
              <wp:extent cx="876300" cy="238125"/>
              <wp:effectExtent l="0" t="0" r="0" b="9525"/>
              <wp:wrapNone/>
              <wp:docPr id="26" name="Rectangle 26"/>
              <wp:cNvGraphicFramePr/>
              <a:graphic xmlns:a="http://schemas.openxmlformats.org/drawingml/2006/main">
                <a:graphicData uri="http://schemas.microsoft.com/office/word/2010/wordprocessingShape">
                  <wps:wsp>
                    <wps:cNvSpPr/>
                    <wps:spPr>
                      <a:xfrm>
                        <a:off x="0" y="0"/>
                        <a:ext cx="876300" cy="238125"/>
                      </a:xfrm>
                      <a:prstGeom prst="rect">
                        <a:avLst/>
                      </a:prstGeom>
                      <a:solidFill>
                        <a:srgbClr val="BCD0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8BA1AD" id="Rectangle 26" o:spid="_x0000_s1026" style="position:absolute;margin-left:0;margin-top:9.2pt;width:69pt;height:18.75pt;z-index:-25165721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" fillcolor="#bcd090" stroked="f" strokeweight="1pt">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A2A12" w14:textId="77777777" w:rsidR="00D452F2" w:rsidRPr="00B4712C" w:rsidRDefault="00D452F2" w:rsidP="00D452F2">
    <w:pPr>
      <w:pStyle w:val="a9"/>
      <w:framePr w:w="1186" w:wrap="around" w:vAnchor="text" w:hAnchor="page" w:x="91" w:y="1"/>
      <w:jc w:val="right"/>
      <w:rPr>
        <w:rStyle w:val="afc"/>
        <w:b/>
        <w:lang w:val="en-US"/>
      </w:rPr>
    </w:pPr>
    <w:r w:rsidRPr="00CF2C09">
      <w:rPr>
        <w:rStyle w:val="afc"/>
        <w:b/>
      </w:rPr>
      <w:fldChar w:fldCharType="begin"/>
    </w:r>
    <w:r w:rsidRPr="00B4712C">
      <w:rPr>
        <w:rStyle w:val="afc"/>
        <w:b/>
        <w:lang w:val="en-US"/>
      </w:rPr>
      <w:instrText xml:space="preserve">PAGE  </w:instrText>
    </w:r>
    <w:r w:rsidRPr="00CF2C09">
      <w:rPr>
        <w:rStyle w:val="afc"/>
        <w:b/>
      </w:rPr>
      <w:fldChar w:fldCharType="separate"/>
    </w:r>
    <w:r w:rsidRPr="00D452F2">
      <w:rPr>
        <w:rStyle w:val="afc"/>
        <w:b/>
        <w:lang w:val="en-US"/>
      </w:rPr>
      <w:t>3</w:t>
    </w:r>
    <w:r w:rsidRPr="00CF2C09">
      <w:rPr>
        <w:rStyle w:val="afc"/>
        <w:b/>
      </w:rPr>
      <w:fldChar w:fldCharType="end"/>
    </w:r>
  </w:p>
  <w:p w14:paraId="180DE2BB" w14:textId="77777777" w:rsidR="00D452F2" w:rsidRPr="00B4712C" w:rsidRDefault="00D452F2" w:rsidP="00D452F2">
    <w:pPr>
      <w:pStyle w:val="a9"/>
      <w:spacing w:before="20"/>
      <w:ind w:left="426"/>
      <w:rPr>
        <w:lang w:val="en-US"/>
      </w:rPr>
    </w:pPr>
    <w:r>
      <w:rPr>
        <w:noProof/>
        <w:lang w:val="en-US"/>
      </w:rPr>
      <mc:AlternateContent>
        <mc:Choice Requires="wps">
          <w:drawing>
            <wp:anchor distT="0" distB="0" distL="114300" distR="114300" simplePos="0" relativeHeight="251663360" behindDoc="1" locked="0" layoutInCell="1" allowOverlap="1" wp14:anchorId="67BFEE9B" wp14:editId="4931A5DF">
              <wp:simplePos x="0" y="0"/>
              <wp:positionH relativeFrom="page">
                <wp:align>left</wp:align>
              </wp:positionH>
              <wp:positionV relativeFrom="paragraph">
                <wp:posOffset>-19685</wp:posOffset>
              </wp:positionV>
              <wp:extent cx="876300" cy="238125"/>
              <wp:effectExtent l="0" t="0" r="0" b="9525"/>
              <wp:wrapNone/>
              <wp:docPr id="32" name="Rectangle 32"/>
              <wp:cNvGraphicFramePr/>
              <a:graphic xmlns:a="http://schemas.openxmlformats.org/drawingml/2006/main">
                <a:graphicData uri="http://schemas.microsoft.com/office/word/2010/wordprocessingShape">
                  <wps:wsp>
                    <wps:cNvSpPr/>
                    <wps:spPr>
                      <a:xfrm>
                        <a:off x="0" y="0"/>
                        <a:ext cx="876300" cy="238125"/>
                      </a:xfrm>
                      <a:prstGeom prst="rect">
                        <a:avLst/>
                      </a:prstGeom>
                      <a:solidFill>
                        <a:srgbClr val="BCD0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7CEF11" id="Rectangle 32" o:spid="_x0000_s1026" style="position:absolute;margin-left:0;margin-top:-1.55pt;width:69pt;height:18.75pt;z-index:-25165312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" fillcolor="#bcd090" stroked="f" strokeweight="1pt">
              <w10:wrap anchorx="page"/>
            </v:rect>
          </w:pict>
        </mc:Fallback>
      </mc:AlternateContent>
    </w:r>
    <w:r w:rsidRPr="00B4712C">
      <w:rPr>
        <w:lang w:val="en-US"/>
      </w:rPr>
      <w:t>202</w:t>
    </w:r>
    <w:r>
      <w:rPr>
        <w:lang w:val="en-ZA"/>
      </w:rPr>
      <w:t>3</w:t>
    </w:r>
    <w:r w:rsidRPr="00B4712C">
      <w:rPr>
        <w:lang w:val="en-US"/>
      </w:rPr>
      <w:t xml:space="preserve"> FIRST HALF YEAR FINANCIAL RESULTS</w:t>
    </w:r>
  </w:p>
  <w:p w14:paraId="5BB2C3C0" w14:textId="77777777" w:rsidR="00137066" w:rsidRPr="00D452F2" w:rsidRDefault="00137066">
    <w:pPr>
      <w:pStyle w:val="a9"/>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797E8A" w14:textId="77777777" w:rsidR="004A35BF" w:rsidRDefault="004A35BF" w:rsidP="009010E3">
      <w:pPr>
        <w:spacing w:after="0" w:line="240" w:lineRule="auto"/>
      </w:pPr>
      <w:r>
        <w:separator/>
      </w:r>
    </w:p>
  </w:footnote>
  <w:footnote w:type="continuationSeparator" w:id="0">
    <w:p w14:paraId="6B3964A4" w14:textId="77777777" w:rsidR="004A35BF" w:rsidRDefault="004A35BF" w:rsidP="009010E3">
      <w:pPr>
        <w:spacing w:after="0" w:line="240" w:lineRule="auto"/>
      </w:pPr>
      <w:r>
        <w:continuationSeparator/>
      </w:r>
    </w:p>
  </w:footnote>
  <w:footnote w:type="continuationNotice" w:id="1">
    <w:p w14:paraId="337BB860" w14:textId="77777777" w:rsidR="004A35BF" w:rsidRDefault="004A35BF">
      <w:pPr>
        <w:spacing w:after="0" w:line="240" w:lineRule="auto"/>
      </w:pPr>
    </w:p>
  </w:footnote>
  <w:footnote w:id="2">
    <w:p w14:paraId="3464ABA6" w14:textId="2BF06D26" w:rsidR="003156DC" w:rsidRPr="005F60EC" w:rsidRDefault="003156DC" w:rsidP="003156DC">
      <w:pPr>
        <w:pStyle w:val="afa"/>
        <w:spacing w:after="0"/>
        <w:rPr>
          <w:sz w:val="16"/>
          <w:szCs w:val="16"/>
        </w:rPr>
      </w:pPr>
      <w:r w:rsidRPr="00850B9B">
        <w:rPr>
          <w:rStyle w:val="afb"/>
          <w:sz w:val="16"/>
          <w:szCs w:val="16"/>
        </w:rPr>
        <w:footnoteRef/>
      </w:r>
      <w:r>
        <w:t xml:space="preserve"> </w:t>
      </w:r>
      <w:r w:rsidRPr="005F60EC">
        <w:rPr>
          <w:rFonts w:eastAsia="SimSun" w:cs="Calibri"/>
          <w:i/>
          <w:sz w:val="16"/>
          <w:szCs w:val="16"/>
        </w:rPr>
        <w:t xml:space="preserve">Για τον ορισμό του αναπροσαρμοσμένου </w:t>
      </w:r>
      <w:r w:rsidRPr="005F60EC">
        <w:rPr>
          <w:rFonts w:eastAsia="SimSun" w:cs="Calibri"/>
          <w:i/>
          <w:sz w:val="16"/>
          <w:szCs w:val="16"/>
          <w:lang w:val="en-GB"/>
        </w:rPr>
        <w:t>EBITDA</w:t>
      </w:r>
      <w:r w:rsidRPr="005F60EC">
        <w:rPr>
          <w:rFonts w:eastAsia="SimSun" w:cs="Calibri"/>
          <w:i/>
          <w:sz w:val="16"/>
          <w:szCs w:val="16"/>
        </w:rPr>
        <w:t>, ανατρέξτε στο Παράρτημα Δ «Εναλλακτικά Μέτρα Απόδοσης (ΕΜΑ)».</w:t>
      </w:r>
    </w:p>
  </w:footnote>
  <w:footnote w:id="3">
    <w:p w14:paraId="5019DC7B" w14:textId="77777777" w:rsidR="009D38DB" w:rsidRPr="005F60EC" w:rsidRDefault="009D38DB" w:rsidP="009D38DB">
      <w:pPr>
        <w:pStyle w:val="afa"/>
        <w:spacing w:after="0"/>
        <w:rPr>
          <w:sz w:val="16"/>
          <w:szCs w:val="16"/>
        </w:rPr>
      </w:pPr>
      <w:r w:rsidRPr="005F60EC">
        <w:rPr>
          <w:rStyle w:val="afb"/>
          <w:sz w:val="16"/>
          <w:szCs w:val="16"/>
        </w:rPr>
        <w:footnoteRef/>
      </w:r>
      <w:r w:rsidRPr="005F60EC">
        <w:rPr>
          <w:sz w:val="16"/>
          <w:szCs w:val="16"/>
        </w:rPr>
        <w:t xml:space="preserve"> </w:t>
      </w:r>
      <w:r w:rsidRPr="005F60EC">
        <w:rPr>
          <w:rFonts w:eastAsia="SimSun" w:cs="Calibri"/>
          <w:i/>
          <w:sz w:val="16"/>
          <w:szCs w:val="16"/>
        </w:rPr>
        <w:t>Το ανεκτέλεστο υπόλοιπο παραγγελιών περιλαμβάνει υπογεγραμμένες συμβάσεις, καθώς και έργα που δεν έχουν ακόμη υπογραφεί, για τα οποία οι θυγατρικές εταιρείες έχουν λάβει επιστολή κατακύρωσης ή έχουν ανακηρυχθεί ως προτιμητέος ανάδοχος («</w:t>
      </w:r>
      <w:r w:rsidRPr="005F60EC">
        <w:rPr>
          <w:rFonts w:eastAsia="SimSun" w:cs="Calibri"/>
          <w:i/>
          <w:sz w:val="16"/>
          <w:szCs w:val="16"/>
          <w:lang w:val="en-GB"/>
        </w:rPr>
        <w:t>preferred</w:t>
      </w:r>
      <w:r w:rsidRPr="005F60EC">
        <w:rPr>
          <w:rFonts w:eastAsia="SimSun" w:cs="Calibri"/>
          <w:i/>
          <w:sz w:val="16"/>
          <w:szCs w:val="16"/>
        </w:rPr>
        <w:t xml:space="preserve"> </w:t>
      </w:r>
      <w:r w:rsidRPr="005F60EC">
        <w:rPr>
          <w:rFonts w:eastAsia="SimSun" w:cs="Calibri"/>
          <w:i/>
          <w:sz w:val="16"/>
          <w:szCs w:val="16"/>
          <w:lang w:val="en-GB"/>
        </w:rPr>
        <w:t>bidder</w:t>
      </w:r>
      <w:r w:rsidRPr="005F60EC">
        <w:rPr>
          <w:rFonts w:eastAsia="SimSun" w:cs="Calibri"/>
          <w: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D3197" w14:textId="2703DA2A" w:rsidR="00C755AC" w:rsidRDefault="00C755AC">
    <w:pPr>
      <w:pStyle w:val="a8"/>
    </w:pPr>
    <w:r>
      <w:rPr>
        <w:noProof/>
        <w:lang w:val="en-US"/>
      </w:rPr>
      <w:drawing>
        <wp:anchor distT="0" distB="0" distL="114300" distR="114300" simplePos="0" relativeHeight="251661312" behindDoc="0" locked="0" layoutInCell="1" allowOverlap="1" wp14:anchorId="59D55226" wp14:editId="7C6E8AC5">
          <wp:simplePos x="0" y="0"/>
          <wp:positionH relativeFrom="margin">
            <wp:posOffset>-238125</wp:posOffset>
          </wp:positionH>
          <wp:positionV relativeFrom="paragraph">
            <wp:posOffset>-47625</wp:posOffset>
          </wp:positionV>
          <wp:extent cx="6869430" cy="1111333"/>
          <wp:effectExtent l="0" t="0" r="7620" b="0"/>
          <wp:wrapNone/>
          <wp:docPr id="31" name="Picture 3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white background with black dots&#10;&#10;Description automatically generated"/>
                  <pic:cNvPicPr/>
                </pic:nvPicPr>
                <pic:blipFill rotWithShape="1">
                  <a:blip r:embed="rId1" cstate="print">
                    <a:extLst>
                      <a:ext uri="{28A0092B-C50C-407E-A947-70E740481C1C}">
                        <a14:useLocalDpi xmlns:a14="http://schemas.microsoft.com/office/drawing/2010/main" val="0"/>
                      </a:ext>
                    </a:extLst>
                  </a:blip>
                  <a:srcRect t="1162" b="87401"/>
                  <a:stretch/>
                </pic:blipFill>
                <pic:spPr bwMode="auto">
                  <a:xfrm>
                    <a:off x="0" y="0"/>
                    <a:ext cx="6869430" cy="11113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4EA4D" w14:textId="77777777" w:rsidR="00D452F2" w:rsidRDefault="00D452F2">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66D87"/>
    <w:multiLevelType w:val="hybridMultilevel"/>
    <w:tmpl w:val="4AA02F64"/>
    <w:lvl w:ilvl="0" w:tplc="0409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5755589"/>
    <w:multiLevelType w:val="hybridMultilevel"/>
    <w:tmpl w:val="7EE8ED6C"/>
    <w:lvl w:ilvl="0" w:tplc="59B880E0">
      <w:start w:val="31"/>
      <w:numFmt w:val="bullet"/>
      <w:lvlText w:val=""/>
      <w:lvlJc w:val="left"/>
      <w:pPr>
        <w:ind w:left="720" w:hanging="360"/>
      </w:pPr>
      <w:rPr>
        <w:rFonts w:ascii="Symbol" w:eastAsia="SimSu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FF5BB6"/>
    <w:multiLevelType w:val="hybridMultilevel"/>
    <w:tmpl w:val="18A4D1E4"/>
    <w:lvl w:ilvl="0" w:tplc="6A40A89C">
      <w:numFmt w:val="bullet"/>
      <w:lvlText w:val="-"/>
      <w:lvlJc w:val="left"/>
      <w:pPr>
        <w:ind w:left="720" w:hanging="360"/>
      </w:pPr>
      <w:rPr>
        <w:rFonts w:ascii="Arial" w:eastAsia="SC STKaiti" w:hAnsi="Arial" w:cs="Arial" w:hint="default"/>
      </w:rPr>
    </w:lvl>
    <w:lvl w:ilvl="1" w:tplc="FFFFFFFF">
      <w:numFmt w:val="bullet"/>
      <w:lvlText w:val="•"/>
      <w:lvlJc w:val="left"/>
      <w:pPr>
        <w:ind w:left="1800" w:hanging="720"/>
      </w:pPr>
      <w:rPr>
        <w:rFonts w:ascii="Calibri" w:eastAsia="SimSun"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B75131A"/>
    <w:multiLevelType w:val="hybridMultilevel"/>
    <w:tmpl w:val="D9A4253C"/>
    <w:lvl w:ilvl="0" w:tplc="E4FAF26C">
      <w:start w:val="1"/>
      <w:numFmt w:val="lowerRoman"/>
      <w:lvlText w:val="(%1)"/>
      <w:lvlJc w:val="left"/>
      <w:pPr>
        <w:ind w:left="360" w:hanging="360"/>
      </w:pPr>
      <w:rPr>
        <w:rFonts w:ascii="Calibri" w:hAnsi="Calibri" w:cs="Calibri" w:hint="default"/>
        <w:sz w:val="22"/>
        <w:szCs w:val="22"/>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21E33457"/>
    <w:multiLevelType w:val="hybridMultilevel"/>
    <w:tmpl w:val="3A681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7F74BE"/>
    <w:multiLevelType w:val="hybridMultilevel"/>
    <w:tmpl w:val="EDD23E78"/>
    <w:lvl w:ilvl="0" w:tplc="6A40A89C">
      <w:numFmt w:val="bullet"/>
      <w:lvlText w:val="-"/>
      <w:lvlJc w:val="left"/>
      <w:pPr>
        <w:ind w:left="720" w:hanging="360"/>
      </w:pPr>
      <w:rPr>
        <w:rFonts w:ascii="Arial" w:eastAsia="SC STKaiti" w:hAnsi="Arial" w:cs="Arial" w:hint="default"/>
      </w:rPr>
    </w:lvl>
    <w:lvl w:ilvl="1" w:tplc="FFFFFFFF">
      <w:numFmt w:val="bullet"/>
      <w:lvlText w:val="•"/>
      <w:lvlJc w:val="left"/>
      <w:pPr>
        <w:ind w:left="1800" w:hanging="720"/>
      </w:pPr>
      <w:rPr>
        <w:rFonts w:ascii="Calibri" w:eastAsia="SimSun"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A831141"/>
    <w:multiLevelType w:val="hybridMultilevel"/>
    <w:tmpl w:val="4C1674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EF35110"/>
    <w:multiLevelType w:val="hybridMultilevel"/>
    <w:tmpl w:val="B5029F08"/>
    <w:lvl w:ilvl="0" w:tplc="6A560484">
      <w:numFmt w:val="bullet"/>
      <w:lvlText w:val="-"/>
      <w:lvlJc w:val="left"/>
      <w:pPr>
        <w:ind w:left="408" w:hanging="360"/>
      </w:pPr>
      <w:rPr>
        <w:rFonts w:ascii="Calibri" w:eastAsia="Calibri" w:hAnsi="Calibri" w:cs="Calibri" w:hint="default"/>
        <w:color w:val="000000"/>
      </w:rPr>
    </w:lvl>
    <w:lvl w:ilvl="1" w:tplc="04090003">
      <w:start w:val="1"/>
      <w:numFmt w:val="bullet"/>
      <w:lvlText w:val="o"/>
      <w:lvlJc w:val="left"/>
      <w:pPr>
        <w:ind w:left="1128" w:hanging="360"/>
      </w:pPr>
      <w:rPr>
        <w:rFonts w:ascii="Courier New" w:hAnsi="Courier New" w:cs="Courier New" w:hint="default"/>
      </w:rPr>
    </w:lvl>
    <w:lvl w:ilvl="2" w:tplc="04090005">
      <w:start w:val="1"/>
      <w:numFmt w:val="bullet"/>
      <w:lvlText w:val=""/>
      <w:lvlJc w:val="left"/>
      <w:pPr>
        <w:ind w:left="1848" w:hanging="360"/>
      </w:pPr>
      <w:rPr>
        <w:rFonts w:ascii="Wingdings" w:hAnsi="Wingdings" w:hint="default"/>
      </w:rPr>
    </w:lvl>
    <w:lvl w:ilvl="3" w:tplc="04090001">
      <w:start w:val="1"/>
      <w:numFmt w:val="bullet"/>
      <w:lvlText w:val=""/>
      <w:lvlJc w:val="left"/>
      <w:pPr>
        <w:ind w:left="2568" w:hanging="360"/>
      </w:pPr>
      <w:rPr>
        <w:rFonts w:ascii="Symbol" w:hAnsi="Symbol" w:hint="default"/>
      </w:rPr>
    </w:lvl>
    <w:lvl w:ilvl="4" w:tplc="04090003">
      <w:start w:val="1"/>
      <w:numFmt w:val="bullet"/>
      <w:lvlText w:val="o"/>
      <w:lvlJc w:val="left"/>
      <w:pPr>
        <w:ind w:left="3288" w:hanging="360"/>
      </w:pPr>
      <w:rPr>
        <w:rFonts w:ascii="Courier New" w:hAnsi="Courier New" w:cs="Courier New" w:hint="default"/>
      </w:rPr>
    </w:lvl>
    <w:lvl w:ilvl="5" w:tplc="04090005">
      <w:start w:val="1"/>
      <w:numFmt w:val="bullet"/>
      <w:lvlText w:val=""/>
      <w:lvlJc w:val="left"/>
      <w:pPr>
        <w:ind w:left="4008" w:hanging="360"/>
      </w:pPr>
      <w:rPr>
        <w:rFonts w:ascii="Wingdings" w:hAnsi="Wingdings" w:hint="default"/>
      </w:rPr>
    </w:lvl>
    <w:lvl w:ilvl="6" w:tplc="04090001">
      <w:start w:val="1"/>
      <w:numFmt w:val="bullet"/>
      <w:lvlText w:val=""/>
      <w:lvlJc w:val="left"/>
      <w:pPr>
        <w:ind w:left="4728" w:hanging="360"/>
      </w:pPr>
      <w:rPr>
        <w:rFonts w:ascii="Symbol" w:hAnsi="Symbol" w:hint="default"/>
      </w:rPr>
    </w:lvl>
    <w:lvl w:ilvl="7" w:tplc="04090003">
      <w:start w:val="1"/>
      <w:numFmt w:val="bullet"/>
      <w:lvlText w:val="o"/>
      <w:lvlJc w:val="left"/>
      <w:pPr>
        <w:ind w:left="5448" w:hanging="360"/>
      </w:pPr>
      <w:rPr>
        <w:rFonts w:ascii="Courier New" w:hAnsi="Courier New" w:cs="Courier New" w:hint="default"/>
      </w:rPr>
    </w:lvl>
    <w:lvl w:ilvl="8" w:tplc="04090005">
      <w:start w:val="1"/>
      <w:numFmt w:val="bullet"/>
      <w:lvlText w:val=""/>
      <w:lvlJc w:val="left"/>
      <w:pPr>
        <w:ind w:left="6168" w:hanging="360"/>
      </w:pPr>
      <w:rPr>
        <w:rFonts w:ascii="Wingdings" w:hAnsi="Wingdings" w:hint="default"/>
      </w:rPr>
    </w:lvl>
  </w:abstractNum>
  <w:abstractNum w:abstractNumId="8" w15:restartNumberingAfterBreak="0">
    <w:nsid w:val="2F187738"/>
    <w:multiLevelType w:val="hybridMultilevel"/>
    <w:tmpl w:val="83FCECEE"/>
    <w:lvl w:ilvl="0" w:tplc="93B4FD50">
      <w:start w:val="1"/>
      <w:numFmt w:val="lowerRoman"/>
      <w:lvlText w:val="(%1)"/>
      <w:lvlJc w:val="left"/>
      <w:pPr>
        <w:ind w:left="816" w:hanging="720"/>
      </w:pPr>
      <w:rPr>
        <w:rFonts w:hint="default"/>
      </w:rPr>
    </w:lvl>
    <w:lvl w:ilvl="1" w:tplc="04080019" w:tentative="1">
      <w:start w:val="1"/>
      <w:numFmt w:val="lowerLetter"/>
      <w:lvlText w:val="%2."/>
      <w:lvlJc w:val="left"/>
      <w:pPr>
        <w:ind w:left="1176" w:hanging="360"/>
      </w:pPr>
    </w:lvl>
    <w:lvl w:ilvl="2" w:tplc="0408001B" w:tentative="1">
      <w:start w:val="1"/>
      <w:numFmt w:val="lowerRoman"/>
      <w:lvlText w:val="%3."/>
      <w:lvlJc w:val="right"/>
      <w:pPr>
        <w:ind w:left="1896" w:hanging="180"/>
      </w:pPr>
    </w:lvl>
    <w:lvl w:ilvl="3" w:tplc="0408000F" w:tentative="1">
      <w:start w:val="1"/>
      <w:numFmt w:val="decimal"/>
      <w:lvlText w:val="%4."/>
      <w:lvlJc w:val="left"/>
      <w:pPr>
        <w:ind w:left="2616" w:hanging="360"/>
      </w:pPr>
    </w:lvl>
    <w:lvl w:ilvl="4" w:tplc="04080019" w:tentative="1">
      <w:start w:val="1"/>
      <w:numFmt w:val="lowerLetter"/>
      <w:lvlText w:val="%5."/>
      <w:lvlJc w:val="left"/>
      <w:pPr>
        <w:ind w:left="3336" w:hanging="360"/>
      </w:pPr>
    </w:lvl>
    <w:lvl w:ilvl="5" w:tplc="0408001B" w:tentative="1">
      <w:start w:val="1"/>
      <w:numFmt w:val="lowerRoman"/>
      <w:lvlText w:val="%6."/>
      <w:lvlJc w:val="right"/>
      <w:pPr>
        <w:ind w:left="4056" w:hanging="180"/>
      </w:pPr>
    </w:lvl>
    <w:lvl w:ilvl="6" w:tplc="0408000F" w:tentative="1">
      <w:start w:val="1"/>
      <w:numFmt w:val="decimal"/>
      <w:lvlText w:val="%7."/>
      <w:lvlJc w:val="left"/>
      <w:pPr>
        <w:ind w:left="4776" w:hanging="360"/>
      </w:pPr>
    </w:lvl>
    <w:lvl w:ilvl="7" w:tplc="04080019" w:tentative="1">
      <w:start w:val="1"/>
      <w:numFmt w:val="lowerLetter"/>
      <w:lvlText w:val="%8."/>
      <w:lvlJc w:val="left"/>
      <w:pPr>
        <w:ind w:left="5496" w:hanging="360"/>
      </w:pPr>
    </w:lvl>
    <w:lvl w:ilvl="8" w:tplc="0408001B" w:tentative="1">
      <w:start w:val="1"/>
      <w:numFmt w:val="lowerRoman"/>
      <w:lvlText w:val="%9."/>
      <w:lvlJc w:val="right"/>
      <w:pPr>
        <w:ind w:left="6216" w:hanging="180"/>
      </w:pPr>
    </w:lvl>
  </w:abstractNum>
  <w:abstractNum w:abstractNumId="9" w15:restartNumberingAfterBreak="0">
    <w:nsid w:val="43196112"/>
    <w:multiLevelType w:val="hybridMultilevel"/>
    <w:tmpl w:val="5596C17E"/>
    <w:lvl w:ilvl="0" w:tplc="550647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8855DD"/>
    <w:multiLevelType w:val="multilevel"/>
    <w:tmpl w:val="A73647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802BD0"/>
    <w:multiLevelType w:val="hybridMultilevel"/>
    <w:tmpl w:val="2620E10A"/>
    <w:lvl w:ilvl="0" w:tplc="04090001">
      <w:start w:val="1"/>
      <w:numFmt w:val="bullet"/>
      <w:lvlText w:val=""/>
      <w:lvlJc w:val="left"/>
      <w:pPr>
        <w:ind w:left="1778" w:hanging="360"/>
      </w:pPr>
      <w:rPr>
        <w:rFonts w:ascii="Symbol" w:hAnsi="Symbol" w:hint="default"/>
        <w:b w:val="0"/>
        <w:color w:val="auto"/>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12" w15:restartNumberingAfterBreak="0">
    <w:nsid w:val="4F122F28"/>
    <w:multiLevelType w:val="hybridMultilevel"/>
    <w:tmpl w:val="AD761692"/>
    <w:lvl w:ilvl="0" w:tplc="6A40A89C">
      <w:numFmt w:val="bullet"/>
      <w:lvlText w:val="-"/>
      <w:lvlJc w:val="left"/>
      <w:pPr>
        <w:ind w:left="720" w:hanging="360"/>
      </w:pPr>
      <w:rPr>
        <w:rFonts w:ascii="Arial" w:eastAsia="SC STKaiti" w:hAnsi="Arial" w:cs="Arial" w:hint="default"/>
      </w:rPr>
    </w:lvl>
    <w:lvl w:ilvl="1" w:tplc="FFFFFFFF">
      <w:numFmt w:val="bullet"/>
      <w:lvlText w:val="•"/>
      <w:lvlJc w:val="left"/>
      <w:pPr>
        <w:ind w:left="1800" w:hanging="720"/>
      </w:pPr>
      <w:rPr>
        <w:rFonts w:ascii="Calibri" w:eastAsia="SimSun"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68A2A08"/>
    <w:multiLevelType w:val="hybridMultilevel"/>
    <w:tmpl w:val="4810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4B6C1D"/>
    <w:multiLevelType w:val="hybridMultilevel"/>
    <w:tmpl w:val="C8227E50"/>
    <w:lvl w:ilvl="0" w:tplc="350A230A">
      <w:start w:val="1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29322C"/>
    <w:multiLevelType w:val="hybridMultilevel"/>
    <w:tmpl w:val="E7D8EA7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5A832560"/>
    <w:multiLevelType w:val="hybridMultilevel"/>
    <w:tmpl w:val="55A62418"/>
    <w:lvl w:ilvl="0" w:tplc="04090005">
      <w:start w:val="1"/>
      <w:numFmt w:val="bullet"/>
      <w:lvlText w:val=""/>
      <w:lvlJc w:val="left"/>
      <w:pPr>
        <w:ind w:left="720" w:hanging="360"/>
      </w:pPr>
      <w:rPr>
        <w:rFonts w:ascii="Wingdings" w:hAnsi="Wingdings" w:hint="default"/>
      </w:rPr>
    </w:lvl>
    <w:lvl w:ilvl="1" w:tplc="A3C09DC2">
      <w:numFmt w:val="bullet"/>
      <w:lvlText w:val="•"/>
      <w:lvlJc w:val="left"/>
      <w:pPr>
        <w:ind w:left="1800" w:hanging="720"/>
      </w:pPr>
      <w:rPr>
        <w:rFonts w:ascii="Calibri" w:eastAsia="SimSu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8E0A75"/>
    <w:multiLevelType w:val="hybridMultilevel"/>
    <w:tmpl w:val="FE6C1DFE"/>
    <w:lvl w:ilvl="0" w:tplc="FA82F282">
      <w:start w:val="2019"/>
      <w:numFmt w:val="bullet"/>
      <w:lvlText w:val="-"/>
      <w:lvlJc w:val="left"/>
      <w:pPr>
        <w:ind w:left="405" w:hanging="360"/>
      </w:pPr>
      <w:rPr>
        <w:rFonts w:ascii="Calibri" w:eastAsia="Calibr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8" w15:restartNumberingAfterBreak="0">
    <w:nsid w:val="5FE8254C"/>
    <w:multiLevelType w:val="hybridMultilevel"/>
    <w:tmpl w:val="300C9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B27768"/>
    <w:multiLevelType w:val="hybridMultilevel"/>
    <w:tmpl w:val="54328334"/>
    <w:lvl w:ilvl="0" w:tplc="550647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AB5F07"/>
    <w:multiLevelType w:val="hybridMultilevel"/>
    <w:tmpl w:val="8EA27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7645DB"/>
    <w:multiLevelType w:val="hybridMultilevel"/>
    <w:tmpl w:val="DDBE4078"/>
    <w:lvl w:ilvl="0" w:tplc="2332A2AA">
      <w:start w:val="1"/>
      <w:numFmt w:val="decimal"/>
      <w:lvlText w:val="(%1)"/>
      <w:lvlJc w:val="left"/>
      <w:pPr>
        <w:ind w:left="540" w:hanging="360"/>
      </w:pPr>
      <w:rPr>
        <w:rFonts w:hint="default"/>
      </w:rPr>
    </w:lvl>
    <w:lvl w:ilvl="1" w:tplc="04080019" w:tentative="1">
      <w:start w:val="1"/>
      <w:numFmt w:val="lowerLetter"/>
      <w:lvlText w:val="%2."/>
      <w:lvlJc w:val="left"/>
      <w:pPr>
        <w:ind w:left="1620" w:hanging="360"/>
      </w:pPr>
    </w:lvl>
    <w:lvl w:ilvl="2" w:tplc="0408001B" w:tentative="1">
      <w:start w:val="1"/>
      <w:numFmt w:val="lowerRoman"/>
      <w:lvlText w:val="%3."/>
      <w:lvlJc w:val="right"/>
      <w:pPr>
        <w:ind w:left="2340" w:hanging="180"/>
      </w:pPr>
    </w:lvl>
    <w:lvl w:ilvl="3" w:tplc="0408000F" w:tentative="1">
      <w:start w:val="1"/>
      <w:numFmt w:val="decimal"/>
      <w:lvlText w:val="%4."/>
      <w:lvlJc w:val="left"/>
      <w:pPr>
        <w:ind w:left="3060" w:hanging="360"/>
      </w:pPr>
    </w:lvl>
    <w:lvl w:ilvl="4" w:tplc="04080019" w:tentative="1">
      <w:start w:val="1"/>
      <w:numFmt w:val="lowerLetter"/>
      <w:lvlText w:val="%5."/>
      <w:lvlJc w:val="left"/>
      <w:pPr>
        <w:ind w:left="3780" w:hanging="360"/>
      </w:pPr>
    </w:lvl>
    <w:lvl w:ilvl="5" w:tplc="0408001B" w:tentative="1">
      <w:start w:val="1"/>
      <w:numFmt w:val="lowerRoman"/>
      <w:lvlText w:val="%6."/>
      <w:lvlJc w:val="right"/>
      <w:pPr>
        <w:ind w:left="4500" w:hanging="180"/>
      </w:pPr>
    </w:lvl>
    <w:lvl w:ilvl="6" w:tplc="0408000F" w:tentative="1">
      <w:start w:val="1"/>
      <w:numFmt w:val="decimal"/>
      <w:lvlText w:val="%7."/>
      <w:lvlJc w:val="left"/>
      <w:pPr>
        <w:ind w:left="5220" w:hanging="360"/>
      </w:pPr>
    </w:lvl>
    <w:lvl w:ilvl="7" w:tplc="04080019" w:tentative="1">
      <w:start w:val="1"/>
      <w:numFmt w:val="lowerLetter"/>
      <w:lvlText w:val="%8."/>
      <w:lvlJc w:val="left"/>
      <w:pPr>
        <w:ind w:left="5940" w:hanging="360"/>
      </w:pPr>
    </w:lvl>
    <w:lvl w:ilvl="8" w:tplc="0408001B" w:tentative="1">
      <w:start w:val="1"/>
      <w:numFmt w:val="lowerRoman"/>
      <w:lvlText w:val="%9."/>
      <w:lvlJc w:val="right"/>
      <w:pPr>
        <w:ind w:left="6660" w:hanging="180"/>
      </w:pPr>
    </w:lvl>
  </w:abstractNum>
  <w:abstractNum w:abstractNumId="22" w15:restartNumberingAfterBreak="0">
    <w:nsid w:val="77095BF2"/>
    <w:multiLevelType w:val="hybridMultilevel"/>
    <w:tmpl w:val="36302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D2078B"/>
    <w:multiLevelType w:val="hybridMultilevel"/>
    <w:tmpl w:val="460209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78907CD5"/>
    <w:multiLevelType w:val="hybridMultilevel"/>
    <w:tmpl w:val="66CAEA84"/>
    <w:lvl w:ilvl="0" w:tplc="6A40A89C">
      <w:numFmt w:val="bullet"/>
      <w:lvlText w:val="-"/>
      <w:lvlJc w:val="left"/>
      <w:pPr>
        <w:ind w:left="720" w:hanging="360"/>
      </w:pPr>
      <w:rPr>
        <w:rFonts w:ascii="Arial" w:eastAsia="SC STKaiti" w:hAnsi="Arial" w:cs="Arial" w:hint="default"/>
      </w:rPr>
    </w:lvl>
    <w:lvl w:ilvl="1" w:tplc="FFFFFFFF">
      <w:numFmt w:val="bullet"/>
      <w:lvlText w:val="•"/>
      <w:lvlJc w:val="left"/>
      <w:pPr>
        <w:ind w:left="1800" w:hanging="720"/>
      </w:pPr>
      <w:rPr>
        <w:rFonts w:ascii="Calibri" w:eastAsia="SimSun"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B1779B8"/>
    <w:multiLevelType w:val="hybridMultilevel"/>
    <w:tmpl w:val="269A24D8"/>
    <w:lvl w:ilvl="0" w:tplc="7822348C">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2893896">
    <w:abstractNumId w:val="16"/>
  </w:num>
  <w:num w:numId="2" w16cid:durableId="861674045">
    <w:abstractNumId w:val="21"/>
  </w:num>
  <w:num w:numId="3" w16cid:durableId="173152780">
    <w:abstractNumId w:val="11"/>
  </w:num>
  <w:num w:numId="4" w16cid:durableId="934092456">
    <w:abstractNumId w:val="13"/>
  </w:num>
  <w:num w:numId="5" w16cid:durableId="1417360083">
    <w:abstractNumId w:val="19"/>
  </w:num>
  <w:num w:numId="6" w16cid:durableId="218562574">
    <w:abstractNumId w:val="9"/>
  </w:num>
  <w:num w:numId="7" w16cid:durableId="2100590656">
    <w:abstractNumId w:val="14"/>
  </w:num>
  <w:num w:numId="8" w16cid:durableId="1235816139">
    <w:abstractNumId w:val="17"/>
  </w:num>
  <w:num w:numId="9" w16cid:durableId="1449398560">
    <w:abstractNumId w:val="7"/>
  </w:num>
  <w:num w:numId="10" w16cid:durableId="1213346986">
    <w:abstractNumId w:val="7"/>
  </w:num>
  <w:num w:numId="11" w16cid:durableId="1042363356">
    <w:abstractNumId w:val="18"/>
  </w:num>
  <w:num w:numId="12" w16cid:durableId="2125152323">
    <w:abstractNumId w:val="11"/>
  </w:num>
  <w:num w:numId="13" w16cid:durableId="1443916419">
    <w:abstractNumId w:val="20"/>
  </w:num>
  <w:num w:numId="14" w16cid:durableId="64229239">
    <w:abstractNumId w:val="4"/>
  </w:num>
  <w:num w:numId="15" w16cid:durableId="29191397">
    <w:abstractNumId w:val="25"/>
  </w:num>
  <w:num w:numId="16" w16cid:durableId="159588210">
    <w:abstractNumId w:val="15"/>
  </w:num>
  <w:num w:numId="17" w16cid:durableId="780228381">
    <w:abstractNumId w:val="1"/>
  </w:num>
  <w:num w:numId="18" w16cid:durableId="2026125874">
    <w:abstractNumId w:val="22"/>
  </w:num>
  <w:num w:numId="19" w16cid:durableId="492794702">
    <w:abstractNumId w:val="23"/>
  </w:num>
  <w:num w:numId="20" w16cid:durableId="421805582">
    <w:abstractNumId w:val="10"/>
  </w:num>
  <w:num w:numId="21" w16cid:durableId="476805688">
    <w:abstractNumId w:val="0"/>
  </w:num>
  <w:num w:numId="22" w16cid:durableId="923992608">
    <w:abstractNumId w:val="6"/>
  </w:num>
  <w:num w:numId="23" w16cid:durableId="373041958">
    <w:abstractNumId w:val="3"/>
  </w:num>
  <w:num w:numId="24" w16cid:durableId="1929804456">
    <w:abstractNumId w:val="8"/>
  </w:num>
  <w:num w:numId="25" w16cid:durableId="685669808">
    <w:abstractNumId w:val="2"/>
  </w:num>
  <w:num w:numId="26" w16cid:durableId="2139644140">
    <w:abstractNumId w:val="5"/>
  </w:num>
  <w:num w:numId="27" w16cid:durableId="1284071031">
    <w:abstractNumId w:val="24"/>
  </w:num>
  <w:num w:numId="28" w16cid:durableId="1616327284">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5"/>
  <w:proofState w:spelling="clean" w:grammar="clean"/>
  <w:defaultTabStop w:val="720"/>
  <w:characterSpacingControl w:val="doNotCompress"/>
  <w:hdrShapeDefaults>
    <o:shapedefaults v:ext="edit" spidmax="2050" fillcolor="white" stroke="f">
      <v:fill color="whit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2F1"/>
    <w:rsid w:val="0000061B"/>
    <w:rsid w:val="00000639"/>
    <w:rsid w:val="00000987"/>
    <w:rsid w:val="000014FF"/>
    <w:rsid w:val="00002145"/>
    <w:rsid w:val="000021C0"/>
    <w:rsid w:val="00002A1E"/>
    <w:rsid w:val="0000454D"/>
    <w:rsid w:val="0000542B"/>
    <w:rsid w:val="00005762"/>
    <w:rsid w:val="00005819"/>
    <w:rsid w:val="000065DE"/>
    <w:rsid w:val="00006C4D"/>
    <w:rsid w:val="00007355"/>
    <w:rsid w:val="000131C8"/>
    <w:rsid w:val="0001455D"/>
    <w:rsid w:val="0001569D"/>
    <w:rsid w:val="00017012"/>
    <w:rsid w:val="000215FF"/>
    <w:rsid w:val="00021B7F"/>
    <w:rsid w:val="000220FB"/>
    <w:rsid w:val="000234A8"/>
    <w:rsid w:val="00023957"/>
    <w:rsid w:val="000244FC"/>
    <w:rsid w:val="00024705"/>
    <w:rsid w:val="00025596"/>
    <w:rsid w:val="000261CF"/>
    <w:rsid w:val="00027BEE"/>
    <w:rsid w:val="00027C08"/>
    <w:rsid w:val="00027C2C"/>
    <w:rsid w:val="00027EBC"/>
    <w:rsid w:val="00027FB0"/>
    <w:rsid w:val="00030541"/>
    <w:rsid w:val="000311CF"/>
    <w:rsid w:val="00032688"/>
    <w:rsid w:val="0003303D"/>
    <w:rsid w:val="00033206"/>
    <w:rsid w:val="0003385C"/>
    <w:rsid w:val="00033CEA"/>
    <w:rsid w:val="00033F0D"/>
    <w:rsid w:val="00034F4A"/>
    <w:rsid w:val="0003585B"/>
    <w:rsid w:val="00035A34"/>
    <w:rsid w:val="000367F3"/>
    <w:rsid w:val="0003735A"/>
    <w:rsid w:val="00037B49"/>
    <w:rsid w:val="00037F13"/>
    <w:rsid w:val="00037F54"/>
    <w:rsid w:val="0004016F"/>
    <w:rsid w:val="000407D2"/>
    <w:rsid w:val="0004125D"/>
    <w:rsid w:val="000416E5"/>
    <w:rsid w:val="00041B3A"/>
    <w:rsid w:val="00042154"/>
    <w:rsid w:val="00042FB2"/>
    <w:rsid w:val="0004493A"/>
    <w:rsid w:val="0004494F"/>
    <w:rsid w:val="00044DA4"/>
    <w:rsid w:val="000453DC"/>
    <w:rsid w:val="000462CD"/>
    <w:rsid w:val="0004672B"/>
    <w:rsid w:val="0004692C"/>
    <w:rsid w:val="00046B4A"/>
    <w:rsid w:val="00046FD9"/>
    <w:rsid w:val="000472FE"/>
    <w:rsid w:val="00051855"/>
    <w:rsid w:val="00051CD6"/>
    <w:rsid w:val="00053842"/>
    <w:rsid w:val="00054B74"/>
    <w:rsid w:val="00054FBA"/>
    <w:rsid w:val="00056343"/>
    <w:rsid w:val="000567F9"/>
    <w:rsid w:val="0005732C"/>
    <w:rsid w:val="00057496"/>
    <w:rsid w:val="0005755D"/>
    <w:rsid w:val="00057C36"/>
    <w:rsid w:val="00060243"/>
    <w:rsid w:val="000606A3"/>
    <w:rsid w:val="00061363"/>
    <w:rsid w:val="00061E69"/>
    <w:rsid w:val="00061F2E"/>
    <w:rsid w:val="00062125"/>
    <w:rsid w:val="000622A0"/>
    <w:rsid w:val="000622E3"/>
    <w:rsid w:val="00062B86"/>
    <w:rsid w:val="000634AF"/>
    <w:rsid w:val="00063756"/>
    <w:rsid w:val="00063FAC"/>
    <w:rsid w:val="0006401B"/>
    <w:rsid w:val="000656BD"/>
    <w:rsid w:val="000656E9"/>
    <w:rsid w:val="00065F6A"/>
    <w:rsid w:val="00066DE5"/>
    <w:rsid w:val="0006721C"/>
    <w:rsid w:val="000675C0"/>
    <w:rsid w:val="0006762B"/>
    <w:rsid w:val="000676B9"/>
    <w:rsid w:val="00067839"/>
    <w:rsid w:val="0006796C"/>
    <w:rsid w:val="00070FEA"/>
    <w:rsid w:val="00071458"/>
    <w:rsid w:val="00071638"/>
    <w:rsid w:val="00071B89"/>
    <w:rsid w:val="0007202E"/>
    <w:rsid w:val="000720F7"/>
    <w:rsid w:val="00072601"/>
    <w:rsid w:val="00072651"/>
    <w:rsid w:val="00072D0A"/>
    <w:rsid w:val="0007341F"/>
    <w:rsid w:val="0007345B"/>
    <w:rsid w:val="00073AA6"/>
    <w:rsid w:val="000748A7"/>
    <w:rsid w:val="00074D11"/>
    <w:rsid w:val="0007602D"/>
    <w:rsid w:val="000775D8"/>
    <w:rsid w:val="000777BD"/>
    <w:rsid w:val="00080950"/>
    <w:rsid w:val="00080A8E"/>
    <w:rsid w:val="000825C3"/>
    <w:rsid w:val="000829A8"/>
    <w:rsid w:val="000832D0"/>
    <w:rsid w:val="0008364D"/>
    <w:rsid w:val="00083F54"/>
    <w:rsid w:val="00083FCE"/>
    <w:rsid w:val="00084DD8"/>
    <w:rsid w:val="0008679B"/>
    <w:rsid w:val="00086E4F"/>
    <w:rsid w:val="000879AD"/>
    <w:rsid w:val="00087FFB"/>
    <w:rsid w:val="00090A4D"/>
    <w:rsid w:val="00090E14"/>
    <w:rsid w:val="000912AB"/>
    <w:rsid w:val="00091904"/>
    <w:rsid w:val="000933A4"/>
    <w:rsid w:val="00095A71"/>
    <w:rsid w:val="000960C7"/>
    <w:rsid w:val="000961FE"/>
    <w:rsid w:val="00096444"/>
    <w:rsid w:val="00096508"/>
    <w:rsid w:val="00096907"/>
    <w:rsid w:val="00097159"/>
    <w:rsid w:val="000972CB"/>
    <w:rsid w:val="0009734B"/>
    <w:rsid w:val="00097B8D"/>
    <w:rsid w:val="000A05B9"/>
    <w:rsid w:val="000A0ADB"/>
    <w:rsid w:val="000A1996"/>
    <w:rsid w:val="000A19DE"/>
    <w:rsid w:val="000A22FF"/>
    <w:rsid w:val="000A2D70"/>
    <w:rsid w:val="000A3BA2"/>
    <w:rsid w:val="000A4290"/>
    <w:rsid w:val="000A49FE"/>
    <w:rsid w:val="000A4CEB"/>
    <w:rsid w:val="000A5303"/>
    <w:rsid w:val="000A62EA"/>
    <w:rsid w:val="000A6801"/>
    <w:rsid w:val="000A68D2"/>
    <w:rsid w:val="000B09D0"/>
    <w:rsid w:val="000B11DE"/>
    <w:rsid w:val="000B148B"/>
    <w:rsid w:val="000B1A4F"/>
    <w:rsid w:val="000B1CBF"/>
    <w:rsid w:val="000B20D9"/>
    <w:rsid w:val="000B22EE"/>
    <w:rsid w:val="000B43CE"/>
    <w:rsid w:val="000B5CC4"/>
    <w:rsid w:val="000B6116"/>
    <w:rsid w:val="000B6869"/>
    <w:rsid w:val="000B6E3F"/>
    <w:rsid w:val="000B709F"/>
    <w:rsid w:val="000C0267"/>
    <w:rsid w:val="000C0B04"/>
    <w:rsid w:val="000C1470"/>
    <w:rsid w:val="000C1801"/>
    <w:rsid w:val="000C1EAC"/>
    <w:rsid w:val="000C21ED"/>
    <w:rsid w:val="000C24C2"/>
    <w:rsid w:val="000C2A35"/>
    <w:rsid w:val="000C34D8"/>
    <w:rsid w:val="000C3BB4"/>
    <w:rsid w:val="000C3E15"/>
    <w:rsid w:val="000C49A6"/>
    <w:rsid w:val="000C51B6"/>
    <w:rsid w:val="000C5F43"/>
    <w:rsid w:val="000C6187"/>
    <w:rsid w:val="000C649E"/>
    <w:rsid w:val="000C6D99"/>
    <w:rsid w:val="000C7212"/>
    <w:rsid w:val="000D04A1"/>
    <w:rsid w:val="000D0B0A"/>
    <w:rsid w:val="000D13F7"/>
    <w:rsid w:val="000D1F17"/>
    <w:rsid w:val="000D2190"/>
    <w:rsid w:val="000D234C"/>
    <w:rsid w:val="000D25C7"/>
    <w:rsid w:val="000D3537"/>
    <w:rsid w:val="000D3B05"/>
    <w:rsid w:val="000D40EA"/>
    <w:rsid w:val="000D48DC"/>
    <w:rsid w:val="000D48F0"/>
    <w:rsid w:val="000D69CB"/>
    <w:rsid w:val="000D76D3"/>
    <w:rsid w:val="000D7826"/>
    <w:rsid w:val="000D7E76"/>
    <w:rsid w:val="000E185D"/>
    <w:rsid w:val="000E41FF"/>
    <w:rsid w:val="000E430D"/>
    <w:rsid w:val="000E4C1B"/>
    <w:rsid w:val="000E4D8D"/>
    <w:rsid w:val="000E58C8"/>
    <w:rsid w:val="000E5E85"/>
    <w:rsid w:val="000E633F"/>
    <w:rsid w:val="000E6744"/>
    <w:rsid w:val="000F0213"/>
    <w:rsid w:val="000F037D"/>
    <w:rsid w:val="000F0CF7"/>
    <w:rsid w:val="000F1D7A"/>
    <w:rsid w:val="000F204E"/>
    <w:rsid w:val="000F30EF"/>
    <w:rsid w:val="000F38C4"/>
    <w:rsid w:val="000F3C9E"/>
    <w:rsid w:val="000F3F2A"/>
    <w:rsid w:val="000F453F"/>
    <w:rsid w:val="000F4918"/>
    <w:rsid w:val="000F4DDB"/>
    <w:rsid w:val="000F4F15"/>
    <w:rsid w:val="000F54F0"/>
    <w:rsid w:val="000F5B43"/>
    <w:rsid w:val="000F5C92"/>
    <w:rsid w:val="000F61EE"/>
    <w:rsid w:val="000F713A"/>
    <w:rsid w:val="000F744F"/>
    <w:rsid w:val="000F75A5"/>
    <w:rsid w:val="000F777B"/>
    <w:rsid w:val="000F7D7F"/>
    <w:rsid w:val="001004E4"/>
    <w:rsid w:val="00101A8B"/>
    <w:rsid w:val="00101CC6"/>
    <w:rsid w:val="0010282E"/>
    <w:rsid w:val="00103D30"/>
    <w:rsid w:val="00103F3C"/>
    <w:rsid w:val="001040B3"/>
    <w:rsid w:val="00104893"/>
    <w:rsid w:val="001054DC"/>
    <w:rsid w:val="00105BE8"/>
    <w:rsid w:val="00106A4F"/>
    <w:rsid w:val="00106EAF"/>
    <w:rsid w:val="00106EEF"/>
    <w:rsid w:val="00107CD0"/>
    <w:rsid w:val="00111676"/>
    <w:rsid w:val="00113694"/>
    <w:rsid w:val="0011394E"/>
    <w:rsid w:val="00113A43"/>
    <w:rsid w:val="00113D2C"/>
    <w:rsid w:val="00114B72"/>
    <w:rsid w:val="00114ECC"/>
    <w:rsid w:val="00115595"/>
    <w:rsid w:val="00115D53"/>
    <w:rsid w:val="00115FDC"/>
    <w:rsid w:val="0011601F"/>
    <w:rsid w:val="001161B5"/>
    <w:rsid w:val="001163BF"/>
    <w:rsid w:val="001202F3"/>
    <w:rsid w:val="00120786"/>
    <w:rsid w:val="00121679"/>
    <w:rsid w:val="0012210D"/>
    <w:rsid w:val="001226C0"/>
    <w:rsid w:val="00123CA2"/>
    <w:rsid w:val="00123D81"/>
    <w:rsid w:val="0012426B"/>
    <w:rsid w:val="0012490F"/>
    <w:rsid w:val="001250C2"/>
    <w:rsid w:val="00125FB5"/>
    <w:rsid w:val="00126338"/>
    <w:rsid w:val="001263EF"/>
    <w:rsid w:val="001269E1"/>
    <w:rsid w:val="001276D9"/>
    <w:rsid w:val="00127B8D"/>
    <w:rsid w:val="00127E61"/>
    <w:rsid w:val="0013030F"/>
    <w:rsid w:val="00130BF8"/>
    <w:rsid w:val="001321CB"/>
    <w:rsid w:val="00133034"/>
    <w:rsid w:val="00134386"/>
    <w:rsid w:val="0013445A"/>
    <w:rsid w:val="00134E09"/>
    <w:rsid w:val="00135660"/>
    <w:rsid w:val="00135748"/>
    <w:rsid w:val="00135D0B"/>
    <w:rsid w:val="00136154"/>
    <w:rsid w:val="00136EBC"/>
    <w:rsid w:val="00136F2E"/>
    <w:rsid w:val="00136F2F"/>
    <w:rsid w:val="00137066"/>
    <w:rsid w:val="00140248"/>
    <w:rsid w:val="0014033D"/>
    <w:rsid w:val="0014041A"/>
    <w:rsid w:val="0014043A"/>
    <w:rsid w:val="001414BC"/>
    <w:rsid w:val="0014157E"/>
    <w:rsid w:val="001415B7"/>
    <w:rsid w:val="0014240C"/>
    <w:rsid w:val="00142653"/>
    <w:rsid w:val="0014274F"/>
    <w:rsid w:val="00143157"/>
    <w:rsid w:val="00143996"/>
    <w:rsid w:val="00143BA2"/>
    <w:rsid w:val="00143F2D"/>
    <w:rsid w:val="001456AD"/>
    <w:rsid w:val="00145D01"/>
    <w:rsid w:val="00146DEA"/>
    <w:rsid w:val="0014745C"/>
    <w:rsid w:val="001479C6"/>
    <w:rsid w:val="00147A26"/>
    <w:rsid w:val="001504A9"/>
    <w:rsid w:val="00150675"/>
    <w:rsid w:val="0015154F"/>
    <w:rsid w:val="00151E47"/>
    <w:rsid w:val="00152120"/>
    <w:rsid w:val="001521BD"/>
    <w:rsid w:val="0015231D"/>
    <w:rsid w:val="001527A8"/>
    <w:rsid w:val="00152AFF"/>
    <w:rsid w:val="00152B92"/>
    <w:rsid w:val="001536EB"/>
    <w:rsid w:val="00153767"/>
    <w:rsid w:val="00153C8C"/>
    <w:rsid w:val="00153DEB"/>
    <w:rsid w:val="00153F7E"/>
    <w:rsid w:val="00154BF6"/>
    <w:rsid w:val="0015517A"/>
    <w:rsid w:val="00155277"/>
    <w:rsid w:val="001552CA"/>
    <w:rsid w:val="00156698"/>
    <w:rsid w:val="00156820"/>
    <w:rsid w:val="00156832"/>
    <w:rsid w:val="00156DBB"/>
    <w:rsid w:val="00157591"/>
    <w:rsid w:val="00157A3D"/>
    <w:rsid w:val="0016021D"/>
    <w:rsid w:val="00160221"/>
    <w:rsid w:val="00161C16"/>
    <w:rsid w:val="00161E0E"/>
    <w:rsid w:val="00162420"/>
    <w:rsid w:val="00163840"/>
    <w:rsid w:val="001639D5"/>
    <w:rsid w:val="001658A9"/>
    <w:rsid w:val="00165B92"/>
    <w:rsid w:val="001665AF"/>
    <w:rsid w:val="001667A2"/>
    <w:rsid w:val="0016743C"/>
    <w:rsid w:val="0016782B"/>
    <w:rsid w:val="00167FE0"/>
    <w:rsid w:val="001705C8"/>
    <w:rsid w:val="0017125D"/>
    <w:rsid w:val="00171DD3"/>
    <w:rsid w:val="00172028"/>
    <w:rsid w:val="0017241A"/>
    <w:rsid w:val="00172F4B"/>
    <w:rsid w:val="001732CC"/>
    <w:rsid w:val="001736C4"/>
    <w:rsid w:val="00174E83"/>
    <w:rsid w:val="00176208"/>
    <w:rsid w:val="00177C1B"/>
    <w:rsid w:val="001805E4"/>
    <w:rsid w:val="001811DD"/>
    <w:rsid w:val="0018165E"/>
    <w:rsid w:val="001819E9"/>
    <w:rsid w:val="00181C20"/>
    <w:rsid w:val="00181C87"/>
    <w:rsid w:val="0018256F"/>
    <w:rsid w:val="001838C3"/>
    <w:rsid w:val="0018587B"/>
    <w:rsid w:val="00185968"/>
    <w:rsid w:val="00185EB5"/>
    <w:rsid w:val="00186F8F"/>
    <w:rsid w:val="00187039"/>
    <w:rsid w:val="0018746F"/>
    <w:rsid w:val="00187B7E"/>
    <w:rsid w:val="001903D4"/>
    <w:rsid w:val="001913F1"/>
    <w:rsid w:val="00191FB0"/>
    <w:rsid w:val="001928D5"/>
    <w:rsid w:val="00192A3F"/>
    <w:rsid w:val="00192CBD"/>
    <w:rsid w:val="001941EF"/>
    <w:rsid w:val="00194465"/>
    <w:rsid w:val="00196886"/>
    <w:rsid w:val="00197599"/>
    <w:rsid w:val="00197E40"/>
    <w:rsid w:val="00197FDE"/>
    <w:rsid w:val="001A0A63"/>
    <w:rsid w:val="001A0A8C"/>
    <w:rsid w:val="001A0C36"/>
    <w:rsid w:val="001A0CBE"/>
    <w:rsid w:val="001A0CFA"/>
    <w:rsid w:val="001A0EEF"/>
    <w:rsid w:val="001A12E5"/>
    <w:rsid w:val="001A178E"/>
    <w:rsid w:val="001A22FC"/>
    <w:rsid w:val="001A282A"/>
    <w:rsid w:val="001A2B13"/>
    <w:rsid w:val="001A3045"/>
    <w:rsid w:val="001A3AF7"/>
    <w:rsid w:val="001A4402"/>
    <w:rsid w:val="001A6404"/>
    <w:rsid w:val="001A6C9A"/>
    <w:rsid w:val="001A7122"/>
    <w:rsid w:val="001A7631"/>
    <w:rsid w:val="001A7B5C"/>
    <w:rsid w:val="001B0BA6"/>
    <w:rsid w:val="001B0E51"/>
    <w:rsid w:val="001B1C26"/>
    <w:rsid w:val="001B2109"/>
    <w:rsid w:val="001B2347"/>
    <w:rsid w:val="001B2FFD"/>
    <w:rsid w:val="001B3CD1"/>
    <w:rsid w:val="001B4674"/>
    <w:rsid w:val="001B4D66"/>
    <w:rsid w:val="001B5096"/>
    <w:rsid w:val="001B534C"/>
    <w:rsid w:val="001B63C4"/>
    <w:rsid w:val="001B63F6"/>
    <w:rsid w:val="001B6CFB"/>
    <w:rsid w:val="001B6D8F"/>
    <w:rsid w:val="001B6EF1"/>
    <w:rsid w:val="001B7399"/>
    <w:rsid w:val="001B7501"/>
    <w:rsid w:val="001B79AE"/>
    <w:rsid w:val="001B7FC5"/>
    <w:rsid w:val="001C0111"/>
    <w:rsid w:val="001C0BAF"/>
    <w:rsid w:val="001C10F8"/>
    <w:rsid w:val="001C1E5D"/>
    <w:rsid w:val="001C1F39"/>
    <w:rsid w:val="001C2DD9"/>
    <w:rsid w:val="001C332A"/>
    <w:rsid w:val="001C3851"/>
    <w:rsid w:val="001C3955"/>
    <w:rsid w:val="001C429C"/>
    <w:rsid w:val="001C4B87"/>
    <w:rsid w:val="001C5C62"/>
    <w:rsid w:val="001C61C6"/>
    <w:rsid w:val="001C6C67"/>
    <w:rsid w:val="001D091F"/>
    <w:rsid w:val="001D1603"/>
    <w:rsid w:val="001D197B"/>
    <w:rsid w:val="001D1A48"/>
    <w:rsid w:val="001D34FC"/>
    <w:rsid w:val="001D3864"/>
    <w:rsid w:val="001D46CE"/>
    <w:rsid w:val="001D5CE0"/>
    <w:rsid w:val="001D68AB"/>
    <w:rsid w:val="001D6A02"/>
    <w:rsid w:val="001D74E7"/>
    <w:rsid w:val="001D7A73"/>
    <w:rsid w:val="001E1405"/>
    <w:rsid w:val="001E157B"/>
    <w:rsid w:val="001E3C22"/>
    <w:rsid w:val="001E40C9"/>
    <w:rsid w:val="001E47F7"/>
    <w:rsid w:val="001E5010"/>
    <w:rsid w:val="001E5080"/>
    <w:rsid w:val="001E5286"/>
    <w:rsid w:val="001E7AF1"/>
    <w:rsid w:val="001F0CD8"/>
    <w:rsid w:val="001F22FF"/>
    <w:rsid w:val="001F255A"/>
    <w:rsid w:val="001F3002"/>
    <w:rsid w:val="001F38D3"/>
    <w:rsid w:val="001F4070"/>
    <w:rsid w:val="001F4C3F"/>
    <w:rsid w:val="001F5440"/>
    <w:rsid w:val="001F57E3"/>
    <w:rsid w:val="001F5AD2"/>
    <w:rsid w:val="001F6954"/>
    <w:rsid w:val="001F719C"/>
    <w:rsid w:val="001F72AC"/>
    <w:rsid w:val="001F785A"/>
    <w:rsid w:val="001F78F5"/>
    <w:rsid w:val="0020017C"/>
    <w:rsid w:val="0020041B"/>
    <w:rsid w:val="002012B3"/>
    <w:rsid w:val="002012E8"/>
    <w:rsid w:val="00201CFC"/>
    <w:rsid w:val="00201EEB"/>
    <w:rsid w:val="0020247C"/>
    <w:rsid w:val="00202B71"/>
    <w:rsid w:val="0020356F"/>
    <w:rsid w:val="002038D0"/>
    <w:rsid w:val="002038FF"/>
    <w:rsid w:val="00205D39"/>
    <w:rsid w:val="00206134"/>
    <w:rsid w:val="00206334"/>
    <w:rsid w:val="002064B8"/>
    <w:rsid w:val="00206704"/>
    <w:rsid w:val="00206FA7"/>
    <w:rsid w:val="002075D3"/>
    <w:rsid w:val="00207C65"/>
    <w:rsid w:val="002104A2"/>
    <w:rsid w:val="00211118"/>
    <w:rsid w:val="002114FB"/>
    <w:rsid w:val="002123A4"/>
    <w:rsid w:val="002128BD"/>
    <w:rsid w:val="00212E60"/>
    <w:rsid w:val="00213495"/>
    <w:rsid w:val="002143B6"/>
    <w:rsid w:val="0021446E"/>
    <w:rsid w:val="00214D95"/>
    <w:rsid w:val="0021575D"/>
    <w:rsid w:val="00215FDA"/>
    <w:rsid w:val="00216789"/>
    <w:rsid w:val="00217402"/>
    <w:rsid w:val="002218FD"/>
    <w:rsid w:val="002221B0"/>
    <w:rsid w:val="002224B1"/>
    <w:rsid w:val="00222E65"/>
    <w:rsid w:val="0022336F"/>
    <w:rsid w:val="00223BEA"/>
    <w:rsid w:val="002241C9"/>
    <w:rsid w:val="00224ADC"/>
    <w:rsid w:val="00225FC2"/>
    <w:rsid w:val="00225FCD"/>
    <w:rsid w:val="00226188"/>
    <w:rsid w:val="00226227"/>
    <w:rsid w:val="0022692E"/>
    <w:rsid w:val="00226BC9"/>
    <w:rsid w:val="00227FED"/>
    <w:rsid w:val="00230200"/>
    <w:rsid w:val="00230CDC"/>
    <w:rsid w:val="00231738"/>
    <w:rsid w:val="00232B9F"/>
    <w:rsid w:val="00232D2D"/>
    <w:rsid w:val="0023302D"/>
    <w:rsid w:val="002343AE"/>
    <w:rsid w:val="0023601F"/>
    <w:rsid w:val="002370BC"/>
    <w:rsid w:val="00237917"/>
    <w:rsid w:val="0024026E"/>
    <w:rsid w:val="002409D5"/>
    <w:rsid w:val="00240C3B"/>
    <w:rsid w:val="002410B1"/>
    <w:rsid w:val="00241471"/>
    <w:rsid w:val="00241845"/>
    <w:rsid w:val="00241936"/>
    <w:rsid w:val="00242229"/>
    <w:rsid w:val="00242731"/>
    <w:rsid w:val="00242900"/>
    <w:rsid w:val="00242D40"/>
    <w:rsid w:val="00243C73"/>
    <w:rsid w:val="00245487"/>
    <w:rsid w:val="00245BDD"/>
    <w:rsid w:val="00245C47"/>
    <w:rsid w:val="00245E3B"/>
    <w:rsid w:val="002469C9"/>
    <w:rsid w:val="00247074"/>
    <w:rsid w:val="0024708B"/>
    <w:rsid w:val="0024763C"/>
    <w:rsid w:val="00247746"/>
    <w:rsid w:val="0024778D"/>
    <w:rsid w:val="002511A5"/>
    <w:rsid w:val="00251FA1"/>
    <w:rsid w:val="002522B6"/>
    <w:rsid w:val="0025247F"/>
    <w:rsid w:val="00252CE8"/>
    <w:rsid w:val="002535C1"/>
    <w:rsid w:val="002535FA"/>
    <w:rsid w:val="002541CA"/>
    <w:rsid w:val="002545C5"/>
    <w:rsid w:val="00254B79"/>
    <w:rsid w:val="00254BD0"/>
    <w:rsid w:val="00255ABD"/>
    <w:rsid w:val="00256075"/>
    <w:rsid w:val="00257733"/>
    <w:rsid w:val="00257B22"/>
    <w:rsid w:val="00260067"/>
    <w:rsid w:val="002601BC"/>
    <w:rsid w:val="0026100C"/>
    <w:rsid w:val="00261093"/>
    <w:rsid w:val="002612AB"/>
    <w:rsid w:val="002617F9"/>
    <w:rsid w:val="00262516"/>
    <w:rsid w:val="00263A0F"/>
    <w:rsid w:val="00263D21"/>
    <w:rsid w:val="00264593"/>
    <w:rsid w:val="002647C1"/>
    <w:rsid w:val="0026492E"/>
    <w:rsid w:val="00264AA5"/>
    <w:rsid w:val="002658FB"/>
    <w:rsid w:val="00266007"/>
    <w:rsid w:val="0026679C"/>
    <w:rsid w:val="002673D3"/>
    <w:rsid w:val="002674DB"/>
    <w:rsid w:val="002675E6"/>
    <w:rsid w:val="00267F0D"/>
    <w:rsid w:val="00270564"/>
    <w:rsid w:val="00270BFC"/>
    <w:rsid w:val="002717DF"/>
    <w:rsid w:val="00271C8A"/>
    <w:rsid w:val="002722FD"/>
    <w:rsid w:val="00273B6B"/>
    <w:rsid w:val="0027423C"/>
    <w:rsid w:val="00274C89"/>
    <w:rsid w:val="0027660A"/>
    <w:rsid w:val="0027741E"/>
    <w:rsid w:val="002775F3"/>
    <w:rsid w:val="002778C9"/>
    <w:rsid w:val="00277C8B"/>
    <w:rsid w:val="00280B3E"/>
    <w:rsid w:val="00281089"/>
    <w:rsid w:val="0028110B"/>
    <w:rsid w:val="00281666"/>
    <w:rsid w:val="00281F38"/>
    <w:rsid w:val="00282499"/>
    <w:rsid w:val="00284E8E"/>
    <w:rsid w:val="00285212"/>
    <w:rsid w:val="00285584"/>
    <w:rsid w:val="002864B9"/>
    <w:rsid w:val="00287666"/>
    <w:rsid w:val="00287ADD"/>
    <w:rsid w:val="002900A2"/>
    <w:rsid w:val="00290903"/>
    <w:rsid w:val="00290E99"/>
    <w:rsid w:val="002919FF"/>
    <w:rsid w:val="00293665"/>
    <w:rsid w:val="002939FA"/>
    <w:rsid w:val="00294487"/>
    <w:rsid w:val="00294D55"/>
    <w:rsid w:val="00295F7A"/>
    <w:rsid w:val="002978E8"/>
    <w:rsid w:val="002A13FC"/>
    <w:rsid w:val="002A1714"/>
    <w:rsid w:val="002A2386"/>
    <w:rsid w:val="002A2A62"/>
    <w:rsid w:val="002A4453"/>
    <w:rsid w:val="002A45C0"/>
    <w:rsid w:val="002A4ADC"/>
    <w:rsid w:val="002A589F"/>
    <w:rsid w:val="002A5CA6"/>
    <w:rsid w:val="002A64FC"/>
    <w:rsid w:val="002A65B6"/>
    <w:rsid w:val="002A6755"/>
    <w:rsid w:val="002A67FF"/>
    <w:rsid w:val="002A6B4D"/>
    <w:rsid w:val="002A6BFC"/>
    <w:rsid w:val="002A6DCB"/>
    <w:rsid w:val="002A6DF9"/>
    <w:rsid w:val="002A735B"/>
    <w:rsid w:val="002A754C"/>
    <w:rsid w:val="002A7AB5"/>
    <w:rsid w:val="002A7EE7"/>
    <w:rsid w:val="002A7F45"/>
    <w:rsid w:val="002B0128"/>
    <w:rsid w:val="002B1C31"/>
    <w:rsid w:val="002B293A"/>
    <w:rsid w:val="002B2B6F"/>
    <w:rsid w:val="002B3D10"/>
    <w:rsid w:val="002B47CA"/>
    <w:rsid w:val="002B47F7"/>
    <w:rsid w:val="002B4F21"/>
    <w:rsid w:val="002B5340"/>
    <w:rsid w:val="002B5B5C"/>
    <w:rsid w:val="002B603B"/>
    <w:rsid w:val="002B6558"/>
    <w:rsid w:val="002B7B7D"/>
    <w:rsid w:val="002B7D64"/>
    <w:rsid w:val="002C02B1"/>
    <w:rsid w:val="002C0708"/>
    <w:rsid w:val="002C131F"/>
    <w:rsid w:val="002C2851"/>
    <w:rsid w:val="002C33C0"/>
    <w:rsid w:val="002C33D3"/>
    <w:rsid w:val="002C3624"/>
    <w:rsid w:val="002C4DC0"/>
    <w:rsid w:val="002C4ECA"/>
    <w:rsid w:val="002C5DE3"/>
    <w:rsid w:val="002C5F54"/>
    <w:rsid w:val="002C61C1"/>
    <w:rsid w:val="002C6C13"/>
    <w:rsid w:val="002C6C22"/>
    <w:rsid w:val="002C78BC"/>
    <w:rsid w:val="002D1915"/>
    <w:rsid w:val="002D2A2A"/>
    <w:rsid w:val="002D381E"/>
    <w:rsid w:val="002D476D"/>
    <w:rsid w:val="002D4997"/>
    <w:rsid w:val="002D5159"/>
    <w:rsid w:val="002D56D5"/>
    <w:rsid w:val="002D5E33"/>
    <w:rsid w:val="002D6206"/>
    <w:rsid w:val="002D6375"/>
    <w:rsid w:val="002D64FA"/>
    <w:rsid w:val="002D6AAE"/>
    <w:rsid w:val="002D6E8A"/>
    <w:rsid w:val="002D70DA"/>
    <w:rsid w:val="002D735A"/>
    <w:rsid w:val="002D7A87"/>
    <w:rsid w:val="002D7CDE"/>
    <w:rsid w:val="002D7D8D"/>
    <w:rsid w:val="002E0594"/>
    <w:rsid w:val="002E069A"/>
    <w:rsid w:val="002E2169"/>
    <w:rsid w:val="002E2385"/>
    <w:rsid w:val="002E2491"/>
    <w:rsid w:val="002E2912"/>
    <w:rsid w:val="002E2B6C"/>
    <w:rsid w:val="002E333B"/>
    <w:rsid w:val="002E44CC"/>
    <w:rsid w:val="002E53CC"/>
    <w:rsid w:val="002E549D"/>
    <w:rsid w:val="002E58CC"/>
    <w:rsid w:val="002E5950"/>
    <w:rsid w:val="002E5CCB"/>
    <w:rsid w:val="002E5F44"/>
    <w:rsid w:val="002E63EF"/>
    <w:rsid w:val="002E6530"/>
    <w:rsid w:val="002E67C4"/>
    <w:rsid w:val="002E7322"/>
    <w:rsid w:val="002E7D30"/>
    <w:rsid w:val="002E7F8C"/>
    <w:rsid w:val="002F08E2"/>
    <w:rsid w:val="002F1490"/>
    <w:rsid w:val="002F191A"/>
    <w:rsid w:val="002F25F8"/>
    <w:rsid w:val="002F2BDC"/>
    <w:rsid w:val="002F2E46"/>
    <w:rsid w:val="002F3049"/>
    <w:rsid w:val="002F3176"/>
    <w:rsid w:val="002F359C"/>
    <w:rsid w:val="002F4E8D"/>
    <w:rsid w:val="002F5672"/>
    <w:rsid w:val="002F60EA"/>
    <w:rsid w:val="002F6884"/>
    <w:rsid w:val="002F699C"/>
    <w:rsid w:val="002F6E1F"/>
    <w:rsid w:val="002F7263"/>
    <w:rsid w:val="002F79E1"/>
    <w:rsid w:val="002F7D92"/>
    <w:rsid w:val="003002F9"/>
    <w:rsid w:val="00300342"/>
    <w:rsid w:val="00300FA3"/>
    <w:rsid w:val="0030155B"/>
    <w:rsid w:val="00301708"/>
    <w:rsid w:val="003021E5"/>
    <w:rsid w:val="00302F7B"/>
    <w:rsid w:val="0030306E"/>
    <w:rsid w:val="00303AB5"/>
    <w:rsid w:val="00303E8D"/>
    <w:rsid w:val="0030519E"/>
    <w:rsid w:val="00305404"/>
    <w:rsid w:val="00305A83"/>
    <w:rsid w:val="0031000B"/>
    <w:rsid w:val="00310160"/>
    <w:rsid w:val="00310B3B"/>
    <w:rsid w:val="00312C08"/>
    <w:rsid w:val="003133F3"/>
    <w:rsid w:val="00313C39"/>
    <w:rsid w:val="003141D5"/>
    <w:rsid w:val="00314352"/>
    <w:rsid w:val="00315652"/>
    <w:rsid w:val="003156DC"/>
    <w:rsid w:val="00315CB9"/>
    <w:rsid w:val="00316377"/>
    <w:rsid w:val="003165EE"/>
    <w:rsid w:val="00316909"/>
    <w:rsid w:val="0031728F"/>
    <w:rsid w:val="00317569"/>
    <w:rsid w:val="003179EA"/>
    <w:rsid w:val="00317E84"/>
    <w:rsid w:val="00322BB0"/>
    <w:rsid w:val="00323471"/>
    <w:rsid w:val="00323612"/>
    <w:rsid w:val="00323C15"/>
    <w:rsid w:val="00323EC0"/>
    <w:rsid w:val="00324EAD"/>
    <w:rsid w:val="00324FD5"/>
    <w:rsid w:val="00326700"/>
    <w:rsid w:val="0032678C"/>
    <w:rsid w:val="003269BB"/>
    <w:rsid w:val="003272C2"/>
    <w:rsid w:val="0032749A"/>
    <w:rsid w:val="00327E04"/>
    <w:rsid w:val="00330B03"/>
    <w:rsid w:val="003316FB"/>
    <w:rsid w:val="00331A2C"/>
    <w:rsid w:val="00331EF8"/>
    <w:rsid w:val="003321AE"/>
    <w:rsid w:val="003324CB"/>
    <w:rsid w:val="00332D7B"/>
    <w:rsid w:val="00332E12"/>
    <w:rsid w:val="00333445"/>
    <w:rsid w:val="003338D8"/>
    <w:rsid w:val="003341FC"/>
    <w:rsid w:val="00335642"/>
    <w:rsid w:val="00335A0E"/>
    <w:rsid w:val="00335B17"/>
    <w:rsid w:val="00340098"/>
    <w:rsid w:val="0034042E"/>
    <w:rsid w:val="00340869"/>
    <w:rsid w:val="0034087E"/>
    <w:rsid w:val="00340AAA"/>
    <w:rsid w:val="00340E23"/>
    <w:rsid w:val="00341D49"/>
    <w:rsid w:val="00343100"/>
    <w:rsid w:val="0034327C"/>
    <w:rsid w:val="00343958"/>
    <w:rsid w:val="00343B27"/>
    <w:rsid w:val="00344840"/>
    <w:rsid w:val="003456C3"/>
    <w:rsid w:val="00345F4C"/>
    <w:rsid w:val="00345FCD"/>
    <w:rsid w:val="00346353"/>
    <w:rsid w:val="00346964"/>
    <w:rsid w:val="00346D1C"/>
    <w:rsid w:val="003507C6"/>
    <w:rsid w:val="00350ADB"/>
    <w:rsid w:val="00350D60"/>
    <w:rsid w:val="00352073"/>
    <w:rsid w:val="00352080"/>
    <w:rsid w:val="00352128"/>
    <w:rsid w:val="003521E8"/>
    <w:rsid w:val="00352B1C"/>
    <w:rsid w:val="0035533C"/>
    <w:rsid w:val="003559AA"/>
    <w:rsid w:val="00355B96"/>
    <w:rsid w:val="00355D58"/>
    <w:rsid w:val="00356086"/>
    <w:rsid w:val="00356640"/>
    <w:rsid w:val="00356E07"/>
    <w:rsid w:val="00357526"/>
    <w:rsid w:val="003578B1"/>
    <w:rsid w:val="00360173"/>
    <w:rsid w:val="00361B44"/>
    <w:rsid w:val="0036202C"/>
    <w:rsid w:val="003634A6"/>
    <w:rsid w:val="00364E52"/>
    <w:rsid w:val="00365022"/>
    <w:rsid w:val="0036685A"/>
    <w:rsid w:val="0036759D"/>
    <w:rsid w:val="0037008C"/>
    <w:rsid w:val="00370FA7"/>
    <w:rsid w:val="00371811"/>
    <w:rsid w:val="00372706"/>
    <w:rsid w:val="003738F2"/>
    <w:rsid w:val="00373922"/>
    <w:rsid w:val="003739DE"/>
    <w:rsid w:val="00373D84"/>
    <w:rsid w:val="00374D7F"/>
    <w:rsid w:val="003751B7"/>
    <w:rsid w:val="0037559C"/>
    <w:rsid w:val="00376407"/>
    <w:rsid w:val="00376C95"/>
    <w:rsid w:val="00377C71"/>
    <w:rsid w:val="0038032B"/>
    <w:rsid w:val="00380442"/>
    <w:rsid w:val="003804F7"/>
    <w:rsid w:val="00380D94"/>
    <w:rsid w:val="00381E2A"/>
    <w:rsid w:val="003824B0"/>
    <w:rsid w:val="00382E6D"/>
    <w:rsid w:val="00382F6E"/>
    <w:rsid w:val="00383754"/>
    <w:rsid w:val="00383F30"/>
    <w:rsid w:val="00384579"/>
    <w:rsid w:val="0038633E"/>
    <w:rsid w:val="0038784E"/>
    <w:rsid w:val="00390896"/>
    <w:rsid w:val="00393D1B"/>
    <w:rsid w:val="003948C3"/>
    <w:rsid w:val="00394A3C"/>
    <w:rsid w:val="00394BCD"/>
    <w:rsid w:val="00394C89"/>
    <w:rsid w:val="00394DB5"/>
    <w:rsid w:val="003950F1"/>
    <w:rsid w:val="003953E2"/>
    <w:rsid w:val="00395BE2"/>
    <w:rsid w:val="00395C9A"/>
    <w:rsid w:val="003963A0"/>
    <w:rsid w:val="0039683B"/>
    <w:rsid w:val="00396F48"/>
    <w:rsid w:val="003974FA"/>
    <w:rsid w:val="00397542"/>
    <w:rsid w:val="003A0FE5"/>
    <w:rsid w:val="003A1995"/>
    <w:rsid w:val="003A2356"/>
    <w:rsid w:val="003A354A"/>
    <w:rsid w:val="003A5797"/>
    <w:rsid w:val="003A5991"/>
    <w:rsid w:val="003A63DD"/>
    <w:rsid w:val="003A7741"/>
    <w:rsid w:val="003A7918"/>
    <w:rsid w:val="003A7A6E"/>
    <w:rsid w:val="003B0D96"/>
    <w:rsid w:val="003B17E2"/>
    <w:rsid w:val="003B1B4F"/>
    <w:rsid w:val="003B2509"/>
    <w:rsid w:val="003B31ED"/>
    <w:rsid w:val="003B34D7"/>
    <w:rsid w:val="003B384A"/>
    <w:rsid w:val="003B3DA7"/>
    <w:rsid w:val="003B58BA"/>
    <w:rsid w:val="003B5FFB"/>
    <w:rsid w:val="003B604B"/>
    <w:rsid w:val="003B7679"/>
    <w:rsid w:val="003B77F3"/>
    <w:rsid w:val="003B791E"/>
    <w:rsid w:val="003C0127"/>
    <w:rsid w:val="003C02D3"/>
    <w:rsid w:val="003C04B4"/>
    <w:rsid w:val="003C213A"/>
    <w:rsid w:val="003C2FE6"/>
    <w:rsid w:val="003C31E9"/>
    <w:rsid w:val="003C4882"/>
    <w:rsid w:val="003C51EA"/>
    <w:rsid w:val="003C5B2E"/>
    <w:rsid w:val="003C5C7A"/>
    <w:rsid w:val="003C5FCD"/>
    <w:rsid w:val="003C65D2"/>
    <w:rsid w:val="003C721F"/>
    <w:rsid w:val="003C7AC5"/>
    <w:rsid w:val="003C7C80"/>
    <w:rsid w:val="003D0A4E"/>
    <w:rsid w:val="003D0FC2"/>
    <w:rsid w:val="003D1441"/>
    <w:rsid w:val="003D1D0B"/>
    <w:rsid w:val="003D1D0E"/>
    <w:rsid w:val="003D1FF0"/>
    <w:rsid w:val="003D231C"/>
    <w:rsid w:val="003D2876"/>
    <w:rsid w:val="003D2D24"/>
    <w:rsid w:val="003D2E23"/>
    <w:rsid w:val="003D2EF7"/>
    <w:rsid w:val="003D380E"/>
    <w:rsid w:val="003D3A76"/>
    <w:rsid w:val="003D3ED5"/>
    <w:rsid w:val="003D46E1"/>
    <w:rsid w:val="003D4976"/>
    <w:rsid w:val="003D583C"/>
    <w:rsid w:val="003D5897"/>
    <w:rsid w:val="003D5DB4"/>
    <w:rsid w:val="003D5E8F"/>
    <w:rsid w:val="003D5EAA"/>
    <w:rsid w:val="003D610B"/>
    <w:rsid w:val="003D6B33"/>
    <w:rsid w:val="003D6B41"/>
    <w:rsid w:val="003D771E"/>
    <w:rsid w:val="003E02A1"/>
    <w:rsid w:val="003E075E"/>
    <w:rsid w:val="003E19A7"/>
    <w:rsid w:val="003E20FA"/>
    <w:rsid w:val="003E23D3"/>
    <w:rsid w:val="003E36E4"/>
    <w:rsid w:val="003E39DB"/>
    <w:rsid w:val="003E5259"/>
    <w:rsid w:val="003E5A26"/>
    <w:rsid w:val="003E5EE3"/>
    <w:rsid w:val="003E6697"/>
    <w:rsid w:val="003E685B"/>
    <w:rsid w:val="003E6F81"/>
    <w:rsid w:val="003E72D2"/>
    <w:rsid w:val="003E7775"/>
    <w:rsid w:val="003E78BE"/>
    <w:rsid w:val="003E7B9A"/>
    <w:rsid w:val="003F02A2"/>
    <w:rsid w:val="003F0327"/>
    <w:rsid w:val="003F1288"/>
    <w:rsid w:val="003F1C01"/>
    <w:rsid w:val="003F20FD"/>
    <w:rsid w:val="003F42A2"/>
    <w:rsid w:val="003F4602"/>
    <w:rsid w:val="003F4F9A"/>
    <w:rsid w:val="003F56A4"/>
    <w:rsid w:val="003F6373"/>
    <w:rsid w:val="003F64D6"/>
    <w:rsid w:val="003F7BAF"/>
    <w:rsid w:val="003F7BBE"/>
    <w:rsid w:val="003F7C71"/>
    <w:rsid w:val="00400432"/>
    <w:rsid w:val="004004B6"/>
    <w:rsid w:val="004005B2"/>
    <w:rsid w:val="00402214"/>
    <w:rsid w:val="00403447"/>
    <w:rsid w:val="00403764"/>
    <w:rsid w:val="004037C6"/>
    <w:rsid w:val="004041E7"/>
    <w:rsid w:val="0040621C"/>
    <w:rsid w:val="00406933"/>
    <w:rsid w:val="00407361"/>
    <w:rsid w:val="00410410"/>
    <w:rsid w:val="00412D6D"/>
    <w:rsid w:val="00413083"/>
    <w:rsid w:val="0041333D"/>
    <w:rsid w:val="0041389C"/>
    <w:rsid w:val="00414439"/>
    <w:rsid w:val="00414DD0"/>
    <w:rsid w:val="004153E1"/>
    <w:rsid w:val="0041552A"/>
    <w:rsid w:val="00415FA3"/>
    <w:rsid w:val="00416021"/>
    <w:rsid w:val="00416E41"/>
    <w:rsid w:val="00416F1A"/>
    <w:rsid w:val="00417350"/>
    <w:rsid w:val="00420E1E"/>
    <w:rsid w:val="00422741"/>
    <w:rsid w:val="00422C00"/>
    <w:rsid w:val="00423217"/>
    <w:rsid w:val="004234C1"/>
    <w:rsid w:val="004273B1"/>
    <w:rsid w:val="0042756D"/>
    <w:rsid w:val="00427870"/>
    <w:rsid w:val="0043018F"/>
    <w:rsid w:val="004304E5"/>
    <w:rsid w:val="0043065B"/>
    <w:rsid w:val="00431A1D"/>
    <w:rsid w:val="004325D3"/>
    <w:rsid w:val="004328E7"/>
    <w:rsid w:val="00433712"/>
    <w:rsid w:val="0043458D"/>
    <w:rsid w:val="00434687"/>
    <w:rsid w:val="00434914"/>
    <w:rsid w:val="0043515E"/>
    <w:rsid w:val="00435413"/>
    <w:rsid w:val="004362D2"/>
    <w:rsid w:val="00436303"/>
    <w:rsid w:val="00437913"/>
    <w:rsid w:val="0043797F"/>
    <w:rsid w:val="00437F20"/>
    <w:rsid w:val="004408AD"/>
    <w:rsid w:val="0044133A"/>
    <w:rsid w:val="004419E2"/>
    <w:rsid w:val="00441CE3"/>
    <w:rsid w:val="00441CF5"/>
    <w:rsid w:val="00441EF3"/>
    <w:rsid w:val="00442337"/>
    <w:rsid w:val="00442525"/>
    <w:rsid w:val="00442BD1"/>
    <w:rsid w:val="004433AA"/>
    <w:rsid w:val="0044379B"/>
    <w:rsid w:val="004440BC"/>
    <w:rsid w:val="0044436C"/>
    <w:rsid w:val="00444891"/>
    <w:rsid w:val="00444B05"/>
    <w:rsid w:val="004471DE"/>
    <w:rsid w:val="004476BD"/>
    <w:rsid w:val="00451323"/>
    <w:rsid w:val="0045136D"/>
    <w:rsid w:val="0045226E"/>
    <w:rsid w:val="004524B8"/>
    <w:rsid w:val="00453411"/>
    <w:rsid w:val="004539CE"/>
    <w:rsid w:val="0045480C"/>
    <w:rsid w:val="00454E8C"/>
    <w:rsid w:val="00455109"/>
    <w:rsid w:val="0045532C"/>
    <w:rsid w:val="004565B9"/>
    <w:rsid w:val="00456BE4"/>
    <w:rsid w:val="00457EDE"/>
    <w:rsid w:val="00460228"/>
    <w:rsid w:val="004604F0"/>
    <w:rsid w:val="00460A69"/>
    <w:rsid w:val="00461053"/>
    <w:rsid w:val="004610B4"/>
    <w:rsid w:val="00461CC8"/>
    <w:rsid w:val="0046252C"/>
    <w:rsid w:val="004626FA"/>
    <w:rsid w:val="004628E3"/>
    <w:rsid w:val="004637CF"/>
    <w:rsid w:val="004639CF"/>
    <w:rsid w:val="00464513"/>
    <w:rsid w:val="00465A2B"/>
    <w:rsid w:val="00465D58"/>
    <w:rsid w:val="00465EF9"/>
    <w:rsid w:val="00466F9E"/>
    <w:rsid w:val="00470A1D"/>
    <w:rsid w:val="00470F0D"/>
    <w:rsid w:val="00470F90"/>
    <w:rsid w:val="00471FD6"/>
    <w:rsid w:val="00472A23"/>
    <w:rsid w:val="00472DBE"/>
    <w:rsid w:val="00472E59"/>
    <w:rsid w:val="00473320"/>
    <w:rsid w:val="004738C2"/>
    <w:rsid w:val="004746D6"/>
    <w:rsid w:val="00474D93"/>
    <w:rsid w:val="0047525A"/>
    <w:rsid w:val="00475D10"/>
    <w:rsid w:val="004772A6"/>
    <w:rsid w:val="0047732D"/>
    <w:rsid w:val="00477339"/>
    <w:rsid w:val="00480BFC"/>
    <w:rsid w:val="004814E2"/>
    <w:rsid w:val="0048162B"/>
    <w:rsid w:val="00482051"/>
    <w:rsid w:val="00482543"/>
    <w:rsid w:val="00482FFE"/>
    <w:rsid w:val="00483293"/>
    <w:rsid w:val="004836F4"/>
    <w:rsid w:val="00483BC8"/>
    <w:rsid w:val="00483D61"/>
    <w:rsid w:val="00484315"/>
    <w:rsid w:val="004846F7"/>
    <w:rsid w:val="00484B44"/>
    <w:rsid w:val="00484E63"/>
    <w:rsid w:val="004853CC"/>
    <w:rsid w:val="00485729"/>
    <w:rsid w:val="00485832"/>
    <w:rsid w:val="0048665D"/>
    <w:rsid w:val="00487536"/>
    <w:rsid w:val="004875D6"/>
    <w:rsid w:val="00490000"/>
    <w:rsid w:val="00490026"/>
    <w:rsid w:val="00490784"/>
    <w:rsid w:val="00490D01"/>
    <w:rsid w:val="00490E4B"/>
    <w:rsid w:val="00491A98"/>
    <w:rsid w:val="00492C58"/>
    <w:rsid w:val="00492FE8"/>
    <w:rsid w:val="00494715"/>
    <w:rsid w:val="004947E4"/>
    <w:rsid w:val="004953F2"/>
    <w:rsid w:val="004954CC"/>
    <w:rsid w:val="00495EB6"/>
    <w:rsid w:val="00496002"/>
    <w:rsid w:val="004965C8"/>
    <w:rsid w:val="004970E1"/>
    <w:rsid w:val="004974D8"/>
    <w:rsid w:val="004A01CE"/>
    <w:rsid w:val="004A0563"/>
    <w:rsid w:val="004A1426"/>
    <w:rsid w:val="004A23B8"/>
    <w:rsid w:val="004A23D2"/>
    <w:rsid w:val="004A30AA"/>
    <w:rsid w:val="004A35BF"/>
    <w:rsid w:val="004A3773"/>
    <w:rsid w:val="004A3BF0"/>
    <w:rsid w:val="004A4D84"/>
    <w:rsid w:val="004A7748"/>
    <w:rsid w:val="004A77D2"/>
    <w:rsid w:val="004A7E71"/>
    <w:rsid w:val="004B08E1"/>
    <w:rsid w:val="004B10F4"/>
    <w:rsid w:val="004B16C0"/>
    <w:rsid w:val="004B1FF8"/>
    <w:rsid w:val="004B231C"/>
    <w:rsid w:val="004B3F58"/>
    <w:rsid w:val="004B417F"/>
    <w:rsid w:val="004B5CEA"/>
    <w:rsid w:val="004B653C"/>
    <w:rsid w:val="004B65DC"/>
    <w:rsid w:val="004B6A78"/>
    <w:rsid w:val="004B6ADE"/>
    <w:rsid w:val="004B6DF4"/>
    <w:rsid w:val="004B7206"/>
    <w:rsid w:val="004C01CC"/>
    <w:rsid w:val="004C01D1"/>
    <w:rsid w:val="004C0BCA"/>
    <w:rsid w:val="004C16E4"/>
    <w:rsid w:val="004C19F1"/>
    <w:rsid w:val="004C24D2"/>
    <w:rsid w:val="004C3BE7"/>
    <w:rsid w:val="004C3CB6"/>
    <w:rsid w:val="004C5723"/>
    <w:rsid w:val="004C5B8A"/>
    <w:rsid w:val="004C6144"/>
    <w:rsid w:val="004C635F"/>
    <w:rsid w:val="004C67C9"/>
    <w:rsid w:val="004C6AD8"/>
    <w:rsid w:val="004C72DC"/>
    <w:rsid w:val="004C7645"/>
    <w:rsid w:val="004C7E4D"/>
    <w:rsid w:val="004D09DA"/>
    <w:rsid w:val="004D0DB9"/>
    <w:rsid w:val="004D1881"/>
    <w:rsid w:val="004D1978"/>
    <w:rsid w:val="004D1A7E"/>
    <w:rsid w:val="004D3A43"/>
    <w:rsid w:val="004D3AA0"/>
    <w:rsid w:val="004D41E7"/>
    <w:rsid w:val="004D47BA"/>
    <w:rsid w:val="004D50CE"/>
    <w:rsid w:val="004D5960"/>
    <w:rsid w:val="004D597A"/>
    <w:rsid w:val="004D64C7"/>
    <w:rsid w:val="004D6C07"/>
    <w:rsid w:val="004D7088"/>
    <w:rsid w:val="004D711A"/>
    <w:rsid w:val="004D714B"/>
    <w:rsid w:val="004D732F"/>
    <w:rsid w:val="004D7394"/>
    <w:rsid w:val="004D7A3A"/>
    <w:rsid w:val="004E05E1"/>
    <w:rsid w:val="004E0850"/>
    <w:rsid w:val="004E0C4C"/>
    <w:rsid w:val="004E183D"/>
    <w:rsid w:val="004E1900"/>
    <w:rsid w:val="004E1AE3"/>
    <w:rsid w:val="004E1F8B"/>
    <w:rsid w:val="004E1FFD"/>
    <w:rsid w:val="004E2075"/>
    <w:rsid w:val="004E263B"/>
    <w:rsid w:val="004E2925"/>
    <w:rsid w:val="004E3991"/>
    <w:rsid w:val="004E3D1D"/>
    <w:rsid w:val="004E492F"/>
    <w:rsid w:val="004E4CD7"/>
    <w:rsid w:val="004E4DB7"/>
    <w:rsid w:val="004E5101"/>
    <w:rsid w:val="004E6C5E"/>
    <w:rsid w:val="004E701E"/>
    <w:rsid w:val="004E71CD"/>
    <w:rsid w:val="004E7F97"/>
    <w:rsid w:val="004F086A"/>
    <w:rsid w:val="004F0948"/>
    <w:rsid w:val="004F1184"/>
    <w:rsid w:val="004F1E9B"/>
    <w:rsid w:val="004F233B"/>
    <w:rsid w:val="004F25A2"/>
    <w:rsid w:val="004F2917"/>
    <w:rsid w:val="004F2C5A"/>
    <w:rsid w:val="004F2E79"/>
    <w:rsid w:val="004F4E88"/>
    <w:rsid w:val="004F528B"/>
    <w:rsid w:val="004F59B2"/>
    <w:rsid w:val="004F59F4"/>
    <w:rsid w:val="004F5CD3"/>
    <w:rsid w:val="004F609A"/>
    <w:rsid w:val="004F6E1E"/>
    <w:rsid w:val="004F70F7"/>
    <w:rsid w:val="004F73DE"/>
    <w:rsid w:val="00500823"/>
    <w:rsid w:val="00501517"/>
    <w:rsid w:val="005025CB"/>
    <w:rsid w:val="005032A9"/>
    <w:rsid w:val="0050337C"/>
    <w:rsid w:val="005036D2"/>
    <w:rsid w:val="005043FF"/>
    <w:rsid w:val="0050499D"/>
    <w:rsid w:val="00505044"/>
    <w:rsid w:val="00505273"/>
    <w:rsid w:val="00505FCD"/>
    <w:rsid w:val="005064A4"/>
    <w:rsid w:val="00506668"/>
    <w:rsid w:val="00506A10"/>
    <w:rsid w:val="0051000B"/>
    <w:rsid w:val="0051008B"/>
    <w:rsid w:val="0051089F"/>
    <w:rsid w:val="00510B03"/>
    <w:rsid w:val="005115F2"/>
    <w:rsid w:val="005116A8"/>
    <w:rsid w:val="00511A82"/>
    <w:rsid w:val="00513E61"/>
    <w:rsid w:val="00514E77"/>
    <w:rsid w:val="005170E1"/>
    <w:rsid w:val="00517F5A"/>
    <w:rsid w:val="00520765"/>
    <w:rsid w:val="00520F0A"/>
    <w:rsid w:val="00523268"/>
    <w:rsid w:val="00523C67"/>
    <w:rsid w:val="00524051"/>
    <w:rsid w:val="00524099"/>
    <w:rsid w:val="00524354"/>
    <w:rsid w:val="00524B13"/>
    <w:rsid w:val="00524C4D"/>
    <w:rsid w:val="00524C58"/>
    <w:rsid w:val="005262FE"/>
    <w:rsid w:val="005269DA"/>
    <w:rsid w:val="00527AD3"/>
    <w:rsid w:val="0053122A"/>
    <w:rsid w:val="00531263"/>
    <w:rsid w:val="00531808"/>
    <w:rsid w:val="005323B2"/>
    <w:rsid w:val="00533492"/>
    <w:rsid w:val="00534284"/>
    <w:rsid w:val="00534972"/>
    <w:rsid w:val="005354AC"/>
    <w:rsid w:val="00535635"/>
    <w:rsid w:val="005356E4"/>
    <w:rsid w:val="005363C5"/>
    <w:rsid w:val="00536E22"/>
    <w:rsid w:val="00537046"/>
    <w:rsid w:val="00537DB5"/>
    <w:rsid w:val="00540024"/>
    <w:rsid w:val="0054028E"/>
    <w:rsid w:val="0054048E"/>
    <w:rsid w:val="00540D03"/>
    <w:rsid w:val="00541263"/>
    <w:rsid w:val="00541786"/>
    <w:rsid w:val="00541CEC"/>
    <w:rsid w:val="00542341"/>
    <w:rsid w:val="005430D2"/>
    <w:rsid w:val="0054382E"/>
    <w:rsid w:val="005440CF"/>
    <w:rsid w:val="00545214"/>
    <w:rsid w:val="005455F1"/>
    <w:rsid w:val="00546D2E"/>
    <w:rsid w:val="00547F27"/>
    <w:rsid w:val="0055027A"/>
    <w:rsid w:val="00550911"/>
    <w:rsid w:val="00551543"/>
    <w:rsid w:val="00551951"/>
    <w:rsid w:val="00551A50"/>
    <w:rsid w:val="00551A60"/>
    <w:rsid w:val="00552093"/>
    <w:rsid w:val="00552D35"/>
    <w:rsid w:val="005530E9"/>
    <w:rsid w:val="00553268"/>
    <w:rsid w:val="0055330F"/>
    <w:rsid w:val="005539EE"/>
    <w:rsid w:val="00554AAA"/>
    <w:rsid w:val="00554B40"/>
    <w:rsid w:val="00554C88"/>
    <w:rsid w:val="0055518B"/>
    <w:rsid w:val="005553FB"/>
    <w:rsid w:val="00555D7E"/>
    <w:rsid w:val="00557390"/>
    <w:rsid w:val="005601A6"/>
    <w:rsid w:val="005608E3"/>
    <w:rsid w:val="00560A50"/>
    <w:rsid w:val="00561777"/>
    <w:rsid w:val="005624AB"/>
    <w:rsid w:val="005627CD"/>
    <w:rsid w:val="00562D89"/>
    <w:rsid w:val="0056381C"/>
    <w:rsid w:val="005638E0"/>
    <w:rsid w:val="00563BB1"/>
    <w:rsid w:val="00564888"/>
    <w:rsid w:val="00564AF5"/>
    <w:rsid w:val="00564FE3"/>
    <w:rsid w:val="005657FD"/>
    <w:rsid w:val="00565F54"/>
    <w:rsid w:val="00565F8E"/>
    <w:rsid w:val="005660A7"/>
    <w:rsid w:val="00566534"/>
    <w:rsid w:val="00566779"/>
    <w:rsid w:val="00567710"/>
    <w:rsid w:val="00570D8F"/>
    <w:rsid w:val="00571A65"/>
    <w:rsid w:val="00571B5A"/>
    <w:rsid w:val="00572C13"/>
    <w:rsid w:val="00573E49"/>
    <w:rsid w:val="0057418C"/>
    <w:rsid w:val="00574355"/>
    <w:rsid w:val="00574B9D"/>
    <w:rsid w:val="00574BAF"/>
    <w:rsid w:val="00574CFF"/>
    <w:rsid w:val="00574D81"/>
    <w:rsid w:val="005757FA"/>
    <w:rsid w:val="005758B6"/>
    <w:rsid w:val="0057679A"/>
    <w:rsid w:val="005771C0"/>
    <w:rsid w:val="005779F0"/>
    <w:rsid w:val="00577B78"/>
    <w:rsid w:val="00580041"/>
    <w:rsid w:val="005811A6"/>
    <w:rsid w:val="0058154E"/>
    <w:rsid w:val="00581559"/>
    <w:rsid w:val="005819DB"/>
    <w:rsid w:val="005824FF"/>
    <w:rsid w:val="0058264B"/>
    <w:rsid w:val="00582B2F"/>
    <w:rsid w:val="00583B27"/>
    <w:rsid w:val="005843EF"/>
    <w:rsid w:val="005846C8"/>
    <w:rsid w:val="00584791"/>
    <w:rsid w:val="005848B2"/>
    <w:rsid w:val="00585C27"/>
    <w:rsid w:val="00585C34"/>
    <w:rsid w:val="00586329"/>
    <w:rsid w:val="0058644F"/>
    <w:rsid w:val="00586AE2"/>
    <w:rsid w:val="0058795F"/>
    <w:rsid w:val="00591174"/>
    <w:rsid w:val="00591F32"/>
    <w:rsid w:val="00593B71"/>
    <w:rsid w:val="00595717"/>
    <w:rsid w:val="005968C2"/>
    <w:rsid w:val="00596A0B"/>
    <w:rsid w:val="00596ABD"/>
    <w:rsid w:val="00596CE5"/>
    <w:rsid w:val="005972F4"/>
    <w:rsid w:val="00597536"/>
    <w:rsid w:val="005A0148"/>
    <w:rsid w:val="005A0EE7"/>
    <w:rsid w:val="005A18F4"/>
    <w:rsid w:val="005A2469"/>
    <w:rsid w:val="005A2C73"/>
    <w:rsid w:val="005A351C"/>
    <w:rsid w:val="005A499C"/>
    <w:rsid w:val="005A5154"/>
    <w:rsid w:val="005A6267"/>
    <w:rsid w:val="005A6716"/>
    <w:rsid w:val="005A7050"/>
    <w:rsid w:val="005B190F"/>
    <w:rsid w:val="005B1D60"/>
    <w:rsid w:val="005B1EEB"/>
    <w:rsid w:val="005B1F2E"/>
    <w:rsid w:val="005B299D"/>
    <w:rsid w:val="005B3747"/>
    <w:rsid w:val="005B51D1"/>
    <w:rsid w:val="005B536A"/>
    <w:rsid w:val="005B617A"/>
    <w:rsid w:val="005B627B"/>
    <w:rsid w:val="005B7AAD"/>
    <w:rsid w:val="005C04FC"/>
    <w:rsid w:val="005C0E2B"/>
    <w:rsid w:val="005C0EA3"/>
    <w:rsid w:val="005C1056"/>
    <w:rsid w:val="005C13A4"/>
    <w:rsid w:val="005C1B7E"/>
    <w:rsid w:val="005C2302"/>
    <w:rsid w:val="005C2442"/>
    <w:rsid w:val="005C38AA"/>
    <w:rsid w:val="005C3E84"/>
    <w:rsid w:val="005C484E"/>
    <w:rsid w:val="005C4EEE"/>
    <w:rsid w:val="005C5746"/>
    <w:rsid w:val="005C5F24"/>
    <w:rsid w:val="005C6A96"/>
    <w:rsid w:val="005C6CEC"/>
    <w:rsid w:val="005C7773"/>
    <w:rsid w:val="005C7D9B"/>
    <w:rsid w:val="005D0107"/>
    <w:rsid w:val="005D0379"/>
    <w:rsid w:val="005D0615"/>
    <w:rsid w:val="005D0BD6"/>
    <w:rsid w:val="005D1436"/>
    <w:rsid w:val="005D2237"/>
    <w:rsid w:val="005D2D31"/>
    <w:rsid w:val="005D378E"/>
    <w:rsid w:val="005D3E2F"/>
    <w:rsid w:val="005D4D23"/>
    <w:rsid w:val="005D4D37"/>
    <w:rsid w:val="005D7712"/>
    <w:rsid w:val="005E0DDD"/>
    <w:rsid w:val="005E109C"/>
    <w:rsid w:val="005E258B"/>
    <w:rsid w:val="005E28A7"/>
    <w:rsid w:val="005E36E6"/>
    <w:rsid w:val="005E3C0B"/>
    <w:rsid w:val="005E44A2"/>
    <w:rsid w:val="005E472F"/>
    <w:rsid w:val="005E4AA4"/>
    <w:rsid w:val="005E5A89"/>
    <w:rsid w:val="005E5F20"/>
    <w:rsid w:val="005E6932"/>
    <w:rsid w:val="005E7957"/>
    <w:rsid w:val="005E7E03"/>
    <w:rsid w:val="005F08E8"/>
    <w:rsid w:val="005F1E60"/>
    <w:rsid w:val="005F3758"/>
    <w:rsid w:val="005F4000"/>
    <w:rsid w:val="005F44E0"/>
    <w:rsid w:val="005F46C3"/>
    <w:rsid w:val="005F505B"/>
    <w:rsid w:val="005F50E4"/>
    <w:rsid w:val="005F5183"/>
    <w:rsid w:val="005F60EC"/>
    <w:rsid w:val="005F62A0"/>
    <w:rsid w:val="005F63C3"/>
    <w:rsid w:val="005F6668"/>
    <w:rsid w:val="005F74A7"/>
    <w:rsid w:val="005F7C17"/>
    <w:rsid w:val="00601963"/>
    <w:rsid w:val="00601EA4"/>
    <w:rsid w:val="006025B1"/>
    <w:rsid w:val="0060370B"/>
    <w:rsid w:val="00604A75"/>
    <w:rsid w:val="006064CC"/>
    <w:rsid w:val="00607884"/>
    <w:rsid w:val="00607AB8"/>
    <w:rsid w:val="00607FF9"/>
    <w:rsid w:val="00610633"/>
    <w:rsid w:val="00610D47"/>
    <w:rsid w:val="0061118A"/>
    <w:rsid w:val="006116B7"/>
    <w:rsid w:val="00611B81"/>
    <w:rsid w:val="00611F39"/>
    <w:rsid w:val="00613B83"/>
    <w:rsid w:val="00613F78"/>
    <w:rsid w:val="00614004"/>
    <w:rsid w:val="006159F6"/>
    <w:rsid w:val="0061611F"/>
    <w:rsid w:val="00616299"/>
    <w:rsid w:val="00616A25"/>
    <w:rsid w:val="00616CCD"/>
    <w:rsid w:val="0061782F"/>
    <w:rsid w:val="00620015"/>
    <w:rsid w:val="006200B9"/>
    <w:rsid w:val="006200E9"/>
    <w:rsid w:val="006201E8"/>
    <w:rsid w:val="006209F8"/>
    <w:rsid w:val="00621D58"/>
    <w:rsid w:val="00624B12"/>
    <w:rsid w:val="0062592B"/>
    <w:rsid w:val="00625BAA"/>
    <w:rsid w:val="0062612D"/>
    <w:rsid w:val="006264D3"/>
    <w:rsid w:val="006265CC"/>
    <w:rsid w:val="00626A2A"/>
    <w:rsid w:val="00626AE3"/>
    <w:rsid w:val="00627097"/>
    <w:rsid w:val="006273ED"/>
    <w:rsid w:val="00627F70"/>
    <w:rsid w:val="006306A0"/>
    <w:rsid w:val="00630739"/>
    <w:rsid w:val="00630AA9"/>
    <w:rsid w:val="00631084"/>
    <w:rsid w:val="0063166B"/>
    <w:rsid w:val="00631EBC"/>
    <w:rsid w:val="00632729"/>
    <w:rsid w:val="006346A5"/>
    <w:rsid w:val="00634F8A"/>
    <w:rsid w:val="00635231"/>
    <w:rsid w:val="00635851"/>
    <w:rsid w:val="00635B30"/>
    <w:rsid w:val="00635B81"/>
    <w:rsid w:val="00635ECB"/>
    <w:rsid w:val="00635EE5"/>
    <w:rsid w:val="00636560"/>
    <w:rsid w:val="0063761C"/>
    <w:rsid w:val="00637F41"/>
    <w:rsid w:val="00640379"/>
    <w:rsid w:val="0064066E"/>
    <w:rsid w:val="0064087A"/>
    <w:rsid w:val="00640A81"/>
    <w:rsid w:val="00640AA9"/>
    <w:rsid w:val="006417B3"/>
    <w:rsid w:val="006419F6"/>
    <w:rsid w:val="00641E71"/>
    <w:rsid w:val="00642BBD"/>
    <w:rsid w:val="00642FD8"/>
    <w:rsid w:val="0064399B"/>
    <w:rsid w:val="00643D02"/>
    <w:rsid w:val="00644358"/>
    <w:rsid w:val="006449AE"/>
    <w:rsid w:val="0064545A"/>
    <w:rsid w:val="006459A3"/>
    <w:rsid w:val="0064628B"/>
    <w:rsid w:val="00646885"/>
    <w:rsid w:val="006472F2"/>
    <w:rsid w:val="0064732D"/>
    <w:rsid w:val="00647C0B"/>
    <w:rsid w:val="00650938"/>
    <w:rsid w:val="00650AF5"/>
    <w:rsid w:val="006525BF"/>
    <w:rsid w:val="00652814"/>
    <w:rsid w:val="00652B50"/>
    <w:rsid w:val="00652BD9"/>
    <w:rsid w:val="0065341A"/>
    <w:rsid w:val="00653A0C"/>
    <w:rsid w:val="00654EFA"/>
    <w:rsid w:val="00655502"/>
    <w:rsid w:val="00656893"/>
    <w:rsid w:val="00657534"/>
    <w:rsid w:val="006605CB"/>
    <w:rsid w:val="006613D4"/>
    <w:rsid w:val="006618E7"/>
    <w:rsid w:val="00661C21"/>
    <w:rsid w:val="00662291"/>
    <w:rsid w:val="00662767"/>
    <w:rsid w:val="00662A19"/>
    <w:rsid w:val="00664167"/>
    <w:rsid w:val="00664AB0"/>
    <w:rsid w:val="00665051"/>
    <w:rsid w:val="006651C2"/>
    <w:rsid w:val="0066547F"/>
    <w:rsid w:val="0066605F"/>
    <w:rsid w:val="006668D2"/>
    <w:rsid w:val="00667428"/>
    <w:rsid w:val="006674C3"/>
    <w:rsid w:val="00667719"/>
    <w:rsid w:val="00670AF5"/>
    <w:rsid w:val="006715A0"/>
    <w:rsid w:val="00671C75"/>
    <w:rsid w:val="006722CD"/>
    <w:rsid w:val="006723CB"/>
    <w:rsid w:val="00672C1E"/>
    <w:rsid w:val="00673977"/>
    <w:rsid w:val="0067596F"/>
    <w:rsid w:val="00675B36"/>
    <w:rsid w:val="00676109"/>
    <w:rsid w:val="006764E0"/>
    <w:rsid w:val="00676680"/>
    <w:rsid w:val="00676793"/>
    <w:rsid w:val="0067691D"/>
    <w:rsid w:val="00677257"/>
    <w:rsid w:val="006777F4"/>
    <w:rsid w:val="0067797B"/>
    <w:rsid w:val="006779CC"/>
    <w:rsid w:val="0068082D"/>
    <w:rsid w:val="006808D5"/>
    <w:rsid w:val="00680F9D"/>
    <w:rsid w:val="0068183E"/>
    <w:rsid w:val="006818F3"/>
    <w:rsid w:val="00681FAF"/>
    <w:rsid w:val="0068297E"/>
    <w:rsid w:val="006830E7"/>
    <w:rsid w:val="0068410E"/>
    <w:rsid w:val="00684E31"/>
    <w:rsid w:val="0068516B"/>
    <w:rsid w:val="006856AB"/>
    <w:rsid w:val="00685AFF"/>
    <w:rsid w:val="0068629A"/>
    <w:rsid w:val="00686EF3"/>
    <w:rsid w:val="00686F8A"/>
    <w:rsid w:val="00687083"/>
    <w:rsid w:val="00687A7A"/>
    <w:rsid w:val="006902EB"/>
    <w:rsid w:val="00690719"/>
    <w:rsid w:val="00690A3F"/>
    <w:rsid w:val="00690C79"/>
    <w:rsid w:val="00692EA3"/>
    <w:rsid w:val="006943EF"/>
    <w:rsid w:val="006956D0"/>
    <w:rsid w:val="0069597F"/>
    <w:rsid w:val="00696022"/>
    <w:rsid w:val="0069636F"/>
    <w:rsid w:val="0069696D"/>
    <w:rsid w:val="00696E38"/>
    <w:rsid w:val="00696F68"/>
    <w:rsid w:val="006A0A72"/>
    <w:rsid w:val="006A1361"/>
    <w:rsid w:val="006A1521"/>
    <w:rsid w:val="006A20E2"/>
    <w:rsid w:val="006A2258"/>
    <w:rsid w:val="006A23FC"/>
    <w:rsid w:val="006A2834"/>
    <w:rsid w:val="006A3447"/>
    <w:rsid w:val="006A3E60"/>
    <w:rsid w:val="006A4332"/>
    <w:rsid w:val="006A5A4F"/>
    <w:rsid w:val="006A6AAE"/>
    <w:rsid w:val="006A6DA6"/>
    <w:rsid w:val="006A7FF1"/>
    <w:rsid w:val="006B1554"/>
    <w:rsid w:val="006B16BC"/>
    <w:rsid w:val="006B199A"/>
    <w:rsid w:val="006B21B6"/>
    <w:rsid w:val="006B23B8"/>
    <w:rsid w:val="006B2A65"/>
    <w:rsid w:val="006B2DDE"/>
    <w:rsid w:val="006B321F"/>
    <w:rsid w:val="006B5BFB"/>
    <w:rsid w:val="006B5D5E"/>
    <w:rsid w:val="006B63A2"/>
    <w:rsid w:val="006B6606"/>
    <w:rsid w:val="006B7385"/>
    <w:rsid w:val="006C1922"/>
    <w:rsid w:val="006C19AB"/>
    <w:rsid w:val="006C38B3"/>
    <w:rsid w:val="006C3C9D"/>
    <w:rsid w:val="006C41EB"/>
    <w:rsid w:val="006C46F1"/>
    <w:rsid w:val="006C4850"/>
    <w:rsid w:val="006C4AAB"/>
    <w:rsid w:val="006C532C"/>
    <w:rsid w:val="006C5770"/>
    <w:rsid w:val="006C5C49"/>
    <w:rsid w:val="006C5E8A"/>
    <w:rsid w:val="006C6136"/>
    <w:rsid w:val="006C6463"/>
    <w:rsid w:val="006C685C"/>
    <w:rsid w:val="006C6B4B"/>
    <w:rsid w:val="006D0D89"/>
    <w:rsid w:val="006D1A16"/>
    <w:rsid w:val="006D1F63"/>
    <w:rsid w:val="006D1FBA"/>
    <w:rsid w:val="006D20E9"/>
    <w:rsid w:val="006D2101"/>
    <w:rsid w:val="006D2E1A"/>
    <w:rsid w:val="006D437E"/>
    <w:rsid w:val="006D4BF8"/>
    <w:rsid w:val="006D7CC0"/>
    <w:rsid w:val="006E0EE3"/>
    <w:rsid w:val="006E104A"/>
    <w:rsid w:val="006E32CA"/>
    <w:rsid w:val="006E3468"/>
    <w:rsid w:val="006E3624"/>
    <w:rsid w:val="006E4DEA"/>
    <w:rsid w:val="006E546D"/>
    <w:rsid w:val="006E5BD1"/>
    <w:rsid w:val="006E5C27"/>
    <w:rsid w:val="006E5CAE"/>
    <w:rsid w:val="006E6215"/>
    <w:rsid w:val="006E6C45"/>
    <w:rsid w:val="006F06BB"/>
    <w:rsid w:val="006F1DF1"/>
    <w:rsid w:val="006F238E"/>
    <w:rsid w:val="006F2AA8"/>
    <w:rsid w:val="006F2DB5"/>
    <w:rsid w:val="006F3462"/>
    <w:rsid w:val="006F3551"/>
    <w:rsid w:val="006F3A9F"/>
    <w:rsid w:val="006F3B0B"/>
    <w:rsid w:val="006F3F71"/>
    <w:rsid w:val="006F54B0"/>
    <w:rsid w:val="006F54EC"/>
    <w:rsid w:val="006F5C52"/>
    <w:rsid w:val="006F62BD"/>
    <w:rsid w:val="006F6B01"/>
    <w:rsid w:val="006F7495"/>
    <w:rsid w:val="006F7C63"/>
    <w:rsid w:val="00700077"/>
    <w:rsid w:val="00700886"/>
    <w:rsid w:val="00700901"/>
    <w:rsid w:val="00701088"/>
    <w:rsid w:val="00701424"/>
    <w:rsid w:val="007024EE"/>
    <w:rsid w:val="007033AA"/>
    <w:rsid w:val="00703514"/>
    <w:rsid w:val="007037B1"/>
    <w:rsid w:val="007038F0"/>
    <w:rsid w:val="007044A3"/>
    <w:rsid w:val="0070756B"/>
    <w:rsid w:val="00707582"/>
    <w:rsid w:val="0070783B"/>
    <w:rsid w:val="007079FE"/>
    <w:rsid w:val="00707EC3"/>
    <w:rsid w:val="00710923"/>
    <w:rsid w:val="00711D4F"/>
    <w:rsid w:val="00711DFE"/>
    <w:rsid w:val="00713091"/>
    <w:rsid w:val="007130A3"/>
    <w:rsid w:val="007137E1"/>
    <w:rsid w:val="0071416D"/>
    <w:rsid w:val="0071419F"/>
    <w:rsid w:val="007144D8"/>
    <w:rsid w:val="00715256"/>
    <w:rsid w:val="00716297"/>
    <w:rsid w:val="00716D03"/>
    <w:rsid w:val="00720124"/>
    <w:rsid w:val="0072034A"/>
    <w:rsid w:val="007225A9"/>
    <w:rsid w:val="0072284F"/>
    <w:rsid w:val="0072288F"/>
    <w:rsid w:val="00722B10"/>
    <w:rsid w:val="00723523"/>
    <w:rsid w:val="00724340"/>
    <w:rsid w:val="007244BC"/>
    <w:rsid w:val="00724704"/>
    <w:rsid w:val="00725119"/>
    <w:rsid w:val="0072554A"/>
    <w:rsid w:val="00725D01"/>
    <w:rsid w:val="0072641A"/>
    <w:rsid w:val="007270C7"/>
    <w:rsid w:val="007275CA"/>
    <w:rsid w:val="007275D3"/>
    <w:rsid w:val="007275F5"/>
    <w:rsid w:val="007306E6"/>
    <w:rsid w:val="00730B65"/>
    <w:rsid w:val="00730EC0"/>
    <w:rsid w:val="00730F10"/>
    <w:rsid w:val="00731EC4"/>
    <w:rsid w:val="00731F6F"/>
    <w:rsid w:val="007320FA"/>
    <w:rsid w:val="0073263F"/>
    <w:rsid w:val="0073294C"/>
    <w:rsid w:val="007330AB"/>
    <w:rsid w:val="0073336A"/>
    <w:rsid w:val="00733A0C"/>
    <w:rsid w:val="00733D3E"/>
    <w:rsid w:val="00733D55"/>
    <w:rsid w:val="00734EB5"/>
    <w:rsid w:val="00735194"/>
    <w:rsid w:val="00736507"/>
    <w:rsid w:val="00736912"/>
    <w:rsid w:val="007402FD"/>
    <w:rsid w:val="0074091E"/>
    <w:rsid w:val="00740A0D"/>
    <w:rsid w:val="0074126C"/>
    <w:rsid w:val="00741808"/>
    <w:rsid w:val="00741825"/>
    <w:rsid w:val="00742191"/>
    <w:rsid w:val="0074227B"/>
    <w:rsid w:val="00742636"/>
    <w:rsid w:val="00742E4C"/>
    <w:rsid w:val="00743031"/>
    <w:rsid w:val="00743428"/>
    <w:rsid w:val="00743B63"/>
    <w:rsid w:val="00743F5D"/>
    <w:rsid w:val="00743F63"/>
    <w:rsid w:val="00744FB3"/>
    <w:rsid w:val="00745074"/>
    <w:rsid w:val="007468CE"/>
    <w:rsid w:val="00746AC4"/>
    <w:rsid w:val="00746D50"/>
    <w:rsid w:val="00747156"/>
    <w:rsid w:val="007476C1"/>
    <w:rsid w:val="00747A71"/>
    <w:rsid w:val="00747C70"/>
    <w:rsid w:val="007501BF"/>
    <w:rsid w:val="00750B29"/>
    <w:rsid w:val="00750C4B"/>
    <w:rsid w:val="00751986"/>
    <w:rsid w:val="00751E68"/>
    <w:rsid w:val="00751FEE"/>
    <w:rsid w:val="00752C5D"/>
    <w:rsid w:val="00752EE2"/>
    <w:rsid w:val="007535F0"/>
    <w:rsid w:val="00753686"/>
    <w:rsid w:val="007539A8"/>
    <w:rsid w:val="00754774"/>
    <w:rsid w:val="00754846"/>
    <w:rsid w:val="00755111"/>
    <w:rsid w:val="007559EF"/>
    <w:rsid w:val="00757111"/>
    <w:rsid w:val="007576DC"/>
    <w:rsid w:val="0076143D"/>
    <w:rsid w:val="00761F27"/>
    <w:rsid w:val="007622A2"/>
    <w:rsid w:val="007624F4"/>
    <w:rsid w:val="007625D9"/>
    <w:rsid w:val="007629D6"/>
    <w:rsid w:val="007644C4"/>
    <w:rsid w:val="007658DC"/>
    <w:rsid w:val="00765B02"/>
    <w:rsid w:val="00766049"/>
    <w:rsid w:val="0076793B"/>
    <w:rsid w:val="00767B55"/>
    <w:rsid w:val="00767DBF"/>
    <w:rsid w:val="00770023"/>
    <w:rsid w:val="00770B41"/>
    <w:rsid w:val="00770B47"/>
    <w:rsid w:val="00770DCD"/>
    <w:rsid w:val="00771225"/>
    <w:rsid w:val="007722FC"/>
    <w:rsid w:val="00773026"/>
    <w:rsid w:val="007739A4"/>
    <w:rsid w:val="00773C06"/>
    <w:rsid w:val="00773F9F"/>
    <w:rsid w:val="007747AA"/>
    <w:rsid w:val="00776229"/>
    <w:rsid w:val="007772BB"/>
    <w:rsid w:val="00777842"/>
    <w:rsid w:val="00777BE3"/>
    <w:rsid w:val="00780347"/>
    <w:rsid w:val="0078107F"/>
    <w:rsid w:val="00781E8E"/>
    <w:rsid w:val="00782420"/>
    <w:rsid w:val="007824BD"/>
    <w:rsid w:val="0078296B"/>
    <w:rsid w:val="00782AF2"/>
    <w:rsid w:val="00782B99"/>
    <w:rsid w:val="007833C1"/>
    <w:rsid w:val="007835F2"/>
    <w:rsid w:val="00785A2A"/>
    <w:rsid w:val="00785C59"/>
    <w:rsid w:val="00785E48"/>
    <w:rsid w:val="00786950"/>
    <w:rsid w:val="00786A3E"/>
    <w:rsid w:val="00786F93"/>
    <w:rsid w:val="0079043C"/>
    <w:rsid w:val="00790E5E"/>
    <w:rsid w:val="00791A80"/>
    <w:rsid w:val="00792033"/>
    <w:rsid w:val="00793170"/>
    <w:rsid w:val="0079358D"/>
    <w:rsid w:val="007935DF"/>
    <w:rsid w:val="00793C3C"/>
    <w:rsid w:val="00794F48"/>
    <w:rsid w:val="00795B86"/>
    <w:rsid w:val="007963BF"/>
    <w:rsid w:val="00796CB7"/>
    <w:rsid w:val="00797085"/>
    <w:rsid w:val="007A0BF6"/>
    <w:rsid w:val="007A2409"/>
    <w:rsid w:val="007A265B"/>
    <w:rsid w:val="007A373D"/>
    <w:rsid w:val="007A43A2"/>
    <w:rsid w:val="007A5AF1"/>
    <w:rsid w:val="007A612F"/>
    <w:rsid w:val="007A68E1"/>
    <w:rsid w:val="007A693D"/>
    <w:rsid w:val="007A71BF"/>
    <w:rsid w:val="007A73DA"/>
    <w:rsid w:val="007A754E"/>
    <w:rsid w:val="007A75EF"/>
    <w:rsid w:val="007A7DC0"/>
    <w:rsid w:val="007B055B"/>
    <w:rsid w:val="007B1CDE"/>
    <w:rsid w:val="007B2C05"/>
    <w:rsid w:val="007B2CA4"/>
    <w:rsid w:val="007B383C"/>
    <w:rsid w:val="007B415B"/>
    <w:rsid w:val="007B6610"/>
    <w:rsid w:val="007B7071"/>
    <w:rsid w:val="007B7DDF"/>
    <w:rsid w:val="007C00E6"/>
    <w:rsid w:val="007C0179"/>
    <w:rsid w:val="007C03F9"/>
    <w:rsid w:val="007C0AD9"/>
    <w:rsid w:val="007C0FE8"/>
    <w:rsid w:val="007C16D3"/>
    <w:rsid w:val="007C205E"/>
    <w:rsid w:val="007C2E01"/>
    <w:rsid w:val="007C3572"/>
    <w:rsid w:val="007C3B18"/>
    <w:rsid w:val="007C4D9A"/>
    <w:rsid w:val="007C50D7"/>
    <w:rsid w:val="007C527C"/>
    <w:rsid w:val="007C5883"/>
    <w:rsid w:val="007C6948"/>
    <w:rsid w:val="007C70EE"/>
    <w:rsid w:val="007C74EC"/>
    <w:rsid w:val="007D04B2"/>
    <w:rsid w:val="007D0F0A"/>
    <w:rsid w:val="007D149D"/>
    <w:rsid w:val="007D3370"/>
    <w:rsid w:val="007D337D"/>
    <w:rsid w:val="007D3652"/>
    <w:rsid w:val="007D4676"/>
    <w:rsid w:val="007D5050"/>
    <w:rsid w:val="007D51AD"/>
    <w:rsid w:val="007D570D"/>
    <w:rsid w:val="007D5A0B"/>
    <w:rsid w:val="007D5C67"/>
    <w:rsid w:val="007D6526"/>
    <w:rsid w:val="007D653C"/>
    <w:rsid w:val="007D6610"/>
    <w:rsid w:val="007D6857"/>
    <w:rsid w:val="007D69BB"/>
    <w:rsid w:val="007D7DF8"/>
    <w:rsid w:val="007E0179"/>
    <w:rsid w:val="007E07EC"/>
    <w:rsid w:val="007E1366"/>
    <w:rsid w:val="007E1ABB"/>
    <w:rsid w:val="007E3459"/>
    <w:rsid w:val="007E3FBD"/>
    <w:rsid w:val="007E6570"/>
    <w:rsid w:val="007E6BB2"/>
    <w:rsid w:val="007E6EFE"/>
    <w:rsid w:val="007F05D9"/>
    <w:rsid w:val="007F0D67"/>
    <w:rsid w:val="007F2304"/>
    <w:rsid w:val="007F2680"/>
    <w:rsid w:val="007F2CF1"/>
    <w:rsid w:val="007F308A"/>
    <w:rsid w:val="007F322E"/>
    <w:rsid w:val="007F3671"/>
    <w:rsid w:val="007F4AB3"/>
    <w:rsid w:val="007F64F1"/>
    <w:rsid w:val="007F6B04"/>
    <w:rsid w:val="007F6BE9"/>
    <w:rsid w:val="007F74CD"/>
    <w:rsid w:val="00802883"/>
    <w:rsid w:val="0080291F"/>
    <w:rsid w:val="00802F8A"/>
    <w:rsid w:val="008031B6"/>
    <w:rsid w:val="00805462"/>
    <w:rsid w:val="008055B9"/>
    <w:rsid w:val="00805CBA"/>
    <w:rsid w:val="008061B8"/>
    <w:rsid w:val="00806317"/>
    <w:rsid w:val="00806372"/>
    <w:rsid w:val="00806CEE"/>
    <w:rsid w:val="00810365"/>
    <w:rsid w:val="008117F1"/>
    <w:rsid w:val="00811A9F"/>
    <w:rsid w:val="00812C06"/>
    <w:rsid w:val="00813041"/>
    <w:rsid w:val="008145F6"/>
    <w:rsid w:val="0081470E"/>
    <w:rsid w:val="008147EC"/>
    <w:rsid w:val="00814A64"/>
    <w:rsid w:val="00816359"/>
    <w:rsid w:val="0081650C"/>
    <w:rsid w:val="00816871"/>
    <w:rsid w:val="00817290"/>
    <w:rsid w:val="008172EC"/>
    <w:rsid w:val="00817A00"/>
    <w:rsid w:val="00817B85"/>
    <w:rsid w:val="00817F5B"/>
    <w:rsid w:val="00820C61"/>
    <w:rsid w:val="008220A9"/>
    <w:rsid w:val="008229EC"/>
    <w:rsid w:val="00822AA7"/>
    <w:rsid w:val="00822F5F"/>
    <w:rsid w:val="008238C6"/>
    <w:rsid w:val="00824043"/>
    <w:rsid w:val="008245EA"/>
    <w:rsid w:val="00824668"/>
    <w:rsid w:val="00825A6B"/>
    <w:rsid w:val="00825D9A"/>
    <w:rsid w:val="0082634B"/>
    <w:rsid w:val="008269E2"/>
    <w:rsid w:val="0082716A"/>
    <w:rsid w:val="0082729E"/>
    <w:rsid w:val="008274E2"/>
    <w:rsid w:val="008278F8"/>
    <w:rsid w:val="0083076E"/>
    <w:rsid w:val="008308CD"/>
    <w:rsid w:val="00830F51"/>
    <w:rsid w:val="00831A4B"/>
    <w:rsid w:val="00831B61"/>
    <w:rsid w:val="00831C30"/>
    <w:rsid w:val="00831E93"/>
    <w:rsid w:val="00832287"/>
    <w:rsid w:val="0083254E"/>
    <w:rsid w:val="00832EDF"/>
    <w:rsid w:val="00833180"/>
    <w:rsid w:val="0083383E"/>
    <w:rsid w:val="00833ACA"/>
    <w:rsid w:val="008340E0"/>
    <w:rsid w:val="00834452"/>
    <w:rsid w:val="008346AD"/>
    <w:rsid w:val="00834E80"/>
    <w:rsid w:val="00835803"/>
    <w:rsid w:val="008366EA"/>
    <w:rsid w:val="00836875"/>
    <w:rsid w:val="008374E1"/>
    <w:rsid w:val="00837676"/>
    <w:rsid w:val="00837CFF"/>
    <w:rsid w:val="0084001E"/>
    <w:rsid w:val="008405CD"/>
    <w:rsid w:val="00840B93"/>
    <w:rsid w:val="008414D9"/>
    <w:rsid w:val="008416E9"/>
    <w:rsid w:val="00841B6F"/>
    <w:rsid w:val="00842565"/>
    <w:rsid w:val="008428D2"/>
    <w:rsid w:val="00842CC6"/>
    <w:rsid w:val="00842DDC"/>
    <w:rsid w:val="00842E44"/>
    <w:rsid w:val="0084415D"/>
    <w:rsid w:val="00844591"/>
    <w:rsid w:val="008448CB"/>
    <w:rsid w:val="0084589F"/>
    <w:rsid w:val="00845933"/>
    <w:rsid w:val="00847FD2"/>
    <w:rsid w:val="0085053C"/>
    <w:rsid w:val="00850B9B"/>
    <w:rsid w:val="00850DDB"/>
    <w:rsid w:val="008519E3"/>
    <w:rsid w:val="0085201D"/>
    <w:rsid w:val="008521C7"/>
    <w:rsid w:val="0085380E"/>
    <w:rsid w:val="00854701"/>
    <w:rsid w:val="00854AD9"/>
    <w:rsid w:val="00855A36"/>
    <w:rsid w:val="00855FFA"/>
    <w:rsid w:val="00856588"/>
    <w:rsid w:val="00860454"/>
    <w:rsid w:val="008604F0"/>
    <w:rsid w:val="00860CF0"/>
    <w:rsid w:val="0086117C"/>
    <w:rsid w:val="008613DD"/>
    <w:rsid w:val="0086301C"/>
    <w:rsid w:val="0086350F"/>
    <w:rsid w:val="0086398E"/>
    <w:rsid w:val="00863BDD"/>
    <w:rsid w:val="00863D32"/>
    <w:rsid w:val="0086462C"/>
    <w:rsid w:val="0086487A"/>
    <w:rsid w:val="00864A64"/>
    <w:rsid w:val="00864BD3"/>
    <w:rsid w:val="00866331"/>
    <w:rsid w:val="0087040E"/>
    <w:rsid w:val="00870C94"/>
    <w:rsid w:val="00871258"/>
    <w:rsid w:val="00871B83"/>
    <w:rsid w:val="008727BB"/>
    <w:rsid w:val="00872CCC"/>
    <w:rsid w:val="008738DC"/>
    <w:rsid w:val="008750AA"/>
    <w:rsid w:val="008754EC"/>
    <w:rsid w:val="00875579"/>
    <w:rsid w:val="00876B68"/>
    <w:rsid w:val="008771D1"/>
    <w:rsid w:val="00877511"/>
    <w:rsid w:val="008808AC"/>
    <w:rsid w:val="00881875"/>
    <w:rsid w:val="00882180"/>
    <w:rsid w:val="008825E1"/>
    <w:rsid w:val="008827AA"/>
    <w:rsid w:val="0088312E"/>
    <w:rsid w:val="0088373A"/>
    <w:rsid w:val="00883BC9"/>
    <w:rsid w:val="0088409E"/>
    <w:rsid w:val="0088431F"/>
    <w:rsid w:val="008849CE"/>
    <w:rsid w:val="00884D2C"/>
    <w:rsid w:val="0088594E"/>
    <w:rsid w:val="00886582"/>
    <w:rsid w:val="00886622"/>
    <w:rsid w:val="0088683A"/>
    <w:rsid w:val="00887EA1"/>
    <w:rsid w:val="00890B40"/>
    <w:rsid w:val="00894D33"/>
    <w:rsid w:val="008953A1"/>
    <w:rsid w:val="008967D4"/>
    <w:rsid w:val="00896DD2"/>
    <w:rsid w:val="0089779D"/>
    <w:rsid w:val="008977CC"/>
    <w:rsid w:val="00897831"/>
    <w:rsid w:val="00897C41"/>
    <w:rsid w:val="008A0213"/>
    <w:rsid w:val="008A0A10"/>
    <w:rsid w:val="008A19C7"/>
    <w:rsid w:val="008A19E0"/>
    <w:rsid w:val="008A1EEC"/>
    <w:rsid w:val="008A1FA8"/>
    <w:rsid w:val="008A25C7"/>
    <w:rsid w:val="008A2665"/>
    <w:rsid w:val="008A2E99"/>
    <w:rsid w:val="008A3676"/>
    <w:rsid w:val="008A3755"/>
    <w:rsid w:val="008A3E7C"/>
    <w:rsid w:val="008A41BF"/>
    <w:rsid w:val="008A41F2"/>
    <w:rsid w:val="008A446E"/>
    <w:rsid w:val="008A48F1"/>
    <w:rsid w:val="008A52B6"/>
    <w:rsid w:val="008A62F1"/>
    <w:rsid w:val="008A63D3"/>
    <w:rsid w:val="008A6C5F"/>
    <w:rsid w:val="008A7D76"/>
    <w:rsid w:val="008A7DF6"/>
    <w:rsid w:val="008A7F6D"/>
    <w:rsid w:val="008A7F88"/>
    <w:rsid w:val="008B05ED"/>
    <w:rsid w:val="008B0EEA"/>
    <w:rsid w:val="008B1899"/>
    <w:rsid w:val="008B2525"/>
    <w:rsid w:val="008B2D9E"/>
    <w:rsid w:val="008B2DAB"/>
    <w:rsid w:val="008B2E4B"/>
    <w:rsid w:val="008B3A07"/>
    <w:rsid w:val="008B3E89"/>
    <w:rsid w:val="008B49AD"/>
    <w:rsid w:val="008B49F2"/>
    <w:rsid w:val="008B4F69"/>
    <w:rsid w:val="008B5645"/>
    <w:rsid w:val="008B5B84"/>
    <w:rsid w:val="008B61D8"/>
    <w:rsid w:val="008B70F5"/>
    <w:rsid w:val="008B7C6A"/>
    <w:rsid w:val="008B7F70"/>
    <w:rsid w:val="008C027C"/>
    <w:rsid w:val="008C06E8"/>
    <w:rsid w:val="008C073A"/>
    <w:rsid w:val="008C174D"/>
    <w:rsid w:val="008C210C"/>
    <w:rsid w:val="008C2740"/>
    <w:rsid w:val="008C361E"/>
    <w:rsid w:val="008C364F"/>
    <w:rsid w:val="008C3985"/>
    <w:rsid w:val="008C3D79"/>
    <w:rsid w:val="008C4191"/>
    <w:rsid w:val="008C4B43"/>
    <w:rsid w:val="008C4BAA"/>
    <w:rsid w:val="008C4E94"/>
    <w:rsid w:val="008C5E08"/>
    <w:rsid w:val="008C6005"/>
    <w:rsid w:val="008D172C"/>
    <w:rsid w:val="008D17E6"/>
    <w:rsid w:val="008D1B87"/>
    <w:rsid w:val="008D276D"/>
    <w:rsid w:val="008D2AC8"/>
    <w:rsid w:val="008D3341"/>
    <w:rsid w:val="008D33EB"/>
    <w:rsid w:val="008D3E6B"/>
    <w:rsid w:val="008D4188"/>
    <w:rsid w:val="008D4FF4"/>
    <w:rsid w:val="008D50A9"/>
    <w:rsid w:val="008D5760"/>
    <w:rsid w:val="008D6CF5"/>
    <w:rsid w:val="008D713A"/>
    <w:rsid w:val="008D7AA2"/>
    <w:rsid w:val="008D7D2C"/>
    <w:rsid w:val="008E0120"/>
    <w:rsid w:val="008E2F27"/>
    <w:rsid w:val="008E2F9B"/>
    <w:rsid w:val="008E4CFE"/>
    <w:rsid w:val="008E6CDC"/>
    <w:rsid w:val="008E7315"/>
    <w:rsid w:val="008E7625"/>
    <w:rsid w:val="008E765C"/>
    <w:rsid w:val="008E7B78"/>
    <w:rsid w:val="008E7CD5"/>
    <w:rsid w:val="008E7F31"/>
    <w:rsid w:val="008F088E"/>
    <w:rsid w:val="008F08C3"/>
    <w:rsid w:val="008F0B0C"/>
    <w:rsid w:val="008F1052"/>
    <w:rsid w:val="008F1433"/>
    <w:rsid w:val="008F17CF"/>
    <w:rsid w:val="008F1BB1"/>
    <w:rsid w:val="008F206E"/>
    <w:rsid w:val="008F2CA1"/>
    <w:rsid w:val="008F41EC"/>
    <w:rsid w:val="008F4267"/>
    <w:rsid w:val="008F4B30"/>
    <w:rsid w:val="008F4EBF"/>
    <w:rsid w:val="008F571A"/>
    <w:rsid w:val="008F5B6A"/>
    <w:rsid w:val="008F64E4"/>
    <w:rsid w:val="008F670D"/>
    <w:rsid w:val="008F68A3"/>
    <w:rsid w:val="008F73E4"/>
    <w:rsid w:val="0090006A"/>
    <w:rsid w:val="00900368"/>
    <w:rsid w:val="009010E3"/>
    <w:rsid w:val="00901239"/>
    <w:rsid w:val="00901F20"/>
    <w:rsid w:val="00903C3D"/>
    <w:rsid w:val="009041C2"/>
    <w:rsid w:val="009043DC"/>
    <w:rsid w:val="009049B3"/>
    <w:rsid w:val="0090730B"/>
    <w:rsid w:val="009074AD"/>
    <w:rsid w:val="00907B64"/>
    <w:rsid w:val="00907F55"/>
    <w:rsid w:val="00910BB3"/>
    <w:rsid w:val="00912426"/>
    <w:rsid w:val="00912753"/>
    <w:rsid w:val="00912A5F"/>
    <w:rsid w:val="00912B65"/>
    <w:rsid w:val="00912B95"/>
    <w:rsid w:val="00912F75"/>
    <w:rsid w:val="009135CF"/>
    <w:rsid w:val="00914B3A"/>
    <w:rsid w:val="00915062"/>
    <w:rsid w:val="00916B33"/>
    <w:rsid w:val="00916BF1"/>
    <w:rsid w:val="00920FEB"/>
    <w:rsid w:val="00921562"/>
    <w:rsid w:val="0092337E"/>
    <w:rsid w:val="009250BD"/>
    <w:rsid w:val="009253FA"/>
    <w:rsid w:val="0092549D"/>
    <w:rsid w:val="009259F9"/>
    <w:rsid w:val="00925F33"/>
    <w:rsid w:val="00926233"/>
    <w:rsid w:val="00927060"/>
    <w:rsid w:val="00927797"/>
    <w:rsid w:val="00930B09"/>
    <w:rsid w:val="00931193"/>
    <w:rsid w:val="0093182E"/>
    <w:rsid w:val="009319C3"/>
    <w:rsid w:val="00931A2E"/>
    <w:rsid w:val="00932196"/>
    <w:rsid w:val="00932397"/>
    <w:rsid w:val="0093388C"/>
    <w:rsid w:val="00934087"/>
    <w:rsid w:val="009340F4"/>
    <w:rsid w:val="009351A4"/>
    <w:rsid w:val="00935353"/>
    <w:rsid w:val="00935A15"/>
    <w:rsid w:val="00935DB9"/>
    <w:rsid w:val="0093606B"/>
    <w:rsid w:val="009363E3"/>
    <w:rsid w:val="00936A19"/>
    <w:rsid w:val="00936B1A"/>
    <w:rsid w:val="00936FCA"/>
    <w:rsid w:val="00937F1E"/>
    <w:rsid w:val="00937FBD"/>
    <w:rsid w:val="009400C5"/>
    <w:rsid w:val="009405FF"/>
    <w:rsid w:val="009407B8"/>
    <w:rsid w:val="00940A75"/>
    <w:rsid w:val="00940E9B"/>
    <w:rsid w:val="009410DF"/>
    <w:rsid w:val="009416DD"/>
    <w:rsid w:val="00941CF4"/>
    <w:rsid w:val="00941D24"/>
    <w:rsid w:val="00941F62"/>
    <w:rsid w:val="0094488D"/>
    <w:rsid w:val="00944B71"/>
    <w:rsid w:val="0094581E"/>
    <w:rsid w:val="00945FED"/>
    <w:rsid w:val="00946A0A"/>
    <w:rsid w:val="00946DEF"/>
    <w:rsid w:val="009473B4"/>
    <w:rsid w:val="00947806"/>
    <w:rsid w:val="00947DD7"/>
    <w:rsid w:val="00947FF3"/>
    <w:rsid w:val="00950554"/>
    <w:rsid w:val="00950797"/>
    <w:rsid w:val="00950C7E"/>
    <w:rsid w:val="00951F25"/>
    <w:rsid w:val="009524A1"/>
    <w:rsid w:val="00952734"/>
    <w:rsid w:val="00954AA5"/>
    <w:rsid w:val="00954BFB"/>
    <w:rsid w:val="009551B5"/>
    <w:rsid w:val="00955B07"/>
    <w:rsid w:val="00955FD5"/>
    <w:rsid w:val="00956178"/>
    <w:rsid w:val="0095690D"/>
    <w:rsid w:val="00956B87"/>
    <w:rsid w:val="00957224"/>
    <w:rsid w:val="00957BDF"/>
    <w:rsid w:val="00957D44"/>
    <w:rsid w:val="009615CA"/>
    <w:rsid w:val="00961776"/>
    <w:rsid w:val="00961A59"/>
    <w:rsid w:val="00962C8D"/>
    <w:rsid w:val="00962EC2"/>
    <w:rsid w:val="00963C0A"/>
    <w:rsid w:val="00963E96"/>
    <w:rsid w:val="00964674"/>
    <w:rsid w:val="0096564A"/>
    <w:rsid w:val="00965E7B"/>
    <w:rsid w:val="00966C9F"/>
    <w:rsid w:val="00966F62"/>
    <w:rsid w:val="0096723F"/>
    <w:rsid w:val="00967BBC"/>
    <w:rsid w:val="00967E24"/>
    <w:rsid w:val="00970068"/>
    <w:rsid w:val="009711D0"/>
    <w:rsid w:val="009721D5"/>
    <w:rsid w:val="009725CC"/>
    <w:rsid w:val="00972986"/>
    <w:rsid w:val="009742E5"/>
    <w:rsid w:val="009743BA"/>
    <w:rsid w:val="009746F1"/>
    <w:rsid w:val="00975CF1"/>
    <w:rsid w:val="00976749"/>
    <w:rsid w:val="00976937"/>
    <w:rsid w:val="00977074"/>
    <w:rsid w:val="00977394"/>
    <w:rsid w:val="00977DE3"/>
    <w:rsid w:val="009802F7"/>
    <w:rsid w:val="0098158E"/>
    <w:rsid w:val="009828B2"/>
    <w:rsid w:val="00982A1B"/>
    <w:rsid w:val="00983148"/>
    <w:rsid w:val="0098349C"/>
    <w:rsid w:val="009837C8"/>
    <w:rsid w:val="00983F9A"/>
    <w:rsid w:val="009840A9"/>
    <w:rsid w:val="009843AC"/>
    <w:rsid w:val="00984889"/>
    <w:rsid w:val="00984933"/>
    <w:rsid w:val="0098506B"/>
    <w:rsid w:val="009853A9"/>
    <w:rsid w:val="009854DC"/>
    <w:rsid w:val="00985A00"/>
    <w:rsid w:val="00986ED9"/>
    <w:rsid w:val="00987B5D"/>
    <w:rsid w:val="00987E41"/>
    <w:rsid w:val="00990498"/>
    <w:rsid w:val="00991581"/>
    <w:rsid w:val="0099200A"/>
    <w:rsid w:val="009920BB"/>
    <w:rsid w:val="00992282"/>
    <w:rsid w:val="009924BE"/>
    <w:rsid w:val="00993652"/>
    <w:rsid w:val="00994083"/>
    <w:rsid w:val="00994230"/>
    <w:rsid w:val="00995152"/>
    <w:rsid w:val="009957E7"/>
    <w:rsid w:val="00995884"/>
    <w:rsid w:val="00995EF5"/>
    <w:rsid w:val="0099621E"/>
    <w:rsid w:val="0099795F"/>
    <w:rsid w:val="00997B26"/>
    <w:rsid w:val="009A02AD"/>
    <w:rsid w:val="009A0AF0"/>
    <w:rsid w:val="009A1C9B"/>
    <w:rsid w:val="009A23AA"/>
    <w:rsid w:val="009A387D"/>
    <w:rsid w:val="009A3A55"/>
    <w:rsid w:val="009A453A"/>
    <w:rsid w:val="009A4708"/>
    <w:rsid w:val="009A54F2"/>
    <w:rsid w:val="009A62EB"/>
    <w:rsid w:val="009A634F"/>
    <w:rsid w:val="009A6863"/>
    <w:rsid w:val="009A7EA8"/>
    <w:rsid w:val="009B02C4"/>
    <w:rsid w:val="009B03CD"/>
    <w:rsid w:val="009B0B6A"/>
    <w:rsid w:val="009B0EA0"/>
    <w:rsid w:val="009B120D"/>
    <w:rsid w:val="009B185E"/>
    <w:rsid w:val="009B327F"/>
    <w:rsid w:val="009B3AF9"/>
    <w:rsid w:val="009B3C28"/>
    <w:rsid w:val="009B4546"/>
    <w:rsid w:val="009B4E57"/>
    <w:rsid w:val="009B4F5D"/>
    <w:rsid w:val="009B4FB3"/>
    <w:rsid w:val="009B706A"/>
    <w:rsid w:val="009B783C"/>
    <w:rsid w:val="009C06B5"/>
    <w:rsid w:val="009C0ECD"/>
    <w:rsid w:val="009C1093"/>
    <w:rsid w:val="009C1136"/>
    <w:rsid w:val="009C152E"/>
    <w:rsid w:val="009C1931"/>
    <w:rsid w:val="009C1A04"/>
    <w:rsid w:val="009C1C45"/>
    <w:rsid w:val="009C1E77"/>
    <w:rsid w:val="009C21D5"/>
    <w:rsid w:val="009C300D"/>
    <w:rsid w:val="009C30EA"/>
    <w:rsid w:val="009C3F71"/>
    <w:rsid w:val="009C4060"/>
    <w:rsid w:val="009C4567"/>
    <w:rsid w:val="009C4BC3"/>
    <w:rsid w:val="009C4D37"/>
    <w:rsid w:val="009C621A"/>
    <w:rsid w:val="009C65DB"/>
    <w:rsid w:val="009C6DB6"/>
    <w:rsid w:val="009C72DA"/>
    <w:rsid w:val="009C748D"/>
    <w:rsid w:val="009C74FC"/>
    <w:rsid w:val="009C7B79"/>
    <w:rsid w:val="009D0C56"/>
    <w:rsid w:val="009D138C"/>
    <w:rsid w:val="009D1DE0"/>
    <w:rsid w:val="009D35A7"/>
    <w:rsid w:val="009D38DB"/>
    <w:rsid w:val="009D3A51"/>
    <w:rsid w:val="009D418C"/>
    <w:rsid w:val="009D423F"/>
    <w:rsid w:val="009D4940"/>
    <w:rsid w:val="009D4F54"/>
    <w:rsid w:val="009D58A2"/>
    <w:rsid w:val="009D6003"/>
    <w:rsid w:val="009D60D4"/>
    <w:rsid w:val="009D6895"/>
    <w:rsid w:val="009D7D30"/>
    <w:rsid w:val="009E0A8D"/>
    <w:rsid w:val="009E0F54"/>
    <w:rsid w:val="009E218A"/>
    <w:rsid w:val="009E241A"/>
    <w:rsid w:val="009E254A"/>
    <w:rsid w:val="009E257D"/>
    <w:rsid w:val="009E3462"/>
    <w:rsid w:val="009E3738"/>
    <w:rsid w:val="009E3EE5"/>
    <w:rsid w:val="009E4E9B"/>
    <w:rsid w:val="009E56E2"/>
    <w:rsid w:val="009E56FE"/>
    <w:rsid w:val="009E5944"/>
    <w:rsid w:val="009E5AE2"/>
    <w:rsid w:val="009E5B64"/>
    <w:rsid w:val="009E5DF4"/>
    <w:rsid w:val="009E5DFD"/>
    <w:rsid w:val="009E5E28"/>
    <w:rsid w:val="009E640A"/>
    <w:rsid w:val="009E6D31"/>
    <w:rsid w:val="009E6F24"/>
    <w:rsid w:val="009E73BA"/>
    <w:rsid w:val="009E76B5"/>
    <w:rsid w:val="009F220D"/>
    <w:rsid w:val="009F250E"/>
    <w:rsid w:val="009F268E"/>
    <w:rsid w:val="009F2855"/>
    <w:rsid w:val="009F2C8A"/>
    <w:rsid w:val="009F3878"/>
    <w:rsid w:val="009F4118"/>
    <w:rsid w:val="009F49E2"/>
    <w:rsid w:val="009F4B1C"/>
    <w:rsid w:val="009F52D5"/>
    <w:rsid w:val="009F5563"/>
    <w:rsid w:val="009F686E"/>
    <w:rsid w:val="009F686F"/>
    <w:rsid w:val="009F6AA4"/>
    <w:rsid w:val="009F6D80"/>
    <w:rsid w:val="009F7BD7"/>
    <w:rsid w:val="00A000EB"/>
    <w:rsid w:val="00A01389"/>
    <w:rsid w:val="00A04AAD"/>
    <w:rsid w:val="00A04EEF"/>
    <w:rsid w:val="00A04F51"/>
    <w:rsid w:val="00A06167"/>
    <w:rsid w:val="00A06C9B"/>
    <w:rsid w:val="00A06F8F"/>
    <w:rsid w:val="00A07528"/>
    <w:rsid w:val="00A075FD"/>
    <w:rsid w:val="00A07BAF"/>
    <w:rsid w:val="00A105A9"/>
    <w:rsid w:val="00A10F94"/>
    <w:rsid w:val="00A118E0"/>
    <w:rsid w:val="00A11BE5"/>
    <w:rsid w:val="00A12A5A"/>
    <w:rsid w:val="00A12CDC"/>
    <w:rsid w:val="00A12DFD"/>
    <w:rsid w:val="00A13543"/>
    <w:rsid w:val="00A13F8F"/>
    <w:rsid w:val="00A14470"/>
    <w:rsid w:val="00A14FD2"/>
    <w:rsid w:val="00A15421"/>
    <w:rsid w:val="00A169E5"/>
    <w:rsid w:val="00A16AE0"/>
    <w:rsid w:val="00A16ED5"/>
    <w:rsid w:val="00A2188E"/>
    <w:rsid w:val="00A21E3C"/>
    <w:rsid w:val="00A22786"/>
    <w:rsid w:val="00A239B7"/>
    <w:rsid w:val="00A23E8B"/>
    <w:rsid w:val="00A269D9"/>
    <w:rsid w:val="00A2734C"/>
    <w:rsid w:val="00A27A74"/>
    <w:rsid w:val="00A3043E"/>
    <w:rsid w:val="00A30AB0"/>
    <w:rsid w:val="00A31FBE"/>
    <w:rsid w:val="00A32B78"/>
    <w:rsid w:val="00A33BCC"/>
    <w:rsid w:val="00A34849"/>
    <w:rsid w:val="00A35BA8"/>
    <w:rsid w:val="00A36510"/>
    <w:rsid w:val="00A419FB"/>
    <w:rsid w:val="00A41A39"/>
    <w:rsid w:val="00A41CB7"/>
    <w:rsid w:val="00A43726"/>
    <w:rsid w:val="00A43843"/>
    <w:rsid w:val="00A4415D"/>
    <w:rsid w:val="00A44203"/>
    <w:rsid w:val="00A446FE"/>
    <w:rsid w:val="00A44AF1"/>
    <w:rsid w:val="00A45143"/>
    <w:rsid w:val="00A45254"/>
    <w:rsid w:val="00A45A8D"/>
    <w:rsid w:val="00A45FF3"/>
    <w:rsid w:val="00A47E95"/>
    <w:rsid w:val="00A5180A"/>
    <w:rsid w:val="00A523B2"/>
    <w:rsid w:val="00A527EA"/>
    <w:rsid w:val="00A5319F"/>
    <w:rsid w:val="00A5378C"/>
    <w:rsid w:val="00A539B7"/>
    <w:rsid w:val="00A53A1D"/>
    <w:rsid w:val="00A54304"/>
    <w:rsid w:val="00A55DF3"/>
    <w:rsid w:val="00A564DE"/>
    <w:rsid w:val="00A56840"/>
    <w:rsid w:val="00A568AA"/>
    <w:rsid w:val="00A568BE"/>
    <w:rsid w:val="00A56E43"/>
    <w:rsid w:val="00A57873"/>
    <w:rsid w:val="00A600F6"/>
    <w:rsid w:val="00A6049C"/>
    <w:rsid w:val="00A609B7"/>
    <w:rsid w:val="00A61A31"/>
    <w:rsid w:val="00A61A36"/>
    <w:rsid w:val="00A61D51"/>
    <w:rsid w:val="00A62270"/>
    <w:rsid w:val="00A62579"/>
    <w:rsid w:val="00A62A7F"/>
    <w:rsid w:val="00A62DDD"/>
    <w:rsid w:val="00A640F1"/>
    <w:rsid w:val="00A64C8C"/>
    <w:rsid w:val="00A64CAD"/>
    <w:rsid w:val="00A65B12"/>
    <w:rsid w:val="00A66CBA"/>
    <w:rsid w:val="00A66E7E"/>
    <w:rsid w:val="00A67DFE"/>
    <w:rsid w:val="00A70468"/>
    <w:rsid w:val="00A70821"/>
    <w:rsid w:val="00A71861"/>
    <w:rsid w:val="00A72A25"/>
    <w:rsid w:val="00A74871"/>
    <w:rsid w:val="00A753AC"/>
    <w:rsid w:val="00A75A46"/>
    <w:rsid w:val="00A75DF9"/>
    <w:rsid w:val="00A76758"/>
    <w:rsid w:val="00A767F2"/>
    <w:rsid w:val="00A76AD3"/>
    <w:rsid w:val="00A7733D"/>
    <w:rsid w:val="00A80A05"/>
    <w:rsid w:val="00A81022"/>
    <w:rsid w:val="00A81AF8"/>
    <w:rsid w:val="00A81CF6"/>
    <w:rsid w:val="00A81DC6"/>
    <w:rsid w:val="00A83401"/>
    <w:rsid w:val="00A83A59"/>
    <w:rsid w:val="00A83AFD"/>
    <w:rsid w:val="00A83FF4"/>
    <w:rsid w:val="00A84AF6"/>
    <w:rsid w:val="00A8557D"/>
    <w:rsid w:val="00A85A3B"/>
    <w:rsid w:val="00A85B21"/>
    <w:rsid w:val="00A85B76"/>
    <w:rsid w:val="00A8693E"/>
    <w:rsid w:val="00A86E80"/>
    <w:rsid w:val="00A879CE"/>
    <w:rsid w:val="00A905BD"/>
    <w:rsid w:val="00A9102D"/>
    <w:rsid w:val="00A9134F"/>
    <w:rsid w:val="00A91752"/>
    <w:rsid w:val="00A91EC6"/>
    <w:rsid w:val="00A9214C"/>
    <w:rsid w:val="00A922D2"/>
    <w:rsid w:val="00A92304"/>
    <w:rsid w:val="00A92425"/>
    <w:rsid w:val="00A92CF4"/>
    <w:rsid w:val="00A931BB"/>
    <w:rsid w:val="00A9391F"/>
    <w:rsid w:val="00A93B2B"/>
    <w:rsid w:val="00A944F4"/>
    <w:rsid w:val="00A94AE5"/>
    <w:rsid w:val="00A95E71"/>
    <w:rsid w:val="00A9702D"/>
    <w:rsid w:val="00A97209"/>
    <w:rsid w:val="00A97BC3"/>
    <w:rsid w:val="00AA0DAB"/>
    <w:rsid w:val="00AA0E60"/>
    <w:rsid w:val="00AA0EB8"/>
    <w:rsid w:val="00AA1334"/>
    <w:rsid w:val="00AA1FFA"/>
    <w:rsid w:val="00AA24A8"/>
    <w:rsid w:val="00AA2D46"/>
    <w:rsid w:val="00AA3CAC"/>
    <w:rsid w:val="00AA43E8"/>
    <w:rsid w:val="00AA4D14"/>
    <w:rsid w:val="00AA58BE"/>
    <w:rsid w:val="00AA595D"/>
    <w:rsid w:val="00AA5DAC"/>
    <w:rsid w:val="00AA61B8"/>
    <w:rsid w:val="00AA787D"/>
    <w:rsid w:val="00AB0525"/>
    <w:rsid w:val="00AB0C0F"/>
    <w:rsid w:val="00AB1830"/>
    <w:rsid w:val="00AB39AA"/>
    <w:rsid w:val="00AB3A01"/>
    <w:rsid w:val="00AB3B95"/>
    <w:rsid w:val="00AB585E"/>
    <w:rsid w:val="00AB7A9D"/>
    <w:rsid w:val="00AC01AB"/>
    <w:rsid w:val="00AC0316"/>
    <w:rsid w:val="00AC0C20"/>
    <w:rsid w:val="00AC0EC0"/>
    <w:rsid w:val="00AC1751"/>
    <w:rsid w:val="00AC18CC"/>
    <w:rsid w:val="00AC190B"/>
    <w:rsid w:val="00AC22A6"/>
    <w:rsid w:val="00AC3FA0"/>
    <w:rsid w:val="00AC4696"/>
    <w:rsid w:val="00AC6401"/>
    <w:rsid w:val="00AC67CE"/>
    <w:rsid w:val="00AC6A72"/>
    <w:rsid w:val="00AC7563"/>
    <w:rsid w:val="00AC7FF2"/>
    <w:rsid w:val="00AD04D9"/>
    <w:rsid w:val="00AD0FCC"/>
    <w:rsid w:val="00AD248A"/>
    <w:rsid w:val="00AD2B49"/>
    <w:rsid w:val="00AD2D60"/>
    <w:rsid w:val="00AD42EA"/>
    <w:rsid w:val="00AD4B07"/>
    <w:rsid w:val="00AD5ADE"/>
    <w:rsid w:val="00AD5FC6"/>
    <w:rsid w:val="00AD6255"/>
    <w:rsid w:val="00AD6866"/>
    <w:rsid w:val="00AE08F5"/>
    <w:rsid w:val="00AE185C"/>
    <w:rsid w:val="00AE1E7D"/>
    <w:rsid w:val="00AE1F10"/>
    <w:rsid w:val="00AE25E9"/>
    <w:rsid w:val="00AE3BE9"/>
    <w:rsid w:val="00AE3E55"/>
    <w:rsid w:val="00AE42D3"/>
    <w:rsid w:val="00AE437A"/>
    <w:rsid w:val="00AE44E5"/>
    <w:rsid w:val="00AE4B64"/>
    <w:rsid w:val="00AE4EE4"/>
    <w:rsid w:val="00AE5122"/>
    <w:rsid w:val="00AE58A5"/>
    <w:rsid w:val="00AE5ED7"/>
    <w:rsid w:val="00AE79EF"/>
    <w:rsid w:val="00AF02EB"/>
    <w:rsid w:val="00AF058E"/>
    <w:rsid w:val="00AF10B5"/>
    <w:rsid w:val="00AF154D"/>
    <w:rsid w:val="00AF1FE6"/>
    <w:rsid w:val="00AF2499"/>
    <w:rsid w:val="00AF2A4A"/>
    <w:rsid w:val="00AF309C"/>
    <w:rsid w:val="00AF3194"/>
    <w:rsid w:val="00AF383B"/>
    <w:rsid w:val="00AF4450"/>
    <w:rsid w:val="00AF46B1"/>
    <w:rsid w:val="00AF5431"/>
    <w:rsid w:val="00AF55DC"/>
    <w:rsid w:val="00AF5828"/>
    <w:rsid w:val="00AF688E"/>
    <w:rsid w:val="00AF6A6E"/>
    <w:rsid w:val="00AF7735"/>
    <w:rsid w:val="00AF7FC2"/>
    <w:rsid w:val="00B007E9"/>
    <w:rsid w:val="00B0133A"/>
    <w:rsid w:val="00B01A65"/>
    <w:rsid w:val="00B0257E"/>
    <w:rsid w:val="00B0362A"/>
    <w:rsid w:val="00B04940"/>
    <w:rsid w:val="00B05480"/>
    <w:rsid w:val="00B06B8C"/>
    <w:rsid w:val="00B07BA2"/>
    <w:rsid w:val="00B07E9D"/>
    <w:rsid w:val="00B105EF"/>
    <w:rsid w:val="00B10DA3"/>
    <w:rsid w:val="00B1171A"/>
    <w:rsid w:val="00B11982"/>
    <w:rsid w:val="00B11CD2"/>
    <w:rsid w:val="00B11E8D"/>
    <w:rsid w:val="00B12BC4"/>
    <w:rsid w:val="00B145AC"/>
    <w:rsid w:val="00B14ABA"/>
    <w:rsid w:val="00B1509A"/>
    <w:rsid w:val="00B2071A"/>
    <w:rsid w:val="00B2095C"/>
    <w:rsid w:val="00B22BA5"/>
    <w:rsid w:val="00B23487"/>
    <w:rsid w:val="00B2393B"/>
    <w:rsid w:val="00B23F13"/>
    <w:rsid w:val="00B259A8"/>
    <w:rsid w:val="00B26BCA"/>
    <w:rsid w:val="00B278F9"/>
    <w:rsid w:val="00B30943"/>
    <w:rsid w:val="00B321C7"/>
    <w:rsid w:val="00B323FE"/>
    <w:rsid w:val="00B32481"/>
    <w:rsid w:val="00B32B27"/>
    <w:rsid w:val="00B33373"/>
    <w:rsid w:val="00B33397"/>
    <w:rsid w:val="00B334F4"/>
    <w:rsid w:val="00B33CDB"/>
    <w:rsid w:val="00B34608"/>
    <w:rsid w:val="00B35A0B"/>
    <w:rsid w:val="00B36528"/>
    <w:rsid w:val="00B3777B"/>
    <w:rsid w:val="00B37D51"/>
    <w:rsid w:val="00B402F6"/>
    <w:rsid w:val="00B406DE"/>
    <w:rsid w:val="00B41594"/>
    <w:rsid w:val="00B41728"/>
    <w:rsid w:val="00B4192C"/>
    <w:rsid w:val="00B42563"/>
    <w:rsid w:val="00B42718"/>
    <w:rsid w:val="00B42A37"/>
    <w:rsid w:val="00B43492"/>
    <w:rsid w:val="00B444D2"/>
    <w:rsid w:val="00B44906"/>
    <w:rsid w:val="00B449A9"/>
    <w:rsid w:val="00B451DF"/>
    <w:rsid w:val="00B45B70"/>
    <w:rsid w:val="00B46906"/>
    <w:rsid w:val="00B46A09"/>
    <w:rsid w:val="00B4712C"/>
    <w:rsid w:val="00B472F6"/>
    <w:rsid w:val="00B474E4"/>
    <w:rsid w:val="00B5008B"/>
    <w:rsid w:val="00B51067"/>
    <w:rsid w:val="00B51EA1"/>
    <w:rsid w:val="00B5202C"/>
    <w:rsid w:val="00B52D08"/>
    <w:rsid w:val="00B53299"/>
    <w:rsid w:val="00B53734"/>
    <w:rsid w:val="00B53AB3"/>
    <w:rsid w:val="00B54598"/>
    <w:rsid w:val="00B546BE"/>
    <w:rsid w:val="00B54816"/>
    <w:rsid w:val="00B5524E"/>
    <w:rsid w:val="00B553B3"/>
    <w:rsid w:val="00B55CA2"/>
    <w:rsid w:val="00B56954"/>
    <w:rsid w:val="00B56A23"/>
    <w:rsid w:val="00B56F09"/>
    <w:rsid w:val="00B57D84"/>
    <w:rsid w:val="00B601FF"/>
    <w:rsid w:val="00B60468"/>
    <w:rsid w:val="00B60962"/>
    <w:rsid w:val="00B6125A"/>
    <w:rsid w:val="00B61988"/>
    <w:rsid w:val="00B62D4A"/>
    <w:rsid w:val="00B630A1"/>
    <w:rsid w:val="00B633AD"/>
    <w:rsid w:val="00B63450"/>
    <w:rsid w:val="00B6388B"/>
    <w:rsid w:val="00B6407B"/>
    <w:rsid w:val="00B64A64"/>
    <w:rsid w:val="00B66CEC"/>
    <w:rsid w:val="00B67F57"/>
    <w:rsid w:val="00B703A2"/>
    <w:rsid w:val="00B70620"/>
    <w:rsid w:val="00B70D71"/>
    <w:rsid w:val="00B711C5"/>
    <w:rsid w:val="00B718B0"/>
    <w:rsid w:val="00B71C9C"/>
    <w:rsid w:val="00B71D78"/>
    <w:rsid w:val="00B721A3"/>
    <w:rsid w:val="00B72AF1"/>
    <w:rsid w:val="00B732BA"/>
    <w:rsid w:val="00B73C8D"/>
    <w:rsid w:val="00B74331"/>
    <w:rsid w:val="00B74C60"/>
    <w:rsid w:val="00B750C9"/>
    <w:rsid w:val="00B7519E"/>
    <w:rsid w:val="00B76058"/>
    <w:rsid w:val="00B7768E"/>
    <w:rsid w:val="00B80029"/>
    <w:rsid w:val="00B800D4"/>
    <w:rsid w:val="00B80F94"/>
    <w:rsid w:val="00B812D6"/>
    <w:rsid w:val="00B81423"/>
    <w:rsid w:val="00B814F4"/>
    <w:rsid w:val="00B81FF9"/>
    <w:rsid w:val="00B82A17"/>
    <w:rsid w:val="00B82ABB"/>
    <w:rsid w:val="00B83441"/>
    <w:rsid w:val="00B83AA7"/>
    <w:rsid w:val="00B83DC4"/>
    <w:rsid w:val="00B83EEE"/>
    <w:rsid w:val="00B8445A"/>
    <w:rsid w:val="00B866B6"/>
    <w:rsid w:val="00B86CD9"/>
    <w:rsid w:val="00B876D8"/>
    <w:rsid w:val="00B8780E"/>
    <w:rsid w:val="00B87928"/>
    <w:rsid w:val="00B87D24"/>
    <w:rsid w:val="00B907C0"/>
    <w:rsid w:val="00B90C00"/>
    <w:rsid w:val="00B90D7B"/>
    <w:rsid w:val="00B91159"/>
    <w:rsid w:val="00B91399"/>
    <w:rsid w:val="00B9158B"/>
    <w:rsid w:val="00B91E3C"/>
    <w:rsid w:val="00B91FE0"/>
    <w:rsid w:val="00B92B13"/>
    <w:rsid w:val="00B92DD0"/>
    <w:rsid w:val="00B94F98"/>
    <w:rsid w:val="00B95188"/>
    <w:rsid w:val="00B96632"/>
    <w:rsid w:val="00B966C4"/>
    <w:rsid w:val="00B96A9F"/>
    <w:rsid w:val="00B96BCC"/>
    <w:rsid w:val="00B97308"/>
    <w:rsid w:val="00BA009E"/>
    <w:rsid w:val="00BA07EA"/>
    <w:rsid w:val="00BA2772"/>
    <w:rsid w:val="00BA2E85"/>
    <w:rsid w:val="00BA3077"/>
    <w:rsid w:val="00BA33EB"/>
    <w:rsid w:val="00BA3422"/>
    <w:rsid w:val="00BA3D15"/>
    <w:rsid w:val="00BA4872"/>
    <w:rsid w:val="00BA5A1B"/>
    <w:rsid w:val="00BA5BE0"/>
    <w:rsid w:val="00BA5C6B"/>
    <w:rsid w:val="00BA60C5"/>
    <w:rsid w:val="00BA6875"/>
    <w:rsid w:val="00BA6CA9"/>
    <w:rsid w:val="00BA775D"/>
    <w:rsid w:val="00BA777C"/>
    <w:rsid w:val="00BA7D1E"/>
    <w:rsid w:val="00BB0AEF"/>
    <w:rsid w:val="00BB0CA0"/>
    <w:rsid w:val="00BB0F0A"/>
    <w:rsid w:val="00BB1566"/>
    <w:rsid w:val="00BB23F1"/>
    <w:rsid w:val="00BB2626"/>
    <w:rsid w:val="00BB384A"/>
    <w:rsid w:val="00BB411E"/>
    <w:rsid w:val="00BB457E"/>
    <w:rsid w:val="00BB471A"/>
    <w:rsid w:val="00BB4B04"/>
    <w:rsid w:val="00BB51CC"/>
    <w:rsid w:val="00BB5F49"/>
    <w:rsid w:val="00BB65A0"/>
    <w:rsid w:val="00BB6BB3"/>
    <w:rsid w:val="00BB6D39"/>
    <w:rsid w:val="00BB7A58"/>
    <w:rsid w:val="00BC0176"/>
    <w:rsid w:val="00BC099E"/>
    <w:rsid w:val="00BC0B23"/>
    <w:rsid w:val="00BC1100"/>
    <w:rsid w:val="00BC1BA0"/>
    <w:rsid w:val="00BC1E4D"/>
    <w:rsid w:val="00BC276D"/>
    <w:rsid w:val="00BC2E25"/>
    <w:rsid w:val="00BC3361"/>
    <w:rsid w:val="00BC4CFF"/>
    <w:rsid w:val="00BC4F08"/>
    <w:rsid w:val="00BC568D"/>
    <w:rsid w:val="00BC5AD5"/>
    <w:rsid w:val="00BC61D6"/>
    <w:rsid w:val="00BC6892"/>
    <w:rsid w:val="00BC72BA"/>
    <w:rsid w:val="00BD0A17"/>
    <w:rsid w:val="00BD1026"/>
    <w:rsid w:val="00BD24A0"/>
    <w:rsid w:val="00BD4A60"/>
    <w:rsid w:val="00BD6379"/>
    <w:rsid w:val="00BD7F8B"/>
    <w:rsid w:val="00BD7FD0"/>
    <w:rsid w:val="00BE0584"/>
    <w:rsid w:val="00BE0C81"/>
    <w:rsid w:val="00BE1183"/>
    <w:rsid w:val="00BE1228"/>
    <w:rsid w:val="00BE23C3"/>
    <w:rsid w:val="00BE2672"/>
    <w:rsid w:val="00BE431C"/>
    <w:rsid w:val="00BE44AB"/>
    <w:rsid w:val="00BE52CD"/>
    <w:rsid w:val="00BE619A"/>
    <w:rsid w:val="00BE6591"/>
    <w:rsid w:val="00BE7FA4"/>
    <w:rsid w:val="00BF02B9"/>
    <w:rsid w:val="00BF195F"/>
    <w:rsid w:val="00BF206B"/>
    <w:rsid w:val="00BF2072"/>
    <w:rsid w:val="00BF276B"/>
    <w:rsid w:val="00BF30B7"/>
    <w:rsid w:val="00BF3E60"/>
    <w:rsid w:val="00BF47B3"/>
    <w:rsid w:val="00BF6EE5"/>
    <w:rsid w:val="00BF71D4"/>
    <w:rsid w:val="00C000B3"/>
    <w:rsid w:val="00C00BC1"/>
    <w:rsid w:val="00C023B5"/>
    <w:rsid w:val="00C03B47"/>
    <w:rsid w:val="00C03F8B"/>
    <w:rsid w:val="00C04956"/>
    <w:rsid w:val="00C05080"/>
    <w:rsid w:val="00C0515C"/>
    <w:rsid w:val="00C06046"/>
    <w:rsid w:val="00C07A3A"/>
    <w:rsid w:val="00C07C94"/>
    <w:rsid w:val="00C111F9"/>
    <w:rsid w:val="00C11BBF"/>
    <w:rsid w:val="00C120BF"/>
    <w:rsid w:val="00C13A6A"/>
    <w:rsid w:val="00C13E08"/>
    <w:rsid w:val="00C14783"/>
    <w:rsid w:val="00C14D36"/>
    <w:rsid w:val="00C158CC"/>
    <w:rsid w:val="00C15CB5"/>
    <w:rsid w:val="00C15D64"/>
    <w:rsid w:val="00C16537"/>
    <w:rsid w:val="00C16B61"/>
    <w:rsid w:val="00C170CA"/>
    <w:rsid w:val="00C1763C"/>
    <w:rsid w:val="00C17751"/>
    <w:rsid w:val="00C213E7"/>
    <w:rsid w:val="00C21619"/>
    <w:rsid w:val="00C21928"/>
    <w:rsid w:val="00C221CC"/>
    <w:rsid w:val="00C22707"/>
    <w:rsid w:val="00C2283A"/>
    <w:rsid w:val="00C22CF4"/>
    <w:rsid w:val="00C22EB7"/>
    <w:rsid w:val="00C23669"/>
    <w:rsid w:val="00C23DA1"/>
    <w:rsid w:val="00C25201"/>
    <w:rsid w:val="00C25633"/>
    <w:rsid w:val="00C256E5"/>
    <w:rsid w:val="00C25FB1"/>
    <w:rsid w:val="00C2604C"/>
    <w:rsid w:val="00C27209"/>
    <w:rsid w:val="00C27590"/>
    <w:rsid w:val="00C3009D"/>
    <w:rsid w:val="00C3072F"/>
    <w:rsid w:val="00C3128B"/>
    <w:rsid w:val="00C317B7"/>
    <w:rsid w:val="00C31AE5"/>
    <w:rsid w:val="00C3290F"/>
    <w:rsid w:val="00C32BD6"/>
    <w:rsid w:val="00C32CCD"/>
    <w:rsid w:val="00C32DB5"/>
    <w:rsid w:val="00C32DDD"/>
    <w:rsid w:val="00C33291"/>
    <w:rsid w:val="00C33380"/>
    <w:rsid w:val="00C334B1"/>
    <w:rsid w:val="00C33FC8"/>
    <w:rsid w:val="00C34FDB"/>
    <w:rsid w:val="00C3592F"/>
    <w:rsid w:val="00C36C45"/>
    <w:rsid w:val="00C37913"/>
    <w:rsid w:val="00C40237"/>
    <w:rsid w:val="00C40A00"/>
    <w:rsid w:val="00C40B16"/>
    <w:rsid w:val="00C40D76"/>
    <w:rsid w:val="00C41070"/>
    <w:rsid w:val="00C416EC"/>
    <w:rsid w:val="00C4523D"/>
    <w:rsid w:val="00C45F9D"/>
    <w:rsid w:val="00C463DB"/>
    <w:rsid w:val="00C46C1B"/>
    <w:rsid w:val="00C4709D"/>
    <w:rsid w:val="00C47488"/>
    <w:rsid w:val="00C476BA"/>
    <w:rsid w:val="00C50294"/>
    <w:rsid w:val="00C5190F"/>
    <w:rsid w:val="00C52C0B"/>
    <w:rsid w:val="00C53217"/>
    <w:rsid w:val="00C537CA"/>
    <w:rsid w:val="00C5389F"/>
    <w:rsid w:val="00C53914"/>
    <w:rsid w:val="00C53AE7"/>
    <w:rsid w:val="00C549E1"/>
    <w:rsid w:val="00C55A94"/>
    <w:rsid w:val="00C55CB0"/>
    <w:rsid w:val="00C55E15"/>
    <w:rsid w:val="00C56A24"/>
    <w:rsid w:val="00C56ADC"/>
    <w:rsid w:val="00C56FF1"/>
    <w:rsid w:val="00C57EB0"/>
    <w:rsid w:val="00C57F2C"/>
    <w:rsid w:val="00C57F61"/>
    <w:rsid w:val="00C600F7"/>
    <w:rsid w:val="00C6023F"/>
    <w:rsid w:val="00C608CD"/>
    <w:rsid w:val="00C60C8F"/>
    <w:rsid w:val="00C60D2E"/>
    <w:rsid w:val="00C610CD"/>
    <w:rsid w:val="00C61CC9"/>
    <w:rsid w:val="00C62946"/>
    <w:rsid w:val="00C633FB"/>
    <w:rsid w:val="00C6411D"/>
    <w:rsid w:val="00C6458F"/>
    <w:rsid w:val="00C64BF7"/>
    <w:rsid w:val="00C704D9"/>
    <w:rsid w:val="00C72605"/>
    <w:rsid w:val="00C73906"/>
    <w:rsid w:val="00C745FA"/>
    <w:rsid w:val="00C748CA"/>
    <w:rsid w:val="00C755AC"/>
    <w:rsid w:val="00C757BC"/>
    <w:rsid w:val="00C75831"/>
    <w:rsid w:val="00C772DB"/>
    <w:rsid w:val="00C81499"/>
    <w:rsid w:val="00C81930"/>
    <w:rsid w:val="00C81AA8"/>
    <w:rsid w:val="00C81D98"/>
    <w:rsid w:val="00C840E3"/>
    <w:rsid w:val="00C84687"/>
    <w:rsid w:val="00C90745"/>
    <w:rsid w:val="00C91241"/>
    <w:rsid w:val="00C9182D"/>
    <w:rsid w:val="00C91D98"/>
    <w:rsid w:val="00C9374E"/>
    <w:rsid w:val="00C93B8A"/>
    <w:rsid w:val="00C93DC9"/>
    <w:rsid w:val="00C9439C"/>
    <w:rsid w:val="00C95457"/>
    <w:rsid w:val="00C956E4"/>
    <w:rsid w:val="00C957C1"/>
    <w:rsid w:val="00C958CB"/>
    <w:rsid w:val="00C96193"/>
    <w:rsid w:val="00C96484"/>
    <w:rsid w:val="00C97961"/>
    <w:rsid w:val="00CA0FC8"/>
    <w:rsid w:val="00CA120B"/>
    <w:rsid w:val="00CA2047"/>
    <w:rsid w:val="00CA28A0"/>
    <w:rsid w:val="00CA430C"/>
    <w:rsid w:val="00CA5494"/>
    <w:rsid w:val="00CA5D97"/>
    <w:rsid w:val="00CA6890"/>
    <w:rsid w:val="00CA7AE0"/>
    <w:rsid w:val="00CB0160"/>
    <w:rsid w:val="00CB1746"/>
    <w:rsid w:val="00CB2A1A"/>
    <w:rsid w:val="00CB32FE"/>
    <w:rsid w:val="00CB372F"/>
    <w:rsid w:val="00CB37C3"/>
    <w:rsid w:val="00CB3A4F"/>
    <w:rsid w:val="00CB521A"/>
    <w:rsid w:val="00CB556A"/>
    <w:rsid w:val="00CB7CC1"/>
    <w:rsid w:val="00CC1147"/>
    <w:rsid w:val="00CC1392"/>
    <w:rsid w:val="00CC14E3"/>
    <w:rsid w:val="00CC1BE7"/>
    <w:rsid w:val="00CC26A8"/>
    <w:rsid w:val="00CC29E7"/>
    <w:rsid w:val="00CC2E61"/>
    <w:rsid w:val="00CC3BED"/>
    <w:rsid w:val="00CC3DAA"/>
    <w:rsid w:val="00CC5495"/>
    <w:rsid w:val="00CC5729"/>
    <w:rsid w:val="00CC5930"/>
    <w:rsid w:val="00CC6196"/>
    <w:rsid w:val="00CC6218"/>
    <w:rsid w:val="00CC6ABF"/>
    <w:rsid w:val="00CC6CE5"/>
    <w:rsid w:val="00CC78E3"/>
    <w:rsid w:val="00CD01D3"/>
    <w:rsid w:val="00CD026D"/>
    <w:rsid w:val="00CD0386"/>
    <w:rsid w:val="00CD0945"/>
    <w:rsid w:val="00CD1323"/>
    <w:rsid w:val="00CD2BE6"/>
    <w:rsid w:val="00CD2D55"/>
    <w:rsid w:val="00CD2F30"/>
    <w:rsid w:val="00CD33EB"/>
    <w:rsid w:val="00CD355B"/>
    <w:rsid w:val="00CD3C18"/>
    <w:rsid w:val="00CD3EC8"/>
    <w:rsid w:val="00CD415D"/>
    <w:rsid w:val="00CD476C"/>
    <w:rsid w:val="00CD5675"/>
    <w:rsid w:val="00CD567B"/>
    <w:rsid w:val="00CD579D"/>
    <w:rsid w:val="00CD5AB9"/>
    <w:rsid w:val="00CD64FA"/>
    <w:rsid w:val="00CD7240"/>
    <w:rsid w:val="00CD7473"/>
    <w:rsid w:val="00CD7644"/>
    <w:rsid w:val="00CE00A6"/>
    <w:rsid w:val="00CE0407"/>
    <w:rsid w:val="00CE0581"/>
    <w:rsid w:val="00CE06E8"/>
    <w:rsid w:val="00CE0A64"/>
    <w:rsid w:val="00CE1C61"/>
    <w:rsid w:val="00CE1ED0"/>
    <w:rsid w:val="00CE20FF"/>
    <w:rsid w:val="00CE267B"/>
    <w:rsid w:val="00CE2DBE"/>
    <w:rsid w:val="00CE32ED"/>
    <w:rsid w:val="00CE4F7A"/>
    <w:rsid w:val="00CF10FE"/>
    <w:rsid w:val="00CF120B"/>
    <w:rsid w:val="00CF12C7"/>
    <w:rsid w:val="00CF1796"/>
    <w:rsid w:val="00CF1C41"/>
    <w:rsid w:val="00CF28BE"/>
    <w:rsid w:val="00CF2938"/>
    <w:rsid w:val="00CF2C09"/>
    <w:rsid w:val="00CF2D9B"/>
    <w:rsid w:val="00CF49F1"/>
    <w:rsid w:val="00CF4A78"/>
    <w:rsid w:val="00CF5107"/>
    <w:rsid w:val="00CF5A2E"/>
    <w:rsid w:val="00CF5FE5"/>
    <w:rsid w:val="00CF61AC"/>
    <w:rsid w:val="00CF678F"/>
    <w:rsid w:val="00D000AB"/>
    <w:rsid w:val="00D00231"/>
    <w:rsid w:val="00D00483"/>
    <w:rsid w:val="00D00818"/>
    <w:rsid w:val="00D00872"/>
    <w:rsid w:val="00D02793"/>
    <w:rsid w:val="00D02C63"/>
    <w:rsid w:val="00D02EA4"/>
    <w:rsid w:val="00D0332C"/>
    <w:rsid w:val="00D03660"/>
    <w:rsid w:val="00D0384C"/>
    <w:rsid w:val="00D0433D"/>
    <w:rsid w:val="00D04BB1"/>
    <w:rsid w:val="00D04C47"/>
    <w:rsid w:val="00D04D65"/>
    <w:rsid w:val="00D04EC2"/>
    <w:rsid w:val="00D05096"/>
    <w:rsid w:val="00D060DC"/>
    <w:rsid w:val="00D06367"/>
    <w:rsid w:val="00D077FD"/>
    <w:rsid w:val="00D0797B"/>
    <w:rsid w:val="00D11567"/>
    <w:rsid w:val="00D12A1D"/>
    <w:rsid w:val="00D12D54"/>
    <w:rsid w:val="00D12DB5"/>
    <w:rsid w:val="00D13EA2"/>
    <w:rsid w:val="00D14B44"/>
    <w:rsid w:val="00D168C3"/>
    <w:rsid w:val="00D17AF1"/>
    <w:rsid w:val="00D208A2"/>
    <w:rsid w:val="00D2104E"/>
    <w:rsid w:val="00D21301"/>
    <w:rsid w:val="00D22065"/>
    <w:rsid w:val="00D22314"/>
    <w:rsid w:val="00D23924"/>
    <w:rsid w:val="00D23C1A"/>
    <w:rsid w:val="00D23D18"/>
    <w:rsid w:val="00D23D6F"/>
    <w:rsid w:val="00D24526"/>
    <w:rsid w:val="00D24A9C"/>
    <w:rsid w:val="00D24F3F"/>
    <w:rsid w:val="00D2552A"/>
    <w:rsid w:val="00D263D0"/>
    <w:rsid w:val="00D267DA"/>
    <w:rsid w:val="00D27596"/>
    <w:rsid w:val="00D277D6"/>
    <w:rsid w:val="00D279B8"/>
    <w:rsid w:val="00D30489"/>
    <w:rsid w:val="00D304DA"/>
    <w:rsid w:val="00D31474"/>
    <w:rsid w:val="00D31CBC"/>
    <w:rsid w:val="00D31F81"/>
    <w:rsid w:val="00D32EF3"/>
    <w:rsid w:val="00D32F0B"/>
    <w:rsid w:val="00D3496B"/>
    <w:rsid w:val="00D350C6"/>
    <w:rsid w:val="00D355CE"/>
    <w:rsid w:val="00D356D0"/>
    <w:rsid w:val="00D35BB8"/>
    <w:rsid w:val="00D365CE"/>
    <w:rsid w:val="00D36D08"/>
    <w:rsid w:val="00D37878"/>
    <w:rsid w:val="00D40A6B"/>
    <w:rsid w:val="00D4155C"/>
    <w:rsid w:val="00D423F5"/>
    <w:rsid w:val="00D43E9A"/>
    <w:rsid w:val="00D451B2"/>
    <w:rsid w:val="00D452F2"/>
    <w:rsid w:val="00D45562"/>
    <w:rsid w:val="00D47AAD"/>
    <w:rsid w:val="00D47DA2"/>
    <w:rsid w:val="00D50A4B"/>
    <w:rsid w:val="00D50D9A"/>
    <w:rsid w:val="00D51EEC"/>
    <w:rsid w:val="00D52653"/>
    <w:rsid w:val="00D5349C"/>
    <w:rsid w:val="00D54827"/>
    <w:rsid w:val="00D54955"/>
    <w:rsid w:val="00D54EBB"/>
    <w:rsid w:val="00D54F65"/>
    <w:rsid w:val="00D55B58"/>
    <w:rsid w:val="00D560B6"/>
    <w:rsid w:val="00D56BC0"/>
    <w:rsid w:val="00D57B9E"/>
    <w:rsid w:val="00D57E22"/>
    <w:rsid w:val="00D600F8"/>
    <w:rsid w:val="00D60235"/>
    <w:rsid w:val="00D60B18"/>
    <w:rsid w:val="00D60EE9"/>
    <w:rsid w:val="00D61A18"/>
    <w:rsid w:val="00D625CA"/>
    <w:rsid w:val="00D62DC0"/>
    <w:rsid w:val="00D62E3B"/>
    <w:rsid w:val="00D631D6"/>
    <w:rsid w:val="00D65D11"/>
    <w:rsid w:val="00D66951"/>
    <w:rsid w:val="00D67001"/>
    <w:rsid w:val="00D67935"/>
    <w:rsid w:val="00D70431"/>
    <w:rsid w:val="00D70515"/>
    <w:rsid w:val="00D7060C"/>
    <w:rsid w:val="00D70BC6"/>
    <w:rsid w:val="00D71B90"/>
    <w:rsid w:val="00D7219E"/>
    <w:rsid w:val="00D73123"/>
    <w:rsid w:val="00D7321A"/>
    <w:rsid w:val="00D7427F"/>
    <w:rsid w:val="00D74A17"/>
    <w:rsid w:val="00D74DD5"/>
    <w:rsid w:val="00D755C9"/>
    <w:rsid w:val="00D75CB2"/>
    <w:rsid w:val="00D765C7"/>
    <w:rsid w:val="00D7665E"/>
    <w:rsid w:val="00D76763"/>
    <w:rsid w:val="00D76C58"/>
    <w:rsid w:val="00D77062"/>
    <w:rsid w:val="00D80949"/>
    <w:rsid w:val="00D8111F"/>
    <w:rsid w:val="00D81323"/>
    <w:rsid w:val="00D81780"/>
    <w:rsid w:val="00D81D92"/>
    <w:rsid w:val="00D8218E"/>
    <w:rsid w:val="00D823CD"/>
    <w:rsid w:val="00D84100"/>
    <w:rsid w:val="00D842B7"/>
    <w:rsid w:val="00D85D80"/>
    <w:rsid w:val="00D86CF8"/>
    <w:rsid w:val="00D86E5F"/>
    <w:rsid w:val="00D87187"/>
    <w:rsid w:val="00D87B50"/>
    <w:rsid w:val="00D87F9E"/>
    <w:rsid w:val="00D90469"/>
    <w:rsid w:val="00D9056F"/>
    <w:rsid w:val="00D90ED9"/>
    <w:rsid w:val="00D91BDC"/>
    <w:rsid w:val="00D92062"/>
    <w:rsid w:val="00D9276B"/>
    <w:rsid w:val="00D93421"/>
    <w:rsid w:val="00D935A5"/>
    <w:rsid w:val="00D93C8D"/>
    <w:rsid w:val="00D93CD4"/>
    <w:rsid w:val="00D941D2"/>
    <w:rsid w:val="00D94291"/>
    <w:rsid w:val="00D95F1A"/>
    <w:rsid w:val="00D96920"/>
    <w:rsid w:val="00D96A8A"/>
    <w:rsid w:val="00D96DFA"/>
    <w:rsid w:val="00D97824"/>
    <w:rsid w:val="00DA0413"/>
    <w:rsid w:val="00DA0593"/>
    <w:rsid w:val="00DA16D4"/>
    <w:rsid w:val="00DA171E"/>
    <w:rsid w:val="00DA1962"/>
    <w:rsid w:val="00DA1A70"/>
    <w:rsid w:val="00DA1E0A"/>
    <w:rsid w:val="00DA22F1"/>
    <w:rsid w:val="00DA24FF"/>
    <w:rsid w:val="00DA25F5"/>
    <w:rsid w:val="00DA42B0"/>
    <w:rsid w:val="00DA5622"/>
    <w:rsid w:val="00DA58EF"/>
    <w:rsid w:val="00DA5E7F"/>
    <w:rsid w:val="00DA6106"/>
    <w:rsid w:val="00DA6977"/>
    <w:rsid w:val="00DB0D3C"/>
    <w:rsid w:val="00DB11C0"/>
    <w:rsid w:val="00DB1528"/>
    <w:rsid w:val="00DB1605"/>
    <w:rsid w:val="00DB1BF4"/>
    <w:rsid w:val="00DB20C5"/>
    <w:rsid w:val="00DB2136"/>
    <w:rsid w:val="00DB2343"/>
    <w:rsid w:val="00DB310F"/>
    <w:rsid w:val="00DB5731"/>
    <w:rsid w:val="00DB61CA"/>
    <w:rsid w:val="00DB696C"/>
    <w:rsid w:val="00DB75A6"/>
    <w:rsid w:val="00DB7A95"/>
    <w:rsid w:val="00DB7FDD"/>
    <w:rsid w:val="00DC1252"/>
    <w:rsid w:val="00DC16BD"/>
    <w:rsid w:val="00DC1712"/>
    <w:rsid w:val="00DC1ED6"/>
    <w:rsid w:val="00DC251D"/>
    <w:rsid w:val="00DC29A2"/>
    <w:rsid w:val="00DC3622"/>
    <w:rsid w:val="00DC4076"/>
    <w:rsid w:val="00DC445D"/>
    <w:rsid w:val="00DC4E9B"/>
    <w:rsid w:val="00DC4F47"/>
    <w:rsid w:val="00DC5683"/>
    <w:rsid w:val="00DC6011"/>
    <w:rsid w:val="00DC6D00"/>
    <w:rsid w:val="00DC6E12"/>
    <w:rsid w:val="00DC6F2E"/>
    <w:rsid w:val="00DC6F52"/>
    <w:rsid w:val="00DC72E6"/>
    <w:rsid w:val="00DD03E6"/>
    <w:rsid w:val="00DD0E46"/>
    <w:rsid w:val="00DD0F30"/>
    <w:rsid w:val="00DD105B"/>
    <w:rsid w:val="00DD115C"/>
    <w:rsid w:val="00DD31F9"/>
    <w:rsid w:val="00DD3BEB"/>
    <w:rsid w:val="00DD3F2C"/>
    <w:rsid w:val="00DD46CC"/>
    <w:rsid w:val="00DD47BD"/>
    <w:rsid w:val="00DD4BCD"/>
    <w:rsid w:val="00DD4D7F"/>
    <w:rsid w:val="00DD4DE0"/>
    <w:rsid w:val="00DD521F"/>
    <w:rsid w:val="00DD66B5"/>
    <w:rsid w:val="00DD6D6F"/>
    <w:rsid w:val="00DD71F1"/>
    <w:rsid w:val="00DD759C"/>
    <w:rsid w:val="00DD7D01"/>
    <w:rsid w:val="00DE1078"/>
    <w:rsid w:val="00DE127B"/>
    <w:rsid w:val="00DE1B46"/>
    <w:rsid w:val="00DE3401"/>
    <w:rsid w:val="00DE37B5"/>
    <w:rsid w:val="00DE396F"/>
    <w:rsid w:val="00DE3FC9"/>
    <w:rsid w:val="00DE3FEE"/>
    <w:rsid w:val="00DE4C27"/>
    <w:rsid w:val="00DE577F"/>
    <w:rsid w:val="00DE5784"/>
    <w:rsid w:val="00DE5AAC"/>
    <w:rsid w:val="00DE7840"/>
    <w:rsid w:val="00DF0160"/>
    <w:rsid w:val="00DF14C5"/>
    <w:rsid w:val="00DF1A90"/>
    <w:rsid w:val="00DF3502"/>
    <w:rsid w:val="00DF3F0A"/>
    <w:rsid w:val="00DF4536"/>
    <w:rsid w:val="00DF47FE"/>
    <w:rsid w:val="00DF481E"/>
    <w:rsid w:val="00DF4B59"/>
    <w:rsid w:val="00DF5F81"/>
    <w:rsid w:val="00DF6774"/>
    <w:rsid w:val="00DF6E79"/>
    <w:rsid w:val="00DF75AE"/>
    <w:rsid w:val="00DF7D31"/>
    <w:rsid w:val="00E00027"/>
    <w:rsid w:val="00E003C2"/>
    <w:rsid w:val="00E01704"/>
    <w:rsid w:val="00E01C03"/>
    <w:rsid w:val="00E0264B"/>
    <w:rsid w:val="00E031A2"/>
    <w:rsid w:val="00E036B1"/>
    <w:rsid w:val="00E03E1F"/>
    <w:rsid w:val="00E0404A"/>
    <w:rsid w:val="00E043A4"/>
    <w:rsid w:val="00E04624"/>
    <w:rsid w:val="00E050EE"/>
    <w:rsid w:val="00E05A50"/>
    <w:rsid w:val="00E06466"/>
    <w:rsid w:val="00E07531"/>
    <w:rsid w:val="00E07B66"/>
    <w:rsid w:val="00E10087"/>
    <w:rsid w:val="00E12378"/>
    <w:rsid w:val="00E1265A"/>
    <w:rsid w:val="00E126A1"/>
    <w:rsid w:val="00E13293"/>
    <w:rsid w:val="00E1427A"/>
    <w:rsid w:val="00E147D4"/>
    <w:rsid w:val="00E14AAC"/>
    <w:rsid w:val="00E1514F"/>
    <w:rsid w:val="00E15C9C"/>
    <w:rsid w:val="00E163A1"/>
    <w:rsid w:val="00E1696B"/>
    <w:rsid w:val="00E179C3"/>
    <w:rsid w:val="00E17D9F"/>
    <w:rsid w:val="00E20609"/>
    <w:rsid w:val="00E20CFD"/>
    <w:rsid w:val="00E2121A"/>
    <w:rsid w:val="00E212BA"/>
    <w:rsid w:val="00E23C05"/>
    <w:rsid w:val="00E2460F"/>
    <w:rsid w:val="00E24A71"/>
    <w:rsid w:val="00E2503F"/>
    <w:rsid w:val="00E25D15"/>
    <w:rsid w:val="00E25D86"/>
    <w:rsid w:val="00E25E36"/>
    <w:rsid w:val="00E27ACB"/>
    <w:rsid w:val="00E27BF5"/>
    <w:rsid w:val="00E27F4E"/>
    <w:rsid w:val="00E307F6"/>
    <w:rsid w:val="00E309C2"/>
    <w:rsid w:val="00E31234"/>
    <w:rsid w:val="00E31C88"/>
    <w:rsid w:val="00E32A64"/>
    <w:rsid w:val="00E32E3C"/>
    <w:rsid w:val="00E33313"/>
    <w:rsid w:val="00E33992"/>
    <w:rsid w:val="00E34785"/>
    <w:rsid w:val="00E34C5F"/>
    <w:rsid w:val="00E34C92"/>
    <w:rsid w:val="00E356BE"/>
    <w:rsid w:val="00E361AF"/>
    <w:rsid w:val="00E36683"/>
    <w:rsid w:val="00E36802"/>
    <w:rsid w:val="00E36AAC"/>
    <w:rsid w:val="00E37A7F"/>
    <w:rsid w:val="00E37C42"/>
    <w:rsid w:val="00E402C5"/>
    <w:rsid w:val="00E40908"/>
    <w:rsid w:val="00E4100F"/>
    <w:rsid w:val="00E427CC"/>
    <w:rsid w:val="00E42B44"/>
    <w:rsid w:val="00E4342B"/>
    <w:rsid w:val="00E440FF"/>
    <w:rsid w:val="00E44573"/>
    <w:rsid w:val="00E44B59"/>
    <w:rsid w:val="00E44C2E"/>
    <w:rsid w:val="00E4527B"/>
    <w:rsid w:val="00E45E7D"/>
    <w:rsid w:val="00E4669F"/>
    <w:rsid w:val="00E46FCD"/>
    <w:rsid w:val="00E47B48"/>
    <w:rsid w:val="00E50CE3"/>
    <w:rsid w:val="00E51020"/>
    <w:rsid w:val="00E51C4B"/>
    <w:rsid w:val="00E52478"/>
    <w:rsid w:val="00E53C8F"/>
    <w:rsid w:val="00E53F30"/>
    <w:rsid w:val="00E5403C"/>
    <w:rsid w:val="00E54907"/>
    <w:rsid w:val="00E54AD1"/>
    <w:rsid w:val="00E557CD"/>
    <w:rsid w:val="00E558AE"/>
    <w:rsid w:val="00E55CED"/>
    <w:rsid w:val="00E56099"/>
    <w:rsid w:val="00E5670E"/>
    <w:rsid w:val="00E604FF"/>
    <w:rsid w:val="00E61B32"/>
    <w:rsid w:val="00E61C3F"/>
    <w:rsid w:val="00E62E1E"/>
    <w:rsid w:val="00E62F94"/>
    <w:rsid w:val="00E63E80"/>
    <w:rsid w:val="00E64735"/>
    <w:rsid w:val="00E64A37"/>
    <w:rsid w:val="00E67AB9"/>
    <w:rsid w:val="00E67F02"/>
    <w:rsid w:val="00E703E8"/>
    <w:rsid w:val="00E70B9A"/>
    <w:rsid w:val="00E71578"/>
    <w:rsid w:val="00E72AF7"/>
    <w:rsid w:val="00E73ACE"/>
    <w:rsid w:val="00E73FC7"/>
    <w:rsid w:val="00E7479A"/>
    <w:rsid w:val="00E74C9A"/>
    <w:rsid w:val="00E74EED"/>
    <w:rsid w:val="00E75A9D"/>
    <w:rsid w:val="00E75FA9"/>
    <w:rsid w:val="00E7693E"/>
    <w:rsid w:val="00E774B1"/>
    <w:rsid w:val="00E77DE0"/>
    <w:rsid w:val="00E77F51"/>
    <w:rsid w:val="00E80567"/>
    <w:rsid w:val="00E80A34"/>
    <w:rsid w:val="00E81538"/>
    <w:rsid w:val="00E81EF3"/>
    <w:rsid w:val="00E831C7"/>
    <w:rsid w:val="00E83804"/>
    <w:rsid w:val="00E84041"/>
    <w:rsid w:val="00E8434F"/>
    <w:rsid w:val="00E8533B"/>
    <w:rsid w:val="00E86901"/>
    <w:rsid w:val="00E86944"/>
    <w:rsid w:val="00E86EEE"/>
    <w:rsid w:val="00E8719A"/>
    <w:rsid w:val="00E91103"/>
    <w:rsid w:val="00E911F7"/>
    <w:rsid w:val="00E91367"/>
    <w:rsid w:val="00E919EC"/>
    <w:rsid w:val="00E91AAD"/>
    <w:rsid w:val="00E91C5D"/>
    <w:rsid w:val="00E92EDE"/>
    <w:rsid w:val="00E93495"/>
    <w:rsid w:val="00E93FCD"/>
    <w:rsid w:val="00EA2281"/>
    <w:rsid w:val="00EA234E"/>
    <w:rsid w:val="00EA2CA5"/>
    <w:rsid w:val="00EA42B4"/>
    <w:rsid w:val="00EA5302"/>
    <w:rsid w:val="00EA6598"/>
    <w:rsid w:val="00EA69A1"/>
    <w:rsid w:val="00EA7207"/>
    <w:rsid w:val="00EA7AD1"/>
    <w:rsid w:val="00EB1702"/>
    <w:rsid w:val="00EB186A"/>
    <w:rsid w:val="00EB18AE"/>
    <w:rsid w:val="00EB1C3C"/>
    <w:rsid w:val="00EB2306"/>
    <w:rsid w:val="00EB257A"/>
    <w:rsid w:val="00EB36CD"/>
    <w:rsid w:val="00EB3838"/>
    <w:rsid w:val="00EB408B"/>
    <w:rsid w:val="00EB4410"/>
    <w:rsid w:val="00EB44C2"/>
    <w:rsid w:val="00EB47E7"/>
    <w:rsid w:val="00EB4A5C"/>
    <w:rsid w:val="00EB4D78"/>
    <w:rsid w:val="00EB57AC"/>
    <w:rsid w:val="00EB652D"/>
    <w:rsid w:val="00EB65B2"/>
    <w:rsid w:val="00EB6D0B"/>
    <w:rsid w:val="00EB6FC8"/>
    <w:rsid w:val="00EC0501"/>
    <w:rsid w:val="00EC0878"/>
    <w:rsid w:val="00EC0D39"/>
    <w:rsid w:val="00EC2104"/>
    <w:rsid w:val="00EC25D1"/>
    <w:rsid w:val="00EC26A3"/>
    <w:rsid w:val="00EC2AAD"/>
    <w:rsid w:val="00EC3DC1"/>
    <w:rsid w:val="00EC3F44"/>
    <w:rsid w:val="00EC7C57"/>
    <w:rsid w:val="00EC7DEF"/>
    <w:rsid w:val="00ED0004"/>
    <w:rsid w:val="00ED00A4"/>
    <w:rsid w:val="00ED04BA"/>
    <w:rsid w:val="00ED0905"/>
    <w:rsid w:val="00ED0A7D"/>
    <w:rsid w:val="00ED1426"/>
    <w:rsid w:val="00ED1B5E"/>
    <w:rsid w:val="00ED1ECF"/>
    <w:rsid w:val="00ED2202"/>
    <w:rsid w:val="00ED33F7"/>
    <w:rsid w:val="00ED3452"/>
    <w:rsid w:val="00ED36DD"/>
    <w:rsid w:val="00ED39D2"/>
    <w:rsid w:val="00ED40D7"/>
    <w:rsid w:val="00ED5025"/>
    <w:rsid w:val="00ED5A03"/>
    <w:rsid w:val="00ED68BA"/>
    <w:rsid w:val="00ED6F95"/>
    <w:rsid w:val="00ED6FD5"/>
    <w:rsid w:val="00EE0C82"/>
    <w:rsid w:val="00EE2182"/>
    <w:rsid w:val="00EE25D9"/>
    <w:rsid w:val="00EE2B99"/>
    <w:rsid w:val="00EE2E33"/>
    <w:rsid w:val="00EE31CF"/>
    <w:rsid w:val="00EE3A4A"/>
    <w:rsid w:val="00EE3B90"/>
    <w:rsid w:val="00EE414D"/>
    <w:rsid w:val="00EE4E09"/>
    <w:rsid w:val="00EE5A40"/>
    <w:rsid w:val="00EE79A9"/>
    <w:rsid w:val="00EF0601"/>
    <w:rsid w:val="00EF0BE9"/>
    <w:rsid w:val="00EF1DD5"/>
    <w:rsid w:val="00EF2524"/>
    <w:rsid w:val="00EF4B5D"/>
    <w:rsid w:val="00EF53A5"/>
    <w:rsid w:val="00EF5826"/>
    <w:rsid w:val="00EF58AB"/>
    <w:rsid w:val="00EF6282"/>
    <w:rsid w:val="00EF640E"/>
    <w:rsid w:val="00EF7672"/>
    <w:rsid w:val="00EF7BCA"/>
    <w:rsid w:val="00F00AA4"/>
    <w:rsid w:val="00F0125B"/>
    <w:rsid w:val="00F0153F"/>
    <w:rsid w:val="00F01574"/>
    <w:rsid w:val="00F018F2"/>
    <w:rsid w:val="00F01B6B"/>
    <w:rsid w:val="00F01EFE"/>
    <w:rsid w:val="00F03D8A"/>
    <w:rsid w:val="00F042B5"/>
    <w:rsid w:val="00F04428"/>
    <w:rsid w:val="00F06331"/>
    <w:rsid w:val="00F068F3"/>
    <w:rsid w:val="00F06D5F"/>
    <w:rsid w:val="00F06EEC"/>
    <w:rsid w:val="00F10234"/>
    <w:rsid w:val="00F1033F"/>
    <w:rsid w:val="00F10990"/>
    <w:rsid w:val="00F115DB"/>
    <w:rsid w:val="00F1164F"/>
    <w:rsid w:val="00F119A6"/>
    <w:rsid w:val="00F11D4C"/>
    <w:rsid w:val="00F12FFA"/>
    <w:rsid w:val="00F13314"/>
    <w:rsid w:val="00F14414"/>
    <w:rsid w:val="00F14CFC"/>
    <w:rsid w:val="00F14F0B"/>
    <w:rsid w:val="00F153A9"/>
    <w:rsid w:val="00F1572D"/>
    <w:rsid w:val="00F16ED3"/>
    <w:rsid w:val="00F16FBC"/>
    <w:rsid w:val="00F174A2"/>
    <w:rsid w:val="00F17A9A"/>
    <w:rsid w:val="00F20D54"/>
    <w:rsid w:val="00F20D9E"/>
    <w:rsid w:val="00F20F4A"/>
    <w:rsid w:val="00F220CD"/>
    <w:rsid w:val="00F22238"/>
    <w:rsid w:val="00F223E3"/>
    <w:rsid w:val="00F2243F"/>
    <w:rsid w:val="00F227DF"/>
    <w:rsid w:val="00F22B2B"/>
    <w:rsid w:val="00F22E82"/>
    <w:rsid w:val="00F22E9F"/>
    <w:rsid w:val="00F23127"/>
    <w:rsid w:val="00F2377C"/>
    <w:rsid w:val="00F238B3"/>
    <w:rsid w:val="00F249E4"/>
    <w:rsid w:val="00F24CE5"/>
    <w:rsid w:val="00F24E7A"/>
    <w:rsid w:val="00F24F71"/>
    <w:rsid w:val="00F2517F"/>
    <w:rsid w:val="00F25309"/>
    <w:rsid w:val="00F265E4"/>
    <w:rsid w:val="00F27181"/>
    <w:rsid w:val="00F27235"/>
    <w:rsid w:val="00F27779"/>
    <w:rsid w:val="00F27B40"/>
    <w:rsid w:val="00F30189"/>
    <w:rsid w:val="00F306B3"/>
    <w:rsid w:val="00F3075E"/>
    <w:rsid w:val="00F31139"/>
    <w:rsid w:val="00F31274"/>
    <w:rsid w:val="00F32F7B"/>
    <w:rsid w:val="00F3330A"/>
    <w:rsid w:val="00F339D8"/>
    <w:rsid w:val="00F3528D"/>
    <w:rsid w:val="00F355A3"/>
    <w:rsid w:val="00F3572B"/>
    <w:rsid w:val="00F35EA4"/>
    <w:rsid w:val="00F3722C"/>
    <w:rsid w:val="00F37F04"/>
    <w:rsid w:val="00F400A9"/>
    <w:rsid w:val="00F40CB3"/>
    <w:rsid w:val="00F4154D"/>
    <w:rsid w:val="00F4156E"/>
    <w:rsid w:val="00F41596"/>
    <w:rsid w:val="00F418D3"/>
    <w:rsid w:val="00F41D69"/>
    <w:rsid w:val="00F4308B"/>
    <w:rsid w:val="00F43BE6"/>
    <w:rsid w:val="00F43CA7"/>
    <w:rsid w:val="00F442FF"/>
    <w:rsid w:val="00F44BAB"/>
    <w:rsid w:val="00F44E0D"/>
    <w:rsid w:val="00F45501"/>
    <w:rsid w:val="00F455E7"/>
    <w:rsid w:val="00F45ECB"/>
    <w:rsid w:val="00F472E6"/>
    <w:rsid w:val="00F4734C"/>
    <w:rsid w:val="00F47B3A"/>
    <w:rsid w:val="00F503CE"/>
    <w:rsid w:val="00F506F9"/>
    <w:rsid w:val="00F508C4"/>
    <w:rsid w:val="00F50D8D"/>
    <w:rsid w:val="00F51EBD"/>
    <w:rsid w:val="00F53A13"/>
    <w:rsid w:val="00F5478A"/>
    <w:rsid w:val="00F54CE7"/>
    <w:rsid w:val="00F54DD0"/>
    <w:rsid w:val="00F55863"/>
    <w:rsid w:val="00F5662E"/>
    <w:rsid w:val="00F56A99"/>
    <w:rsid w:val="00F57324"/>
    <w:rsid w:val="00F576EF"/>
    <w:rsid w:val="00F60A44"/>
    <w:rsid w:val="00F623B2"/>
    <w:rsid w:val="00F63049"/>
    <w:rsid w:val="00F63240"/>
    <w:rsid w:val="00F63A43"/>
    <w:rsid w:val="00F63E31"/>
    <w:rsid w:val="00F6410E"/>
    <w:rsid w:val="00F648F6"/>
    <w:rsid w:val="00F655DE"/>
    <w:rsid w:val="00F658CD"/>
    <w:rsid w:val="00F65EE7"/>
    <w:rsid w:val="00F663C6"/>
    <w:rsid w:val="00F66BFE"/>
    <w:rsid w:val="00F70CCF"/>
    <w:rsid w:val="00F71127"/>
    <w:rsid w:val="00F71496"/>
    <w:rsid w:val="00F72DFD"/>
    <w:rsid w:val="00F74D1A"/>
    <w:rsid w:val="00F75135"/>
    <w:rsid w:val="00F754F0"/>
    <w:rsid w:val="00F75838"/>
    <w:rsid w:val="00F75DA9"/>
    <w:rsid w:val="00F77A9E"/>
    <w:rsid w:val="00F80471"/>
    <w:rsid w:val="00F80CB0"/>
    <w:rsid w:val="00F80D40"/>
    <w:rsid w:val="00F81D09"/>
    <w:rsid w:val="00F83C42"/>
    <w:rsid w:val="00F8458A"/>
    <w:rsid w:val="00F85B38"/>
    <w:rsid w:val="00F86E60"/>
    <w:rsid w:val="00F870BC"/>
    <w:rsid w:val="00F8785C"/>
    <w:rsid w:val="00F91102"/>
    <w:rsid w:val="00F91AED"/>
    <w:rsid w:val="00F93846"/>
    <w:rsid w:val="00F93B78"/>
    <w:rsid w:val="00F93D5C"/>
    <w:rsid w:val="00F95E03"/>
    <w:rsid w:val="00F97A45"/>
    <w:rsid w:val="00FA0906"/>
    <w:rsid w:val="00FA0B2E"/>
    <w:rsid w:val="00FA130E"/>
    <w:rsid w:val="00FA1394"/>
    <w:rsid w:val="00FA2BEB"/>
    <w:rsid w:val="00FA3B69"/>
    <w:rsid w:val="00FA3C31"/>
    <w:rsid w:val="00FA4737"/>
    <w:rsid w:val="00FA4A4D"/>
    <w:rsid w:val="00FA70F5"/>
    <w:rsid w:val="00FA7C52"/>
    <w:rsid w:val="00FA7EB5"/>
    <w:rsid w:val="00FB05BC"/>
    <w:rsid w:val="00FB10E1"/>
    <w:rsid w:val="00FB148A"/>
    <w:rsid w:val="00FB15C0"/>
    <w:rsid w:val="00FB16D8"/>
    <w:rsid w:val="00FB1712"/>
    <w:rsid w:val="00FB22A2"/>
    <w:rsid w:val="00FB3352"/>
    <w:rsid w:val="00FB457F"/>
    <w:rsid w:val="00FB52CB"/>
    <w:rsid w:val="00FB728C"/>
    <w:rsid w:val="00FB7494"/>
    <w:rsid w:val="00FB7881"/>
    <w:rsid w:val="00FC01BC"/>
    <w:rsid w:val="00FC081F"/>
    <w:rsid w:val="00FC0B34"/>
    <w:rsid w:val="00FC0D40"/>
    <w:rsid w:val="00FC0E6B"/>
    <w:rsid w:val="00FC0F38"/>
    <w:rsid w:val="00FC1230"/>
    <w:rsid w:val="00FC180F"/>
    <w:rsid w:val="00FC2636"/>
    <w:rsid w:val="00FC28D2"/>
    <w:rsid w:val="00FC2A5F"/>
    <w:rsid w:val="00FC2AFB"/>
    <w:rsid w:val="00FC31C7"/>
    <w:rsid w:val="00FC49C9"/>
    <w:rsid w:val="00FC4DF7"/>
    <w:rsid w:val="00FC50E1"/>
    <w:rsid w:val="00FC5421"/>
    <w:rsid w:val="00FC5803"/>
    <w:rsid w:val="00FC64BF"/>
    <w:rsid w:val="00FC6583"/>
    <w:rsid w:val="00FC6760"/>
    <w:rsid w:val="00FC6ED4"/>
    <w:rsid w:val="00FC6FE4"/>
    <w:rsid w:val="00FC7375"/>
    <w:rsid w:val="00FC7B44"/>
    <w:rsid w:val="00FD0415"/>
    <w:rsid w:val="00FD0AF4"/>
    <w:rsid w:val="00FD107B"/>
    <w:rsid w:val="00FD15E6"/>
    <w:rsid w:val="00FD3A8D"/>
    <w:rsid w:val="00FD40E5"/>
    <w:rsid w:val="00FD5087"/>
    <w:rsid w:val="00FD5E6A"/>
    <w:rsid w:val="00FD5F76"/>
    <w:rsid w:val="00FD727C"/>
    <w:rsid w:val="00FD7620"/>
    <w:rsid w:val="00FD7A78"/>
    <w:rsid w:val="00FD7E5E"/>
    <w:rsid w:val="00FE06F2"/>
    <w:rsid w:val="00FE08A0"/>
    <w:rsid w:val="00FE11D6"/>
    <w:rsid w:val="00FE1466"/>
    <w:rsid w:val="00FE1F14"/>
    <w:rsid w:val="00FE230D"/>
    <w:rsid w:val="00FE326A"/>
    <w:rsid w:val="00FE4A6B"/>
    <w:rsid w:val="00FE5392"/>
    <w:rsid w:val="00FE5B80"/>
    <w:rsid w:val="00FE5C90"/>
    <w:rsid w:val="00FE5C99"/>
    <w:rsid w:val="00FE61B1"/>
    <w:rsid w:val="00FE62AC"/>
    <w:rsid w:val="00FE6725"/>
    <w:rsid w:val="00FE7449"/>
    <w:rsid w:val="00FE74FE"/>
    <w:rsid w:val="00FF0107"/>
    <w:rsid w:val="00FF0A20"/>
    <w:rsid w:val="00FF10DD"/>
    <w:rsid w:val="00FF329B"/>
    <w:rsid w:val="00FF32C7"/>
    <w:rsid w:val="00FF343A"/>
    <w:rsid w:val="00FF3A87"/>
    <w:rsid w:val="00FF4290"/>
    <w:rsid w:val="00FF466F"/>
    <w:rsid w:val="00FF51AF"/>
    <w:rsid w:val="00FF54B6"/>
    <w:rsid w:val="00FF613B"/>
    <w:rsid w:val="00FF622E"/>
    <w:rsid w:val="00FF76D1"/>
    <w:rsid w:val="00FF7731"/>
    <w:rsid w:val="00FF784A"/>
    <w:rsid w:val="00FF79A0"/>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f">
      <v:fill color="white"/>
      <v:stroke on="f"/>
    </o:shapedefaults>
    <o:shapelayout v:ext="edit">
      <o:idmap v:ext="edit" data="2"/>
    </o:shapelayout>
  </w:shapeDefaults>
  <w:decimalSymbol w:val=","/>
  <w:listSeparator w:val=";"/>
  <w14:docId w14:val="2AEBC730"/>
  <w15:docId w15:val="{5B7DD6ED-00EA-44AE-A825-FCECD2C65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8"/>
    <w:lsdException w:name="Medium Grid 3 Accent 1" w:uiPriority="69"/>
    <w:lsdException w:name="Dark List Accent 1" w:uiPriority="65"/>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6"/>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126C"/>
    <w:pPr>
      <w:spacing w:after="200" w:line="276" w:lineRule="auto"/>
    </w:pPr>
    <w:rPr>
      <w:sz w:val="22"/>
      <w:szCs w:val="22"/>
      <w:lang w:val="el-GR"/>
    </w:rPr>
  </w:style>
  <w:style w:type="paragraph" w:styleId="1">
    <w:name w:val="heading 1"/>
    <w:basedOn w:val="a"/>
    <w:next w:val="a"/>
    <w:link w:val="1Char"/>
    <w:uiPriority w:val="9"/>
    <w:qFormat/>
    <w:rsid w:val="009010E3"/>
    <w:pPr>
      <w:keepNext/>
      <w:keepLines/>
      <w:spacing w:before="480" w:after="0"/>
      <w:outlineLvl w:val="0"/>
    </w:pPr>
    <w:rPr>
      <w:rFonts w:ascii="Cambria" w:eastAsia="SimSun" w:hAnsi="Cambria"/>
      <w:b/>
      <w:bCs/>
      <w:color w:val="365F91"/>
      <w:sz w:val="28"/>
      <w:szCs w:val="28"/>
      <w:lang w:val="x-none" w:eastAsia="x-none"/>
    </w:rPr>
  </w:style>
  <w:style w:type="paragraph" w:styleId="2">
    <w:name w:val="heading 2"/>
    <w:basedOn w:val="a"/>
    <w:next w:val="a"/>
    <w:link w:val="2Char"/>
    <w:uiPriority w:val="9"/>
    <w:qFormat/>
    <w:rsid w:val="00C90745"/>
    <w:pPr>
      <w:keepNext/>
      <w:keepLines/>
      <w:spacing w:before="200" w:after="0"/>
      <w:jc w:val="center"/>
      <w:outlineLvl w:val="1"/>
    </w:pPr>
    <w:rPr>
      <w:rFonts w:ascii="Cambria" w:eastAsia="SimSun" w:hAnsi="Cambria"/>
      <w:b/>
      <w:bCs/>
      <w:color w:val="4F81BD"/>
      <w:sz w:val="26"/>
      <w:szCs w:val="26"/>
      <w:lang w:eastAsia="x-none"/>
    </w:rPr>
  </w:style>
  <w:style w:type="paragraph" w:styleId="3">
    <w:name w:val="heading 3"/>
    <w:basedOn w:val="a"/>
    <w:next w:val="a"/>
    <w:link w:val="3Char"/>
    <w:uiPriority w:val="9"/>
    <w:qFormat/>
    <w:rsid w:val="00DA22F1"/>
    <w:pPr>
      <w:keepNext/>
      <w:keepLines/>
      <w:spacing w:before="200" w:after="0"/>
      <w:outlineLvl w:val="2"/>
    </w:pPr>
    <w:rPr>
      <w:rFonts w:ascii="Cambria" w:eastAsia="SimSun" w:hAnsi="Cambria"/>
      <w:b/>
      <w:bCs/>
      <w:color w:val="4F81BD"/>
      <w:sz w:val="20"/>
      <w:szCs w:val="20"/>
      <w:lang w:val="x-none" w:eastAsia="x-none"/>
    </w:rPr>
  </w:style>
  <w:style w:type="paragraph" w:styleId="4">
    <w:name w:val="heading 4"/>
    <w:basedOn w:val="a"/>
    <w:next w:val="a"/>
    <w:link w:val="4Char"/>
    <w:uiPriority w:val="9"/>
    <w:qFormat/>
    <w:rsid w:val="00DA22F1"/>
    <w:pPr>
      <w:pBdr>
        <w:bottom w:val="dotted" w:sz="4" w:space="1" w:color="943634"/>
      </w:pBdr>
      <w:spacing w:after="120" w:line="252" w:lineRule="auto"/>
      <w:jc w:val="center"/>
      <w:outlineLvl w:val="3"/>
    </w:pPr>
    <w:rPr>
      <w:rFonts w:ascii="Cambria" w:eastAsia="SimSun" w:hAnsi="Cambria"/>
      <w:caps/>
      <w:color w:val="622423"/>
      <w:spacing w:val="10"/>
      <w:sz w:val="20"/>
      <w:szCs w:val="20"/>
      <w:lang w:val="en-GB" w:eastAsia="x-none"/>
    </w:rPr>
  </w:style>
  <w:style w:type="paragraph" w:styleId="5">
    <w:name w:val="heading 5"/>
    <w:basedOn w:val="a"/>
    <w:next w:val="a"/>
    <w:link w:val="5Char"/>
    <w:uiPriority w:val="9"/>
    <w:qFormat/>
    <w:rsid w:val="00167FE0"/>
    <w:pPr>
      <w:spacing w:before="320" w:after="120" w:line="252" w:lineRule="auto"/>
      <w:jc w:val="center"/>
      <w:outlineLvl w:val="4"/>
    </w:pPr>
    <w:rPr>
      <w:rFonts w:eastAsia="HGGothicM"/>
      <w:caps/>
      <w:color w:val="004D6C"/>
      <w:spacing w:val="10"/>
      <w:lang w:val="en-GB" w:eastAsia="x-none"/>
    </w:rPr>
  </w:style>
  <w:style w:type="paragraph" w:styleId="6">
    <w:name w:val="heading 6"/>
    <w:basedOn w:val="a"/>
    <w:next w:val="a"/>
    <w:link w:val="6Char"/>
    <w:uiPriority w:val="9"/>
    <w:qFormat/>
    <w:rsid w:val="00167FE0"/>
    <w:pPr>
      <w:spacing w:after="120" w:line="252" w:lineRule="auto"/>
      <w:jc w:val="center"/>
      <w:outlineLvl w:val="5"/>
    </w:pPr>
    <w:rPr>
      <w:rFonts w:eastAsia="HGGothicM"/>
      <w:caps/>
      <w:color w:val="0075A2"/>
      <w:spacing w:val="10"/>
      <w:lang w:val="en-GB" w:eastAsia="x-none"/>
    </w:rPr>
  </w:style>
  <w:style w:type="paragraph" w:styleId="7">
    <w:name w:val="heading 7"/>
    <w:basedOn w:val="a"/>
    <w:next w:val="a"/>
    <w:link w:val="7Char"/>
    <w:uiPriority w:val="9"/>
    <w:qFormat/>
    <w:rsid w:val="00167FE0"/>
    <w:pPr>
      <w:spacing w:after="120" w:line="252" w:lineRule="auto"/>
      <w:jc w:val="center"/>
      <w:outlineLvl w:val="6"/>
    </w:pPr>
    <w:rPr>
      <w:rFonts w:eastAsia="HGGothicM"/>
      <w:i/>
      <w:iCs/>
      <w:caps/>
      <w:color w:val="0075A2"/>
      <w:spacing w:val="10"/>
      <w:lang w:val="en-GB" w:eastAsia="x-none"/>
    </w:rPr>
  </w:style>
  <w:style w:type="paragraph" w:styleId="8">
    <w:name w:val="heading 8"/>
    <w:basedOn w:val="a"/>
    <w:next w:val="a"/>
    <w:link w:val="8Char"/>
    <w:uiPriority w:val="9"/>
    <w:qFormat/>
    <w:rsid w:val="00167FE0"/>
    <w:pPr>
      <w:spacing w:after="120" w:line="252" w:lineRule="auto"/>
      <w:jc w:val="center"/>
      <w:outlineLvl w:val="7"/>
    </w:pPr>
    <w:rPr>
      <w:rFonts w:eastAsia="HGGothicM"/>
      <w:caps/>
      <w:spacing w:val="10"/>
      <w:sz w:val="20"/>
      <w:szCs w:val="20"/>
      <w:lang w:val="en-GB" w:eastAsia="x-none"/>
    </w:rPr>
  </w:style>
  <w:style w:type="paragraph" w:styleId="9">
    <w:name w:val="heading 9"/>
    <w:basedOn w:val="a"/>
    <w:next w:val="a"/>
    <w:link w:val="9Char"/>
    <w:uiPriority w:val="9"/>
    <w:qFormat/>
    <w:rsid w:val="00167FE0"/>
    <w:pPr>
      <w:spacing w:after="120" w:line="252" w:lineRule="auto"/>
      <w:jc w:val="center"/>
      <w:outlineLvl w:val="8"/>
    </w:pPr>
    <w:rPr>
      <w:rFonts w:eastAsia="HGGothicM"/>
      <w:i/>
      <w:iCs/>
      <w:caps/>
      <w:spacing w:val="10"/>
      <w:sz w:val="20"/>
      <w:szCs w:val="20"/>
      <w:lang w:val="en-GB"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uiPriority w:val="9"/>
    <w:rsid w:val="009010E3"/>
    <w:rPr>
      <w:rFonts w:ascii="Cambria" w:eastAsia="SimSun" w:hAnsi="Cambria" w:cs="Times New Roman"/>
      <w:b/>
      <w:bCs/>
      <w:color w:val="365F91"/>
      <w:sz w:val="28"/>
      <w:szCs w:val="28"/>
    </w:rPr>
  </w:style>
  <w:style w:type="character" w:customStyle="1" w:styleId="2Char">
    <w:name w:val="Επικεφαλίδα 2 Char"/>
    <w:link w:val="2"/>
    <w:uiPriority w:val="9"/>
    <w:rsid w:val="00C90745"/>
    <w:rPr>
      <w:rFonts w:ascii="Cambria" w:eastAsia="SimSun" w:hAnsi="Cambria"/>
      <w:b/>
      <w:bCs/>
      <w:color w:val="4F81BD"/>
      <w:sz w:val="26"/>
      <w:szCs w:val="26"/>
      <w:lang w:val="el-GR"/>
    </w:rPr>
  </w:style>
  <w:style w:type="character" w:customStyle="1" w:styleId="3Char">
    <w:name w:val="Επικεφαλίδα 3 Char"/>
    <w:link w:val="3"/>
    <w:uiPriority w:val="9"/>
    <w:rsid w:val="00DA22F1"/>
    <w:rPr>
      <w:rFonts w:ascii="Cambria" w:eastAsia="SimSun" w:hAnsi="Cambria" w:cs="Times New Roman"/>
      <w:b/>
      <w:bCs/>
      <w:color w:val="4F81BD"/>
    </w:rPr>
  </w:style>
  <w:style w:type="character" w:customStyle="1" w:styleId="4Char">
    <w:name w:val="Επικεφαλίδα 4 Char"/>
    <w:link w:val="4"/>
    <w:uiPriority w:val="9"/>
    <w:semiHidden/>
    <w:rsid w:val="00DA22F1"/>
    <w:rPr>
      <w:rFonts w:ascii="Cambria" w:eastAsia="SimSun" w:hAnsi="Cambria" w:cs="Times New Roman"/>
      <w:caps/>
      <w:color w:val="622423"/>
      <w:spacing w:val="10"/>
      <w:lang w:val="en-GB"/>
    </w:rPr>
  </w:style>
  <w:style w:type="character" w:customStyle="1" w:styleId="5Char">
    <w:name w:val="Επικεφαλίδα 5 Char"/>
    <w:link w:val="5"/>
    <w:uiPriority w:val="9"/>
    <w:semiHidden/>
    <w:rsid w:val="00167FE0"/>
    <w:rPr>
      <w:rFonts w:eastAsia="HGGothicM"/>
      <w:caps/>
      <w:color w:val="004D6C"/>
      <w:spacing w:val="10"/>
      <w:sz w:val="22"/>
      <w:szCs w:val="22"/>
      <w:lang w:val="en-GB"/>
    </w:rPr>
  </w:style>
  <w:style w:type="character" w:customStyle="1" w:styleId="6Char">
    <w:name w:val="Επικεφαλίδα 6 Char"/>
    <w:link w:val="6"/>
    <w:uiPriority w:val="9"/>
    <w:semiHidden/>
    <w:rsid w:val="00167FE0"/>
    <w:rPr>
      <w:rFonts w:eastAsia="HGGothicM"/>
      <w:caps/>
      <w:color w:val="0075A2"/>
      <w:spacing w:val="10"/>
      <w:sz w:val="22"/>
      <w:szCs w:val="22"/>
      <w:lang w:val="en-GB"/>
    </w:rPr>
  </w:style>
  <w:style w:type="character" w:customStyle="1" w:styleId="7Char">
    <w:name w:val="Επικεφαλίδα 7 Char"/>
    <w:link w:val="7"/>
    <w:uiPriority w:val="9"/>
    <w:semiHidden/>
    <w:rsid w:val="00167FE0"/>
    <w:rPr>
      <w:rFonts w:eastAsia="HGGothicM"/>
      <w:i/>
      <w:iCs/>
      <w:caps/>
      <w:color w:val="0075A2"/>
      <w:spacing w:val="10"/>
      <w:sz w:val="22"/>
      <w:szCs w:val="22"/>
      <w:lang w:val="en-GB"/>
    </w:rPr>
  </w:style>
  <w:style w:type="character" w:customStyle="1" w:styleId="8Char">
    <w:name w:val="Επικεφαλίδα 8 Char"/>
    <w:link w:val="8"/>
    <w:uiPriority w:val="9"/>
    <w:semiHidden/>
    <w:rsid w:val="00167FE0"/>
    <w:rPr>
      <w:rFonts w:eastAsia="HGGothicM"/>
      <w:caps/>
      <w:spacing w:val="10"/>
      <w:lang w:val="en-GB"/>
    </w:rPr>
  </w:style>
  <w:style w:type="character" w:customStyle="1" w:styleId="9Char">
    <w:name w:val="Επικεφαλίδα 9 Char"/>
    <w:link w:val="9"/>
    <w:uiPriority w:val="9"/>
    <w:semiHidden/>
    <w:rsid w:val="00167FE0"/>
    <w:rPr>
      <w:rFonts w:eastAsia="HGGothicM"/>
      <w:i/>
      <w:iCs/>
      <w:caps/>
      <w:spacing w:val="10"/>
      <w:lang w:val="en-GB"/>
    </w:rPr>
  </w:style>
  <w:style w:type="character" w:styleId="a3">
    <w:name w:val="annotation reference"/>
    <w:uiPriority w:val="99"/>
    <w:semiHidden/>
    <w:unhideWhenUsed/>
    <w:rsid w:val="00DA22F1"/>
    <w:rPr>
      <w:sz w:val="16"/>
      <w:szCs w:val="16"/>
    </w:rPr>
  </w:style>
  <w:style w:type="paragraph" w:styleId="a4">
    <w:name w:val="annotation text"/>
    <w:basedOn w:val="a"/>
    <w:link w:val="Char"/>
    <w:uiPriority w:val="99"/>
    <w:unhideWhenUsed/>
    <w:rsid w:val="00DA22F1"/>
    <w:pPr>
      <w:spacing w:line="240" w:lineRule="auto"/>
    </w:pPr>
    <w:rPr>
      <w:rFonts w:ascii="Cambria" w:eastAsia="SimSun" w:hAnsi="Cambria"/>
      <w:sz w:val="20"/>
      <w:szCs w:val="20"/>
      <w:lang w:val="en-GB" w:eastAsia="x-none"/>
    </w:rPr>
  </w:style>
  <w:style w:type="character" w:customStyle="1" w:styleId="Char">
    <w:name w:val="Κείμενο σχολίου Char"/>
    <w:link w:val="a4"/>
    <w:uiPriority w:val="99"/>
    <w:rsid w:val="00DA22F1"/>
    <w:rPr>
      <w:rFonts w:ascii="Cambria" w:eastAsia="SimSun" w:hAnsi="Cambria" w:cs="Times New Roman"/>
      <w:sz w:val="20"/>
      <w:szCs w:val="20"/>
      <w:lang w:val="en-GB"/>
    </w:rPr>
  </w:style>
  <w:style w:type="paragraph" w:styleId="a5">
    <w:name w:val="List Paragraph"/>
    <w:basedOn w:val="a"/>
    <w:uiPriority w:val="34"/>
    <w:qFormat/>
    <w:rsid w:val="00DA22F1"/>
    <w:pPr>
      <w:spacing w:line="252" w:lineRule="auto"/>
      <w:ind w:left="720"/>
      <w:contextualSpacing/>
    </w:pPr>
    <w:rPr>
      <w:rFonts w:ascii="Cambria" w:eastAsia="SimSun" w:hAnsi="Cambria"/>
      <w:lang w:val="en-GB"/>
    </w:rPr>
  </w:style>
  <w:style w:type="table" w:customStyle="1" w:styleId="LightList-Accent12">
    <w:name w:val="Light List - Accent 12"/>
    <w:basedOn w:val="a1"/>
    <w:uiPriority w:val="61"/>
    <w:rsid w:val="00DA22F1"/>
    <w:rPr>
      <w:rFonts w:ascii="Cambria" w:eastAsia="SimSun" w:hAnsi="Cambria"/>
      <w:lang w:val="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a1"/>
    <w:next w:val="LightList-Accent12"/>
    <w:uiPriority w:val="61"/>
    <w:rsid w:val="00DA22F1"/>
    <w:rPr>
      <w:rFonts w:ascii="Cambria" w:eastAsia="SimSun" w:hAnsi="Cambria"/>
      <w:lang w:val="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
    <w:name w:val="Hyperlink"/>
    <w:uiPriority w:val="99"/>
    <w:unhideWhenUsed/>
    <w:rsid w:val="00DA22F1"/>
    <w:rPr>
      <w:color w:val="0000FF"/>
      <w:u w:val="single"/>
    </w:rPr>
  </w:style>
  <w:style w:type="paragraph" w:styleId="a6">
    <w:name w:val="Balloon Text"/>
    <w:basedOn w:val="a"/>
    <w:link w:val="Char0"/>
    <w:uiPriority w:val="99"/>
    <w:semiHidden/>
    <w:unhideWhenUsed/>
    <w:rsid w:val="00DA22F1"/>
    <w:pPr>
      <w:spacing w:after="0" w:line="240" w:lineRule="auto"/>
    </w:pPr>
    <w:rPr>
      <w:rFonts w:ascii="Tahoma" w:hAnsi="Tahoma"/>
      <w:sz w:val="16"/>
      <w:szCs w:val="16"/>
      <w:lang w:val="x-none" w:eastAsia="x-none"/>
    </w:rPr>
  </w:style>
  <w:style w:type="character" w:customStyle="1" w:styleId="Char0">
    <w:name w:val="Κείμενο πλαισίου Char"/>
    <w:link w:val="a6"/>
    <w:uiPriority w:val="99"/>
    <w:semiHidden/>
    <w:rsid w:val="00DA22F1"/>
    <w:rPr>
      <w:rFonts w:ascii="Tahoma" w:hAnsi="Tahoma" w:cs="Tahoma"/>
      <w:sz w:val="16"/>
      <w:szCs w:val="16"/>
    </w:rPr>
  </w:style>
  <w:style w:type="table" w:styleId="-5">
    <w:name w:val="Light Shading Accent 5"/>
    <w:basedOn w:val="a1"/>
    <w:uiPriority w:val="60"/>
    <w:rsid w:val="00DA22F1"/>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List 2 Accent 5"/>
    <w:basedOn w:val="a1"/>
    <w:uiPriority w:val="66"/>
    <w:rsid w:val="00DA22F1"/>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Shading-Accent11">
    <w:name w:val="Light Shading - Accent 11"/>
    <w:basedOn w:val="a1"/>
    <w:uiPriority w:val="60"/>
    <w:rsid w:val="00DA22F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1-Accent11">
    <w:name w:val="Medium List 1 - Accent 11"/>
    <w:basedOn w:val="a1"/>
    <w:uiPriority w:val="65"/>
    <w:rsid w:val="002C5F54"/>
    <w:rPr>
      <w:color w:val="000000"/>
    </w:rPr>
    <w:tblPr>
      <w:tblStyleRowBandSize w:val="1"/>
      <w:tblStyleColBandSize w:val="1"/>
      <w:tblBorders>
        <w:top w:val="single" w:sz="8" w:space="0" w:color="4F81BD"/>
        <w:bottom w:val="single" w:sz="8" w:space="0" w:color="4F81BD"/>
      </w:tblBorders>
    </w:tblPr>
    <w:tblStylePr w:type="firstRow">
      <w:rPr>
        <w:rFonts w:ascii="New York" w:eastAsia="New York"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a7">
    <w:name w:val="No Spacing"/>
    <w:link w:val="Char1"/>
    <w:uiPriority w:val="1"/>
    <w:qFormat/>
    <w:rsid w:val="001C1F39"/>
    <w:rPr>
      <w:rFonts w:eastAsia="SimSun"/>
      <w:lang w:eastAsia="ja-JP"/>
    </w:rPr>
  </w:style>
  <w:style w:type="character" w:customStyle="1" w:styleId="Char1">
    <w:name w:val="Χωρίς διάστιχο Char"/>
    <w:link w:val="a7"/>
    <w:uiPriority w:val="1"/>
    <w:rsid w:val="001C1F39"/>
    <w:rPr>
      <w:rFonts w:eastAsia="SimSun"/>
      <w:lang w:val="en-US" w:eastAsia="ja-JP" w:bidi="ar-SA"/>
    </w:rPr>
  </w:style>
  <w:style w:type="paragraph" w:styleId="a8">
    <w:name w:val="header"/>
    <w:basedOn w:val="a"/>
    <w:link w:val="Char2"/>
    <w:uiPriority w:val="99"/>
    <w:unhideWhenUsed/>
    <w:rsid w:val="009010E3"/>
    <w:pPr>
      <w:tabs>
        <w:tab w:val="center" w:pos="4153"/>
        <w:tab w:val="right" w:pos="8306"/>
      </w:tabs>
      <w:spacing w:after="0" w:line="240" w:lineRule="auto"/>
    </w:pPr>
  </w:style>
  <w:style w:type="character" w:customStyle="1" w:styleId="Char2">
    <w:name w:val="Κεφαλίδα Char"/>
    <w:basedOn w:val="a0"/>
    <w:link w:val="a8"/>
    <w:uiPriority w:val="99"/>
    <w:rsid w:val="009010E3"/>
  </w:style>
  <w:style w:type="paragraph" w:styleId="a9">
    <w:name w:val="footer"/>
    <w:basedOn w:val="a"/>
    <w:link w:val="Char3"/>
    <w:uiPriority w:val="99"/>
    <w:unhideWhenUsed/>
    <w:rsid w:val="009010E3"/>
    <w:pPr>
      <w:tabs>
        <w:tab w:val="center" w:pos="4153"/>
        <w:tab w:val="right" w:pos="8306"/>
      </w:tabs>
      <w:spacing w:after="0" w:line="240" w:lineRule="auto"/>
    </w:pPr>
  </w:style>
  <w:style w:type="character" w:customStyle="1" w:styleId="Char3">
    <w:name w:val="Υποσέλιδο Char"/>
    <w:basedOn w:val="a0"/>
    <w:link w:val="a9"/>
    <w:uiPriority w:val="99"/>
    <w:rsid w:val="009010E3"/>
  </w:style>
  <w:style w:type="paragraph" w:customStyle="1" w:styleId="Default">
    <w:name w:val="Default"/>
    <w:rsid w:val="009010E3"/>
    <w:pPr>
      <w:autoSpaceDE w:val="0"/>
      <w:autoSpaceDN w:val="0"/>
      <w:adjustRightInd w:val="0"/>
    </w:pPr>
    <w:rPr>
      <w:rFonts w:ascii="Tahoma" w:eastAsia="SimSun" w:hAnsi="Tahoma" w:cs="Tahoma"/>
      <w:color w:val="000000"/>
      <w:sz w:val="24"/>
      <w:szCs w:val="24"/>
      <w:lang w:val="fr-BE"/>
    </w:rPr>
  </w:style>
  <w:style w:type="paragraph" w:styleId="Web">
    <w:name w:val="Normal (Web)"/>
    <w:basedOn w:val="a"/>
    <w:uiPriority w:val="99"/>
    <w:unhideWhenUsed/>
    <w:rsid w:val="00033CEA"/>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Char4">
    <w:name w:val="Θέμα σχολίου Char"/>
    <w:link w:val="aa"/>
    <w:uiPriority w:val="99"/>
    <w:semiHidden/>
    <w:rsid w:val="00167FE0"/>
    <w:rPr>
      <w:rFonts w:ascii="Cambria" w:eastAsia="HGGothicM" w:hAnsi="Cambria" w:cs="Times New Roman"/>
      <w:b/>
      <w:bCs/>
      <w:sz w:val="20"/>
      <w:szCs w:val="20"/>
      <w:lang w:val="en-GB"/>
    </w:rPr>
  </w:style>
  <w:style w:type="paragraph" w:styleId="aa">
    <w:name w:val="annotation subject"/>
    <w:basedOn w:val="a4"/>
    <w:next w:val="a4"/>
    <w:link w:val="Char4"/>
    <w:uiPriority w:val="99"/>
    <w:semiHidden/>
    <w:unhideWhenUsed/>
    <w:rsid w:val="00167FE0"/>
    <w:rPr>
      <w:rFonts w:eastAsia="HGGothicM"/>
      <w:b/>
      <w:bCs/>
    </w:rPr>
  </w:style>
  <w:style w:type="table" w:styleId="ab">
    <w:name w:val="Table Grid"/>
    <w:basedOn w:val="a1"/>
    <w:uiPriority w:val="59"/>
    <w:rsid w:val="00167FE0"/>
    <w:rPr>
      <w:rFonts w:eastAsia="HGGothic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itle"/>
    <w:basedOn w:val="a"/>
    <w:next w:val="a"/>
    <w:link w:val="Char5"/>
    <w:uiPriority w:val="10"/>
    <w:qFormat/>
    <w:rsid w:val="00167FE0"/>
    <w:pPr>
      <w:pBdr>
        <w:top w:val="dotted" w:sz="2" w:space="1" w:color="004E6C"/>
        <w:bottom w:val="dotted" w:sz="2" w:space="6" w:color="004E6C"/>
      </w:pBdr>
      <w:spacing w:before="500" w:after="300" w:line="240" w:lineRule="auto"/>
      <w:jc w:val="center"/>
    </w:pPr>
    <w:rPr>
      <w:rFonts w:eastAsia="HGGothicM"/>
      <w:caps/>
      <w:color w:val="004E6C"/>
      <w:spacing w:val="50"/>
      <w:sz w:val="44"/>
      <w:szCs w:val="44"/>
      <w:lang w:val="en-GB" w:eastAsia="x-none"/>
    </w:rPr>
  </w:style>
  <w:style w:type="character" w:customStyle="1" w:styleId="Char5">
    <w:name w:val="Τίτλος Char"/>
    <w:link w:val="ac"/>
    <w:uiPriority w:val="10"/>
    <w:rsid w:val="00167FE0"/>
    <w:rPr>
      <w:rFonts w:eastAsia="HGGothicM"/>
      <w:caps/>
      <w:color w:val="004E6C"/>
      <w:spacing w:val="50"/>
      <w:sz w:val="44"/>
      <w:szCs w:val="44"/>
      <w:lang w:val="en-GB"/>
    </w:rPr>
  </w:style>
  <w:style w:type="paragraph" w:styleId="ad">
    <w:name w:val="Subtitle"/>
    <w:basedOn w:val="a"/>
    <w:next w:val="a"/>
    <w:link w:val="Char6"/>
    <w:uiPriority w:val="11"/>
    <w:qFormat/>
    <w:rsid w:val="00167FE0"/>
    <w:pPr>
      <w:spacing w:after="560" w:line="240" w:lineRule="auto"/>
      <w:jc w:val="center"/>
    </w:pPr>
    <w:rPr>
      <w:rFonts w:eastAsia="HGGothicM"/>
      <w:caps/>
      <w:spacing w:val="20"/>
      <w:sz w:val="18"/>
      <w:szCs w:val="18"/>
      <w:lang w:val="en-GB" w:eastAsia="x-none"/>
    </w:rPr>
  </w:style>
  <w:style w:type="character" w:customStyle="1" w:styleId="Char6">
    <w:name w:val="Υπότιτλος Char"/>
    <w:link w:val="ad"/>
    <w:uiPriority w:val="11"/>
    <w:rsid w:val="00167FE0"/>
    <w:rPr>
      <w:rFonts w:eastAsia="HGGothicM"/>
      <w:caps/>
      <w:spacing w:val="20"/>
      <w:sz w:val="18"/>
      <w:szCs w:val="18"/>
      <w:lang w:val="en-GB"/>
    </w:rPr>
  </w:style>
  <w:style w:type="character" w:styleId="ae">
    <w:name w:val="Strong"/>
    <w:uiPriority w:val="22"/>
    <w:qFormat/>
    <w:rsid w:val="00167FE0"/>
    <w:rPr>
      <w:b/>
      <w:bCs/>
      <w:color w:val="0075A2"/>
      <w:spacing w:val="5"/>
    </w:rPr>
  </w:style>
  <w:style w:type="character" w:styleId="af">
    <w:name w:val="Emphasis"/>
    <w:uiPriority w:val="20"/>
    <w:qFormat/>
    <w:rsid w:val="00167FE0"/>
    <w:rPr>
      <w:caps/>
      <w:spacing w:val="5"/>
      <w:sz w:val="20"/>
      <w:szCs w:val="20"/>
    </w:rPr>
  </w:style>
  <w:style w:type="paragraph" w:styleId="af0">
    <w:name w:val="Quote"/>
    <w:basedOn w:val="a"/>
    <w:next w:val="a"/>
    <w:link w:val="Char7"/>
    <w:uiPriority w:val="29"/>
    <w:qFormat/>
    <w:rsid w:val="00167FE0"/>
    <w:pPr>
      <w:spacing w:line="252" w:lineRule="auto"/>
    </w:pPr>
    <w:rPr>
      <w:rFonts w:eastAsia="HGGothicM"/>
      <w:i/>
      <w:iCs/>
      <w:lang w:val="en-GB" w:eastAsia="x-none"/>
    </w:rPr>
  </w:style>
  <w:style w:type="character" w:customStyle="1" w:styleId="Char7">
    <w:name w:val="Απόσπασμα Char"/>
    <w:link w:val="af0"/>
    <w:uiPriority w:val="29"/>
    <w:rsid w:val="00167FE0"/>
    <w:rPr>
      <w:rFonts w:eastAsia="HGGothicM"/>
      <w:i/>
      <w:iCs/>
      <w:sz w:val="22"/>
      <w:szCs w:val="22"/>
      <w:lang w:val="en-GB"/>
    </w:rPr>
  </w:style>
  <w:style w:type="paragraph" w:styleId="af1">
    <w:name w:val="Intense Quote"/>
    <w:basedOn w:val="a"/>
    <w:next w:val="a"/>
    <w:link w:val="Char8"/>
    <w:uiPriority w:val="30"/>
    <w:qFormat/>
    <w:rsid w:val="00167FE0"/>
    <w:pPr>
      <w:pBdr>
        <w:top w:val="dotted" w:sz="2" w:space="10" w:color="004E6C"/>
        <w:bottom w:val="dotted" w:sz="2" w:space="4" w:color="004E6C"/>
      </w:pBdr>
      <w:spacing w:before="160" w:line="300" w:lineRule="auto"/>
      <w:ind w:left="1440" w:right="1440"/>
    </w:pPr>
    <w:rPr>
      <w:rFonts w:eastAsia="HGGothicM"/>
      <w:caps/>
      <w:color w:val="004D6C"/>
      <w:spacing w:val="5"/>
      <w:sz w:val="20"/>
      <w:szCs w:val="20"/>
      <w:lang w:val="en-GB" w:eastAsia="x-none"/>
    </w:rPr>
  </w:style>
  <w:style w:type="character" w:customStyle="1" w:styleId="Char8">
    <w:name w:val="Έντονο απόσπ. Char"/>
    <w:link w:val="af1"/>
    <w:uiPriority w:val="30"/>
    <w:rsid w:val="00167FE0"/>
    <w:rPr>
      <w:rFonts w:eastAsia="HGGothicM"/>
      <w:caps/>
      <w:color w:val="004D6C"/>
      <w:spacing w:val="5"/>
      <w:lang w:val="en-GB"/>
    </w:rPr>
  </w:style>
  <w:style w:type="character" w:styleId="af2">
    <w:name w:val="Subtle Emphasis"/>
    <w:uiPriority w:val="19"/>
    <w:qFormat/>
    <w:rsid w:val="00167FE0"/>
    <w:rPr>
      <w:i/>
      <w:iCs/>
    </w:rPr>
  </w:style>
  <w:style w:type="character" w:styleId="af3">
    <w:name w:val="Intense Emphasis"/>
    <w:uiPriority w:val="21"/>
    <w:qFormat/>
    <w:rsid w:val="00167FE0"/>
    <w:rPr>
      <w:i/>
      <w:iCs/>
      <w:caps/>
      <w:spacing w:val="10"/>
      <w:sz w:val="20"/>
      <w:szCs w:val="20"/>
    </w:rPr>
  </w:style>
  <w:style w:type="character" w:styleId="af4">
    <w:name w:val="Subtle Reference"/>
    <w:uiPriority w:val="31"/>
    <w:qFormat/>
    <w:rsid w:val="00167FE0"/>
    <w:rPr>
      <w:rFonts w:ascii="Cambria" w:eastAsia="HGMinchoB" w:hAnsi="Cambria" w:cs="Times New Roman"/>
      <w:i/>
      <w:iCs/>
      <w:color w:val="004D6C"/>
    </w:rPr>
  </w:style>
  <w:style w:type="character" w:styleId="af5">
    <w:name w:val="Intense Reference"/>
    <w:uiPriority w:val="32"/>
    <w:qFormat/>
    <w:rsid w:val="00167FE0"/>
    <w:rPr>
      <w:rFonts w:ascii="Cambria" w:eastAsia="HGMinchoB" w:hAnsi="Cambria" w:cs="Times New Roman"/>
      <w:b/>
      <w:bCs/>
      <w:i/>
      <w:iCs/>
      <w:color w:val="004D6C"/>
    </w:rPr>
  </w:style>
  <w:style w:type="character" w:styleId="af6">
    <w:name w:val="Book Title"/>
    <w:uiPriority w:val="33"/>
    <w:qFormat/>
    <w:rsid w:val="00167FE0"/>
    <w:rPr>
      <w:caps/>
      <w:color w:val="004D6C"/>
      <w:spacing w:val="5"/>
      <w:u w:color="004D6C"/>
    </w:rPr>
  </w:style>
  <w:style w:type="paragraph" w:styleId="af7">
    <w:name w:val="TOC Heading"/>
    <w:basedOn w:val="1"/>
    <w:next w:val="a"/>
    <w:uiPriority w:val="39"/>
    <w:qFormat/>
    <w:rsid w:val="00167FE0"/>
    <w:pPr>
      <w:keepNext w:val="0"/>
      <w:keepLines w:val="0"/>
      <w:pBdr>
        <w:bottom w:val="thinThickSmallGap" w:sz="12" w:space="1" w:color="943634"/>
      </w:pBdr>
      <w:spacing w:before="400" w:after="200" w:line="252" w:lineRule="auto"/>
      <w:jc w:val="center"/>
      <w:outlineLvl w:val="9"/>
    </w:pPr>
    <w:rPr>
      <w:rFonts w:ascii="Calibri" w:eastAsia="HGGothicM" w:hAnsi="Calibri"/>
      <w:b w:val="0"/>
      <w:bCs w:val="0"/>
      <w:caps/>
      <w:color w:val="632423"/>
      <w:spacing w:val="20"/>
      <w:lang w:val="en-GB" w:bidi="en-US"/>
    </w:rPr>
  </w:style>
  <w:style w:type="paragraph" w:styleId="af8">
    <w:name w:val="Body Text"/>
    <w:basedOn w:val="a"/>
    <w:link w:val="Char9"/>
    <w:rsid w:val="00167FE0"/>
    <w:pPr>
      <w:spacing w:before="240" w:after="240" w:line="240" w:lineRule="auto"/>
      <w:jc w:val="both"/>
    </w:pPr>
    <w:rPr>
      <w:rFonts w:ascii="Times New Roman" w:eastAsia="Times New Roman" w:hAnsi="Times New Roman"/>
      <w:sz w:val="20"/>
      <w:szCs w:val="24"/>
      <w:lang w:eastAsia="el-GR"/>
    </w:rPr>
  </w:style>
  <w:style w:type="character" w:customStyle="1" w:styleId="Char9">
    <w:name w:val="Σώμα κειμένου Char"/>
    <w:link w:val="af8"/>
    <w:rsid w:val="00167FE0"/>
    <w:rPr>
      <w:rFonts w:ascii="Times New Roman" w:eastAsia="Times New Roman" w:hAnsi="Times New Roman"/>
      <w:szCs w:val="24"/>
      <w:lang w:val="el-GR" w:eastAsia="el-GR"/>
    </w:rPr>
  </w:style>
  <w:style w:type="character" w:customStyle="1" w:styleId="BodyTextChar">
    <w:name w:val="Body Text Char"/>
    <w:uiPriority w:val="99"/>
    <w:semiHidden/>
    <w:rsid w:val="00167FE0"/>
    <w:rPr>
      <w:sz w:val="22"/>
      <w:szCs w:val="22"/>
      <w:lang w:val="el-GR"/>
    </w:rPr>
  </w:style>
  <w:style w:type="table" w:styleId="-2">
    <w:name w:val="Light List Accent 2"/>
    <w:basedOn w:val="a1"/>
    <w:uiPriority w:val="61"/>
    <w:rsid w:val="00167FE0"/>
    <w:rPr>
      <w:rFonts w:eastAsia="HGGothicM"/>
    </w:rPr>
    <w:tblPr>
      <w:tblStyleRowBandSize w:val="1"/>
      <w:tblStyleColBandSize w:val="1"/>
      <w:tblBorders>
        <w:top w:val="single" w:sz="8" w:space="0" w:color="009DD9"/>
        <w:left w:val="single" w:sz="8" w:space="0" w:color="009DD9"/>
        <w:bottom w:val="single" w:sz="8" w:space="0" w:color="009DD9"/>
        <w:right w:val="single" w:sz="8" w:space="0" w:color="009DD9"/>
      </w:tblBorders>
    </w:tblPr>
    <w:tblStylePr w:type="firstRow">
      <w:pPr>
        <w:spacing w:before="0" w:after="0" w:line="240" w:lineRule="auto"/>
      </w:pPr>
      <w:rPr>
        <w:b/>
        <w:bCs/>
        <w:color w:val="FFFFFF"/>
      </w:rPr>
      <w:tblPr/>
      <w:tcPr>
        <w:shd w:val="clear" w:color="auto" w:fill="009DD9"/>
      </w:tcPr>
    </w:tblStylePr>
    <w:tblStylePr w:type="lastRow">
      <w:pPr>
        <w:spacing w:before="0" w:after="0" w:line="240" w:lineRule="auto"/>
      </w:pPr>
      <w:rPr>
        <w:b/>
        <w:bCs/>
      </w:rPr>
      <w:tblPr/>
      <w:tcPr>
        <w:tcBorders>
          <w:top w:val="double" w:sz="6" w:space="0" w:color="009DD9"/>
          <w:left w:val="single" w:sz="8" w:space="0" w:color="009DD9"/>
          <w:bottom w:val="single" w:sz="8" w:space="0" w:color="009DD9"/>
          <w:right w:val="single" w:sz="8" w:space="0" w:color="009DD9"/>
        </w:tcBorders>
      </w:tcPr>
    </w:tblStylePr>
    <w:tblStylePr w:type="firstCol">
      <w:rPr>
        <w:b/>
        <w:bCs/>
      </w:rPr>
    </w:tblStylePr>
    <w:tblStylePr w:type="lastCol">
      <w:rPr>
        <w:b/>
        <w:bCs/>
      </w:rPr>
    </w:tblStylePr>
    <w:tblStylePr w:type="band1Vert">
      <w:tblPr/>
      <w:tcPr>
        <w:tcBorders>
          <w:top w:val="single" w:sz="8" w:space="0" w:color="009DD9"/>
          <w:left w:val="single" w:sz="8" w:space="0" w:color="009DD9"/>
          <w:bottom w:val="single" w:sz="8" w:space="0" w:color="009DD9"/>
          <w:right w:val="single" w:sz="8" w:space="0" w:color="009DD9"/>
        </w:tcBorders>
      </w:tcPr>
    </w:tblStylePr>
    <w:tblStylePr w:type="band1Horz">
      <w:tblPr/>
      <w:tcPr>
        <w:tcBorders>
          <w:top w:val="single" w:sz="8" w:space="0" w:color="009DD9"/>
          <w:left w:val="single" w:sz="8" w:space="0" w:color="009DD9"/>
          <w:bottom w:val="single" w:sz="8" w:space="0" w:color="009DD9"/>
          <w:right w:val="single" w:sz="8" w:space="0" w:color="009DD9"/>
        </w:tcBorders>
      </w:tcPr>
    </w:tblStylePr>
  </w:style>
  <w:style w:type="table" w:customStyle="1" w:styleId="LightShading1">
    <w:name w:val="Light Shading1"/>
    <w:basedOn w:val="a1"/>
    <w:uiPriority w:val="60"/>
    <w:rsid w:val="00167FE0"/>
    <w:rPr>
      <w:rFonts w:ascii="Cambria" w:eastAsia="Cambria" w:hAnsi="Cambria"/>
      <w:color w:val="000000"/>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9">
    <w:name w:val="Revision"/>
    <w:hidden/>
    <w:uiPriority w:val="71"/>
    <w:rsid w:val="00167FE0"/>
    <w:rPr>
      <w:rFonts w:eastAsia="HGGothicM"/>
      <w:sz w:val="22"/>
      <w:szCs w:val="22"/>
      <w:lang w:val="en-GB"/>
    </w:rPr>
  </w:style>
  <w:style w:type="table" w:customStyle="1" w:styleId="MediumShading1-Accent11">
    <w:name w:val="Medium Shading 1 - Accent 11"/>
    <w:basedOn w:val="a1"/>
    <w:uiPriority w:val="68"/>
    <w:rsid w:val="00D17AF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afa">
    <w:name w:val="footnote text"/>
    <w:basedOn w:val="a"/>
    <w:link w:val="Chara"/>
    <w:uiPriority w:val="99"/>
    <w:unhideWhenUsed/>
    <w:rsid w:val="00B8780E"/>
    <w:rPr>
      <w:sz w:val="24"/>
      <w:szCs w:val="24"/>
      <w:lang w:eastAsia="x-none"/>
    </w:rPr>
  </w:style>
  <w:style w:type="character" w:customStyle="1" w:styleId="Chara">
    <w:name w:val="Κείμενο υποσημείωσης Char"/>
    <w:link w:val="afa"/>
    <w:uiPriority w:val="99"/>
    <w:rsid w:val="00B8780E"/>
    <w:rPr>
      <w:sz w:val="24"/>
      <w:szCs w:val="24"/>
      <w:lang w:val="el-GR"/>
    </w:rPr>
  </w:style>
  <w:style w:type="character" w:styleId="afb">
    <w:name w:val="footnote reference"/>
    <w:uiPriority w:val="99"/>
    <w:unhideWhenUsed/>
    <w:rsid w:val="00B8780E"/>
    <w:rPr>
      <w:vertAlign w:val="superscript"/>
    </w:rPr>
  </w:style>
  <w:style w:type="character" w:styleId="afc">
    <w:name w:val="page number"/>
    <w:uiPriority w:val="99"/>
    <w:semiHidden/>
    <w:unhideWhenUsed/>
    <w:rsid w:val="00B8780E"/>
  </w:style>
  <w:style w:type="numbering" w:customStyle="1" w:styleId="NoList1">
    <w:name w:val="No List1"/>
    <w:next w:val="a2"/>
    <w:uiPriority w:val="99"/>
    <w:semiHidden/>
    <w:unhideWhenUsed/>
    <w:rsid w:val="003A5991"/>
  </w:style>
  <w:style w:type="paragraph" w:customStyle="1" w:styleId="ColorfulList-Accent11">
    <w:name w:val="Colorful List - Accent 11"/>
    <w:basedOn w:val="a"/>
    <w:uiPriority w:val="34"/>
    <w:qFormat/>
    <w:rsid w:val="003A5991"/>
    <w:pPr>
      <w:spacing w:line="252" w:lineRule="auto"/>
      <w:ind w:left="720"/>
      <w:contextualSpacing/>
    </w:pPr>
    <w:rPr>
      <w:rFonts w:ascii="Cambria" w:eastAsia="SimSun" w:hAnsi="Cambria"/>
      <w:lang w:val="en-GB"/>
    </w:rPr>
  </w:style>
  <w:style w:type="table" w:styleId="2-1">
    <w:name w:val="Medium List 2 Accent 1"/>
    <w:basedOn w:val="a1"/>
    <w:uiPriority w:val="61"/>
    <w:rsid w:val="003A5991"/>
    <w:rPr>
      <w:rFonts w:ascii="Cambria" w:eastAsia="SimSun" w:hAnsi="Cambria"/>
      <w:lang w:val="fr-BE" w:eastAsia="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a1"/>
    <w:next w:val="2-1"/>
    <w:uiPriority w:val="61"/>
    <w:rsid w:val="003A5991"/>
    <w:rPr>
      <w:rFonts w:ascii="Cambria" w:eastAsia="SimSun" w:hAnsi="Cambria"/>
      <w:lang w:val="fr-BE" w:eastAsia="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3-5">
    <w:name w:val="Medium Grid 3 Accent 5"/>
    <w:basedOn w:val="a1"/>
    <w:uiPriority w:val="60"/>
    <w:rsid w:val="003A5991"/>
    <w:rPr>
      <w:color w:val="31849B"/>
      <w:lang w:val="fr-BE" w:eastAsia="fr-B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6">
    <w:name w:val="Light List Accent 6"/>
    <w:basedOn w:val="a1"/>
    <w:uiPriority w:val="66"/>
    <w:rsid w:val="003A5991"/>
    <w:rPr>
      <w:rFonts w:ascii="Cambria" w:eastAsia="SimSun" w:hAnsi="Cambria"/>
      <w:color w:val="000000"/>
      <w:lang w:val="fr-BE" w:eastAsia="fr-B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IntenseQuote1">
    <w:name w:val="Intense Quote1"/>
    <w:basedOn w:val="a1"/>
    <w:uiPriority w:val="60"/>
    <w:qFormat/>
    <w:rsid w:val="003A5991"/>
    <w:rPr>
      <w:color w:val="365F91"/>
      <w:lang w:val="fr-BE" w:eastAsia="fr-B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
    <w:name w:val="Dark List Accent 1"/>
    <w:basedOn w:val="a1"/>
    <w:uiPriority w:val="65"/>
    <w:rsid w:val="003A5991"/>
    <w:rPr>
      <w:color w:val="000000"/>
      <w:lang w:val="fr-BE" w:eastAsia="fr-BE"/>
    </w:rPr>
    <w:tblPr>
      <w:tblStyleRowBandSize w:val="1"/>
      <w:tblStyleColBandSize w:val="1"/>
      <w:tblBorders>
        <w:top w:val="single" w:sz="8" w:space="0" w:color="4F81BD"/>
        <w:bottom w:val="single" w:sz="8" w:space="0" w:color="4F81BD"/>
      </w:tblBorders>
    </w:tblPr>
    <w:tblStylePr w:type="firstRow">
      <w:rPr>
        <w:rFonts w:ascii="New York" w:eastAsia="New York"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MediumGrid21">
    <w:name w:val="Medium Grid 21"/>
    <w:link w:val="MediumGrid2Char"/>
    <w:uiPriority w:val="1"/>
    <w:qFormat/>
    <w:rsid w:val="003A5991"/>
    <w:rPr>
      <w:rFonts w:eastAsia="SimSun"/>
      <w:sz w:val="22"/>
      <w:szCs w:val="22"/>
      <w:lang w:eastAsia="ja-JP"/>
    </w:rPr>
  </w:style>
  <w:style w:type="character" w:customStyle="1" w:styleId="MediumGrid2Char">
    <w:name w:val="Medium Grid 2 Char"/>
    <w:link w:val="MediumGrid21"/>
    <w:uiPriority w:val="1"/>
    <w:rsid w:val="003A5991"/>
    <w:rPr>
      <w:rFonts w:eastAsia="SimSun"/>
      <w:sz w:val="22"/>
      <w:szCs w:val="22"/>
      <w:lang w:val="en-US" w:eastAsia="ja-JP" w:bidi="ar-SA"/>
    </w:rPr>
  </w:style>
  <w:style w:type="table" w:customStyle="1" w:styleId="TableGrid1">
    <w:name w:val="Table Grid1"/>
    <w:basedOn w:val="a1"/>
    <w:next w:val="ab"/>
    <w:uiPriority w:val="59"/>
    <w:rsid w:val="003A5991"/>
    <w:rPr>
      <w:rFonts w:eastAsia="HGGothicM"/>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Grid-Accent11">
    <w:name w:val="Colorful Grid - Accent 11"/>
    <w:basedOn w:val="a"/>
    <w:next w:val="a"/>
    <w:link w:val="ColorfulGrid-Accent1Char"/>
    <w:uiPriority w:val="29"/>
    <w:qFormat/>
    <w:rsid w:val="003A5991"/>
    <w:pPr>
      <w:spacing w:line="252" w:lineRule="auto"/>
    </w:pPr>
    <w:rPr>
      <w:rFonts w:eastAsia="HGGothicM"/>
      <w:i/>
      <w:iCs/>
      <w:lang w:val="en-GB"/>
    </w:rPr>
  </w:style>
  <w:style w:type="character" w:customStyle="1" w:styleId="ColorfulGrid-Accent1Char">
    <w:name w:val="Colorful Grid - Accent 1 Char"/>
    <w:link w:val="ColorfulGrid-Accent11"/>
    <w:uiPriority w:val="29"/>
    <w:rsid w:val="003A5991"/>
    <w:rPr>
      <w:rFonts w:eastAsia="HGGothicM"/>
      <w:i/>
      <w:iCs/>
      <w:sz w:val="22"/>
      <w:szCs w:val="22"/>
      <w:lang w:val="en-GB" w:eastAsia="en-US"/>
    </w:rPr>
  </w:style>
  <w:style w:type="paragraph" w:customStyle="1" w:styleId="LightShading-Accent21">
    <w:name w:val="Light Shading - Accent 21"/>
    <w:basedOn w:val="a"/>
    <w:next w:val="a"/>
    <w:link w:val="LightShading-Accent2Char"/>
    <w:uiPriority w:val="30"/>
    <w:qFormat/>
    <w:rsid w:val="003A5991"/>
    <w:pPr>
      <w:pBdr>
        <w:top w:val="dotted" w:sz="2" w:space="10" w:color="004E6C"/>
        <w:bottom w:val="dotted" w:sz="2" w:space="4" w:color="004E6C"/>
      </w:pBdr>
      <w:spacing w:before="160" w:line="300" w:lineRule="auto"/>
      <w:ind w:left="1440" w:right="1440"/>
    </w:pPr>
    <w:rPr>
      <w:rFonts w:eastAsia="HGGothicM"/>
      <w:caps/>
      <w:color w:val="004D6C"/>
      <w:spacing w:val="5"/>
      <w:sz w:val="20"/>
      <w:szCs w:val="20"/>
      <w:lang w:val="en-GB"/>
    </w:rPr>
  </w:style>
  <w:style w:type="character" w:customStyle="1" w:styleId="LightShading-Accent2Char">
    <w:name w:val="Light Shading - Accent 2 Char"/>
    <w:link w:val="LightShading-Accent21"/>
    <w:uiPriority w:val="30"/>
    <w:rsid w:val="003A5991"/>
    <w:rPr>
      <w:rFonts w:eastAsia="HGGothicM"/>
      <w:caps/>
      <w:color w:val="004D6C"/>
      <w:spacing w:val="5"/>
      <w:lang w:val="en-GB" w:eastAsia="en-US"/>
    </w:rPr>
  </w:style>
  <w:style w:type="character" w:customStyle="1" w:styleId="SubtleEmphasis1">
    <w:name w:val="Subtle Emphasis1"/>
    <w:uiPriority w:val="19"/>
    <w:qFormat/>
    <w:rsid w:val="003A5991"/>
    <w:rPr>
      <w:i/>
      <w:iCs/>
    </w:rPr>
  </w:style>
  <w:style w:type="character" w:customStyle="1" w:styleId="IntenseEmphasis1">
    <w:name w:val="Intense Emphasis1"/>
    <w:uiPriority w:val="21"/>
    <w:qFormat/>
    <w:rsid w:val="003A5991"/>
    <w:rPr>
      <w:i/>
      <w:iCs/>
      <w:caps/>
      <w:spacing w:val="10"/>
      <w:sz w:val="20"/>
      <w:szCs w:val="20"/>
    </w:rPr>
  </w:style>
  <w:style w:type="character" w:customStyle="1" w:styleId="SubtleReference1">
    <w:name w:val="Subtle Reference1"/>
    <w:uiPriority w:val="31"/>
    <w:qFormat/>
    <w:rsid w:val="003A5991"/>
    <w:rPr>
      <w:rFonts w:ascii="Cambria" w:eastAsia="HGMinchoB" w:hAnsi="Cambria" w:cs="Times New Roman"/>
      <w:i/>
      <w:iCs/>
      <w:color w:val="004D6C"/>
    </w:rPr>
  </w:style>
  <w:style w:type="character" w:customStyle="1" w:styleId="IntenseReference1">
    <w:name w:val="Intense Reference1"/>
    <w:uiPriority w:val="32"/>
    <w:qFormat/>
    <w:rsid w:val="003A5991"/>
    <w:rPr>
      <w:rFonts w:ascii="Cambria" w:eastAsia="HGMinchoB" w:hAnsi="Cambria" w:cs="Times New Roman"/>
      <w:b/>
      <w:bCs/>
      <w:i/>
      <w:iCs/>
      <w:color w:val="004D6C"/>
    </w:rPr>
  </w:style>
  <w:style w:type="character" w:customStyle="1" w:styleId="BookTitle1">
    <w:name w:val="Book Title1"/>
    <w:uiPriority w:val="33"/>
    <w:qFormat/>
    <w:rsid w:val="003A5991"/>
    <w:rPr>
      <w:caps/>
      <w:color w:val="004D6C"/>
      <w:spacing w:val="5"/>
      <w:u w:color="004D6C"/>
    </w:rPr>
  </w:style>
  <w:style w:type="paragraph" w:customStyle="1" w:styleId="TOCHeading1">
    <w:name w:val="TOC Heading1"/>
    <w:basedOn w:val="1"/>
    <w:next w:val="a"/>
    <w:uiPriority w:val="39"/>
    <w:qFormat/>
    <w:rsid w:val="003A5991"/>
    <w:pPr>
      <w:keepNext w:val="0"/>
      <w:keepLines w:val="0"/>
      <w:pBdr>
        <w:bottom w:val="thinThickSmallGap" w:sz="12" w:space="1" w:color="943634"/>
      </w:pBdr>
      <w:spacing w:before="400" w:after="200" w:line="252" w:lineRule="auto"/>
      <w:jc w:val="center"/>
      <w:outlineLvl w:val="9"/>
    </w:pPr>
    <w:rPr>
      <w:rFonts w:ascii="Calibri" w:eastAsia="HGGothicM" w:hAnsi="Calibri"/>
      <w:b w:val="0"/>
      <w:bCs w:val="0"/>
      <w:caps/>
      <w:color w:val="632423"/>
      <w:spacing w:val="20"/>
      <w:lang w:val="en-GB" w:bidi="en-US"/>
    </w:rPr>
  </w:style>
  <w:style w:type="table" w:styleId="-20">
    <w:name w:val="Dark List Accent 2"/>
    <w:basedOn w:val="a1"/>
    <w:uiPriority w:val="61"/>
    <w:rsid w:val="003A5991"/>
    <w:rPr>
      <w:rFonts w:eastAsia="HGGothicM"/>
      <w:lang w:val="fr-BE" w:eastAsia="fr-BE"/>
    </w:rPr>
    <w:tblPr>
      <w:tblStyleRowBandSize w:val="1"/>
      <w:tblStyleColBandSize w:val="1"/>
      <w:tblBorders>
        <w:top w:val="single" w:sz="8" w:space="0" w:color="009DD9"/>
        <w:left w:val="single" w:sz="8" w:space="0" w:color="009DD9"/>
        <w:bottom w:val="single" w:sz="8" w:space="0" w:color="009DD9"/>
        <w:right w:val="single" w:sz="8" w:space="0" w:color="009DD9"/>
      </w:tblBorders>
    </w:tblPr>
    <w:tblStylePr w:type="firstRow">
      <w:pPr>
        <w:spacing w:before="0" w:after="0" w:line="240" w:lineRule="auto"/>
      </w:pPr>
      <w:rPr>
        <w:b/>
        <w:bCs/>
        <w:color w:val="FFFFFF"/>
      </w:rPr>
      <w:tblPr/>
      <w:tcPr>
        <w:shd w:val="clear" w:color="auto" w:fill="009DD9"/>
      </w:tcPr>
    </w:tblStylePr>
    <w:tblStylePr w:type="lastRow">
      <w:pPr>
        <w:spacing w:before="0" w:after="0" w:line="240" w:lineRule="auto"/>
      </w:pPr>
      <w:rPr>
        <w:b/>
        <w:bCs/>
      </w:rPr>
      <w:tblPr/>
      <w:tcPr>
        <w:tcBorders>
          <w:top w:val="double" w:sz="6" w:space="0" w:color="009DD9"/>
          <w:left w:val="single" w:sz="8" w:space="0" w:color="009DD9"/>
          <w:bottom w:val="single" w:sz="8" w:space="0" w:color="009DD9"/>
          <w:right w:val="single" w:sz="8" w:space="0" w:color="009DD9"/>
        </w:tcBorders>
      </w:tcPr>
    </w:tblStylePr>
    <w:tblStylePr w:type="firstCol">
      <w:rPr>
        <w:b/>
        <w:bCs/>
      </w:rPr>
    </w:tblStylePr>
    <w:tblStylePr w:type="lastCol">
      <w:rPr>
        <w:b/>
        <w:bCs/>
      </w:rPr>
    </w:tblStylePr>
    <w:tblStylePr w:type="band1Vert">
      <w:tblPr/>
      <w:tcPr>
        <w:tcBorders>
          <w:top w:val="single" w:sz="8" w:space="0" w:color="009DD9"/>
          <w:left w:val="single" w:sz="8" w:space="0" w:color="009DD9"/>
          <w:bottom w:val="single" w:sz="8" w:space="0" w:color="009DD9"/>
          <w:right w:val="single" w:sz="8" w:space="0" w:color="009DD9"/>
        </w:tcBorders>
      </w:tcPr>
    </w:tblStylePr>
    <w:tblStylePr w:type="band1Horz">
      <w:tblPr/>
      <w:tcPr>
        <w:tcBorders>
          <w:top w:val="single" w:sz="8" w:space="0" w:color="009DD9"/>
          <w:left w:val="single" w:sz="8" w:space="0" w:color="009DD9"/>
          <w:bottom w:val="single" w:sz="8" w:space="0" w:color="009DD9"/>
          <w:right w:val="single" w:sz="8" w:space="0" w:color="009DD9"/>
        </w:tcBorders>
      </w:tcPr>
    </w:tblStylePr>
  </w:style>
  <w:style w:type="table" w:customStyle="1" w:styleId="MediumGrid31">
    <w:name w:val="Medium Grid 31"/>
    <w:basedOn w:val="a1"/>
    <w:uiPriority w:val="60"/>
    <w:rsid w:val="003A5991"/>
    <w:rPr>
      <w:rFonts w:ascii="Cambria" w:eastAsia="Cambria" w:hAnsi="Cambria"/>
      <w:color w:val="000000"/>
      <w:lang w:val="en-GB" w:eastAsia="fr-B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lorfulShading-Accent11">
    <w:name w:val="Colorful Shading - Accent 11"/>
    <w:hidden/>
    <w:uiPriority w:val="99"/>
    <w:rsid w:val="003A5991"/>
    <w:rPr>
      <w:rFonts w:eastAsia="HGGothicM"/>
      <w:sz w:val="22"/>
      <w:szCs w:val="22"/>
      <w:lang w:val="en-GB"/>
    </w:rPr>
  </w:style>
  <w:style w:type="table" w:styleId="2-10">
    <w:name w:val="Medium Grid 2 Accent 1"/>
    <w:basedOn w:val="a1"/>
    <w:uiPriority w:val="68"/>
    <w:rsid w:val="003A5991"/>
    <w:rPr>
      <w:lang w:val="fr-BE" w:eastAsia="fr-B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afd">
    <w:name w:val="Plain Text"/>
    <w:basedOn w:val="a"/>
    <w:link w:val="Charb"/>
    <w:uiPriority w:val="99"/>
    <w:semiHidden/>
    <w:unhideWhenUsed/>
    <w:rsid w:val="002F25F8"/>
    <w:pPr>
      <w:spacing w:after="0" w:line="240" w:lineRule="auto"/>
    </w:pPr>
    <w:rPr>
      <w:szCs w:val="21"/>
      <w:lang w:val="fr-BE"/>
    </w:rPr>
  </w:style>
  <w:style w:type="character" w:customStyle="1" w:styleId="Charb">
    <w:name w:val="Απλό κείμενο Char"/>
    <w:link w:val="afd"/>
    <w:uiPriority w:val="99"/>
    <w:semiHidden/>
    <w:rsid w:val="002F25F8"/>
    <w:rPr>
      <w:sz w:val="22"/>
      <w:szCs w:val="21"/>
      <w:lang w:eastAsia="en-US"/>
    </w:rPr>
  </w:style>
  <w:style w:type="table" w:customStyle="1" w:styleId="ListTable3-Accent61">
    <w:name w:val="List Table 3 - Accent 61"/>
    <w:basedOn w:val="a1"/>
    <w:uiPriority w:val="48"/>
    <w:rsid w:val="001F57E3"/>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GridTable4-Accent61">
    <w:name w:val="Grid Table 4 - Accent 61"/>
    <w:basedOn w:val="a1"/>
    <w:uiPriority w:val="49"/>
    <w:rsid w:val="001F57E3"/>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jlqj4b">
    <w:name w:val="jlqj4b"/>
    <w:basedOn w:val="a0"/>
    <w:rsid w:val="003F56A4"/>
  </w:style>
  <w:style w:type="character" w:customStyle="1" w:styleId="UnresolvedMention1">
    <w:name w:val="Unresolved Mention1"/>
    <w:basedOn w:val="a0"/>
    <w:uiPriority w:val="99"/>
    <w:semiHidden/>
    <w:unhideWhenUsed/>
    <w:rsid w:val="00042154"/>
    <w:rPr>
      <w:color w:val="605E5C"/>
      <w:shd w:val="clear" w:color="auto" w:fill="E1DFDD"/>
    </w:rPr>
  </w:style>
  <w:style w:type="character" w:styleId="-0">
    <w:name w:val="FollowedHyperlink"/>
    <w:basedOn w:val="a0"/>
    <w:uiPriority w:val="99"/>
    <w:semiHidden/>
    <w:unhideWhenUsed/>
    <w:rsid w:val="007F2680"/>
    <w:rPr>
      <w:color w:val="954F72" w:themeColor="followedHyperlink"/>
      <w:u w:val="single"/>
    </w:rPr>
  </w:style>
  <w:style w:type="paragraph" w:customStyle="1" w:styleId="gmail-m-6188846411429659449msolistparagraph">
    <w:name w:val="gmail-m_-6188846411429659449msolistparagraph"/>
    <w:basedOn w:val="a"/>
    <w:rsid w:val="004C6AD8"/>
    <w:pPr>
      <w:spacing w:before="100" w:beforeAutospacing="1" w:after="100" w:afterAutospacing="1" w:line="240" w:lineRule="auto"/>
    </w:pPr>
    <w:rPr>
      <w:rFonts w:eastAsiaTheme="minorHAnsi" w:cs="Calibri"/>
      <w:lang w:val="en-GB" w:eastAsia="en-GB"/>
    </w:rPr>
  </w:style>
  <w:style w:type="paragraph" w:styleId="afe">
    <w:name w:val="Document Map"/>
    <w:basedOn w:val="a"/>
    <w:link w:val="Charc"/>
    <w:uiPriority w:val="99"/>
    <w:unhideWhenUsed/>
    <w:rsid w:val="003738F2"/>
    <w:pPr>
      <w:spacing w:after="0" w:line="240" w:lineRule="auto"/>
    </w:pPr>
    <w:rPr>
      <w:rFonts w:ascii="Tahoma" w:eastAsiaTheme="minorEastAsia" w:hAnsi="Tahoma" w:cs="Tahoma"/>
      <w:sz w:val="16"/>
      <w:szCs w:val="16"/>
      <w:lang w:eastAsia="el-GR"/>
    </w:rPr>
  </w:style>
  <w:style w:type="character" w:customStyle="1" w:styleId="Charc">
    <w:name w:val="Χάρτης εγγράφου Char"/>
    <w:basedOn w:val="a0"/>
    <w:link w:val="afe"/>
    <w:uiPriority w:val="99"/>
    <w:rsid w:val="003738F2"/>
    <w:rPr>
      <w:rFonts w:ascii="Tahoma" w:eastAsiaTheme="minorEastAsia" w:hAnsi="Tahoma" w:cs="Tahoma"/>
      <w:sz w:val="16"/>
      <w:szCs w:val="16"/>
      <w:lang w:val="el-GR" w:eastAsia="el-GR"/>
    </w:rPr>
  </w:style>
  <w:style w:type="table" w:styleId="50">
    <w:name w:val="Plain Table 5"/>
    <w:basedOn w:val="a1"/>
    <w:uiPriority w:val="45"/>
    <w:rsid w:val="00264593"/>
    <w:rPr>
      <w:rFonts w:asciiTheme="minorHAnsi" w:eastAsiaTheme="minorHAnsi" w:hAnsiTheme="minorHAnsi" w:cstheme="minorBidi"/>
      <w:sz w:val="22"/>
      <w:szCs w:val="22"/>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
    <w:name w:val="Unresolved Mention"/>
    <w:basedOn w:val="a0"/>
    <w:uiPriority w:val="99"/>
    <w:semiHidden/>
    <w:unhideWhenUsed/>
    <w:rsid w:val="001A12E5"/>
    <w:rPr>
      <w:color w:val="605E5C"/>
      <w:shd w:val="clear" w:color="auto" w:fill="E1DFDD"/>
    </w:rPr>
  </w:style>
  <w:style w:type="character" w:customStyle="1" w:styleId="rynqvb">
    <w:name w:val="rynqvb"/>
    <w:basedOn w:val="a0"/>
    <w:rsid w:val="00A922D2"/>
  </w:style>
  <w:style w:type="paragraph" w:styleId="aff0">
    <w:name w:val="caption"/>
    <w:basedOn w:val="a"/>
    <w:next w:val="a"/>
    <w:uiPriority w:val="35"/>
    <w:unhideWhenUsed/>
    <w:qFormat/>
    <w:rsid w:val="00465EF9"/>
    <w:pPr>
      <w:spacing w:line="240" w:lineRule="auto"/>
    </w:pPr>
    <w:rPr>
      <w:i/>
      <w:iCs/>
      <w:color w:val="44546A" w:themeColor="text2"/>
      <w:sz w:val="18"/>
      <w:szCs w:val="18"/>
    </w:rPr>
  </w:style>
  <w:style w:type="character" w:customStyle="1" w:styleId="cf01">
    <w:name w:val="cf01"/>
    <w:basedOn w:val="a0"/>
    <w:rsid w:val="00465EF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7604">
      <w:bodyDiv w:val="1"/>
      <w:marLeft w:val="0"/>
      <w:marRight w:val="0"/>
      <w:marTop w:val="0"/>
      <w:marBottom w:val="0"/>
      <w:divBdr>
        <w:top w:val="none" w:sz="0" w:space="0" w:color="auto"/>
        <w:left w:val="none" w:sz="0" w:space="0" w:color="auto"/>
        <w:bottom w:val="none" w:sz="0" w:space="0" w:color="auto"/>
        <w:right w:val="none" w:sz="0" w:space="0" w:color="auto"/>
      </w:divBdr>
    </w:div>
    <w:div w:id="44526695">
      <w:bodyDiv w:val="1"/>
      <w:marLeft w:val="0"/>
      <w:marRight w:val="0"/>
      <w:marTop w:val="0"/>
      <w:marBottom w:val="0"/>
      <w:divBdr>
        <w:top w:val="none" w:sz="0" w:space="0" w:color="auto"/>
        <w:left w:val="none" w:sz="0" w:space="0" w:color="auto"/>
        <w:bottom w:val="none" w:sz="0" w:space="0" w:color="auto"/>
        <w:right w:val="none" w:sz="0" w:space="0" w:color="auto"/>
      </w:divBdr>
    </w:div>
    <w:div w:id="46687431">
      <w:bodyDiv w:val="1"/>
      <w:marLeft w:val="0"/>
      <w:marRight w:val="0"/>
      <w:marTop w:val="0"/>
      <w:marBottom w:val="0"/>
      <w:divBdr>
        <w:top w:val="none" w:sz="0" w:space="0" w:color="auto"/>
        <w:left w:val="none" w:sz="0" w:space="0" w:color="auto"/>
        <w:bottom w:val="none" w:sz="0" w:space="0" w:color="auto"/>
        <w:right w:val="none" w:sz="0" w:space="0" w:color="auto"/>
      </w:divBdr>
    </w:div>
    <w:div w:id="59712328">
      <w:bodyDiv w:val="1"/>
      <w:marLeft w:val="0"/>
      <w:marRight w:val="0"/>
      <w:marTop w:val="0"/>
      <w:marBottom w:val="0"/>
      <w:divBdr>
        <w:top w:val="none" w:sz="0" w:space="0" w:color="auto"/>
        <w:left w:val="none" w:sz="0" w:space="0" w:color="auto"/>
        <w:bottom w:val="none" w:sz="0" w:space="0" w:color="auto"/>
        <w:right w:val="none" w:sz="0" w:space="0" w:color="auto"/>
      </w:divBdr>
    </w:div>
    <w:div w:id="61024047">
      <w:bodyDiv w:val="1"/>
      <w:marLeft w:val="0"/>
      <w:marRight w:val="0"/>
      <w:marTop w:val="0"/>
      <w:marBottom w:val="0"/>
      <w:divBdr>
        <w:top w:val="none" w:sz="0" w:space="0" w:color="auto"/>
        <w:left w:val="none" w:sz="0" w:space="0" w:color="auto"/>
        <w:bottom w:val="none" w:sz="0" w:space="0" w:color="auto"/>
        <w:right w:val="none" w:sz="0" w:space="0" w:color="auto"/>
      </w:divBdr>
    </w:div>
    <w:div w:id="81993269">
      <w:bodyDiv w:val="1"/>
      <w:marLeft w:val="0"/>
      <w:marRight w:val="0"/>
      <w:marTop w:val="0"/>
      <w:marBottom w:val="0"/>
      <w:divBdr>
        <w:top w:val="none" w:sz="0" w:space="0" w:color="auto"/>
        <w:left w:val="none" w:sz="0" w:space="0" w:color="auto"/>
        <w:bottom w:val="none" w:sz="0" w:space="0" w:color="auto"/>
        <w:right w:val="none" w:sz="0" w:space="0" w:color="auto"/>
      </w:divBdr>
    </w:div>
    <w:div w:id="82342970">
      <w:bodyDiv w:val="1"/>
      <w:marLeft w:val="0"/>
      <w:marRight w:val="0"/>
      <w:marTop w:val="0"/>
      <w:marBottom w:val="0"/>
      <w:divBdr>
        <w:top w:val="none" w:sz="0" w:space="0" w:color="auto"/>
        <w:left w:val="none" w:sz="0" w:space="0" w:color="auto"/>
        <w:bottom w:val="none" w:sz="0" w:space="0" w:color="auto"/>
        <w:right w:val="none" w:sz="0" w:space="0" w:color="auto"/>
      </w:divBdr>
    </w:div>
    <w:div w:id="114518814">
      <w:bodyDiv w:val="1"/>
      <w:marLeft w:val="0"/>
      <w:marRight w:val="0"/>
      <w:marTop w:val="0"/>
      <w:marBottom w:val="0"/>
      <w:divBdr>
        <w:top w:val="none" w:sz="0" w:space="0" w:color="auto"/>
        <w:left w:val="none" w:sz="0" w:space="0" w:color="auto"/>
        <w:bottom w:val="none" w:sz="0" w:space="0" w:color="auto"/>
        <w:right w:val="none" w:sz="0" w:space="0" w:color="auto"/>
      </w:divBdr>
    </w:div>
    <w:div w:id="156770814">
      <w:bodyDiv w:val="1"/>
      <w:marLeft w:val="0"/>
      <w:marRight w:val="0"/>
      <w:marTop w:val="0"/>
      <w:marBottom w:val="0"/>
      <w:divBdr>
        <w:top w:val="none" w:sz="0" w:space="0" w:color="auto"/>
        <w:left w:val="none" w:sz="0" w:space="0" w:color="auto"/>
        <w:bottom w:val="none" w:sz="0" w:space="0" w:color="auto"/>
        <w:right w:val="none" w:sz="0" w:space="0" w:color="auto"/>
      </w:divBdr>
    </w:div>
    <w:div w:id="177739103">
      <w:bodyDiv w:val="1"/>
      <w:marLeft w:val="0"/>
      <w:marRight w:val="0"/>
      <w:marTop w:val="0"/>
      <w:marBottom w:val="0"/>
      <w:divBdr>
        <w:top w:val="none" w:sz="0" w:space="0" w:color="auto"/>
        <w:left w:val="none" w:sz="0" w:space="0" w:color="auto"/>
        <w:bottom w:val="none" w:sz="0" w:space="0" w:color="auto"/>
        <w:right w:val="none" w:sz="0" w:space="0" w:color="auto"/>
      </w:divBdr>
    </w:div>
    <w:div w:id="213665903">
      <w:bodyDiv w:val="1"/>
      <w:marLeft w:val="0"/>
      <w:marRight w:val="0"/>
      <w:marTop w:val="0"/>
      <w:marBottom w:val="0"/>
      <w:divBdr>
        <w:top w:val="none" w:sz="0" w:space="0" w:color="auto"/>
        <w:left w:val="none" w:sz="0" w:space="0" w:color="auto"/>
        <w:bottom w:val="none" w:sz="0" w:space="0" w:color="auto"/>
        <w:right w:val="none" w:sz="0" w:space="0" w:color="auto"/>
      </w:divBdr>
    </w:div>
    <w:div w:id="217863991">
      <w:bodyDiv w:val="1"/>
      <w:marLeft w:val="0"/>
      <w:marRight w:val="0"/>
      <w:marTop w:val="0"/>
      <w:marBottom w:val="0"/>
      <w:divBdr>
        <w:top w:val="none" w:sz="0" w:space="0" w:color="auto"/>
        <w:left w:val="none" w:sz="0" w:space="0" w:color="auto"/>
        <w:bottom w:val="none" w:sz="0" w:space="0" w:color="auto"/>
        <w:right w:val="none" w:sz="0" w:space="0" w:color="auto"/>
      </w:divBdr>
    </w:div>
    <w:div w:id="240600696">
      <w:bodyDiv w:val="1"/>
      <w:marLeft w:val="0"/>
      <w:marRight w:val="0"/>
      <w:marTop w:val="0"/>
      <w:marBottom w:val="0"/>
      <w:divBdr>
        <w:top w:val="none" w:sz="0" w:space="0" w:color="auto"/>
        <w:left w:val="none" w:sz="0" w:space="0" w:color="auto"/>
        <w:bottom w:val="none" w:sz="0" w:space="0" w:color="auto"/>
        <w:right w:val="none" w:sz="0" w:space="0" w:color="auto"/>
      </w:divBdr>
    </w:div>
    <w:div w:id="240726046">
      <w:bodyDiv w:val="1"/>
      <w:marLeft w:val="0"/>
      <w:marRight w:val="0"/>
      <w:marTop w:val="0"/>
      <w:marBottom w:val="0"/>
      <w:divBdr>
        <w:top w:val="none" w:sz="0" w:space="0" w:color="auto"/>
        <w:left w:val="none" w:sz="0" w:space="0" w:color="auto"/>
        <w:bottom w:val="none" w:sz="0" w:space="0" w:color="auto"/>
        <w:right w:val="none" w:sz="0" w:space="0" w:color="auto"/>
      </w:divBdr>
    </w:div>
    <w:div w:id="265503970">
      <w:bodyDiv w:val="1"/>
      <w:marLeft w:val="0"/>
      <w:marRight w:val="0"/>
      <w:marTop w:val="0"/>
      <w:marBottom w:val="0"/>
      <w:divBdr>
        <w:top w:val="none" w:sz="0" w:space="0" w:color="auto"/>
        <w:left w:val="none" w:sz="0" w:space="0" w:color="auto"/>
        <w:bottom w:val="none" w:sz="0" w:space="0" w:color="auto"/>
        <w:right w:val="none" w:sz="0" w:space="0" w:color="auto"/>
      </w:divBdr>
    </w:div>
    <w:div w:id="272129715">
      <w:bodyDiv w:val="1"/>
      <w:marLeft w:val="0"/>
      <w:marRight w:val="0"/>
      <w:marTop w:val="0"/>
      <w:marBottom w:val="0"/>
      <w:divBdr>
        <w:top w:val="none" w:sz="0" w:space="0" w:color="auto"/>
        <w:left w:val="none" w:sz="0" w:space="0" w:color="auto"/>
        <w:bottom w:val="none" w:sz="0" w:space="0" w:color="auto"/>
        <w:right w:val="none" w:sz="0" w:space="0" w:color="auto"/>
      </w:divBdr>
    </w:div>
    <w:div w:id="272633719">
      <w:bodyDiv w:val="1"/>
      <w:marLeft w:val="0"/>
      <w:marRight w:val="0"/>
      <w:marTop w:val="0"/>
      <w:marBottom w:val="0"/>
      <w:divBdr>
        <w:top w:val="none" w:sz="0" w:space="0" w:color="auto"/>
        <w:left w:val="none" w:sz="0" w:space="0" w:color="auto"/>
        <w:bottom w:val="none" w:sz="0" w:space="0" w:color="auto"/>
        <w:right w:val="none" w:sz="0" w:space="0" w:color="auto"/>
      </w:divBdr>
    </w:div>
    <w:div w:id="282345088">
      <w:bodyDiv w:val="1"/>
      <w:marLeft w:val="0"/>
      <w:marRight w:val="0"/>
      <w:marTop w:val="0"/>
      <w:marBottom w:val="0"/>
      <w:divBdr>
        <w:top w:val="none" w:sz="0" w:space="0" w:color="auto"/>
        <w:left w:val="none" w:sz="0" w:space="0" w:color="auto"/>
        <w:bottom w:val="none" w:sz="0" w:space="0" w:color="auto"/>
        <w:right w:val="none" w:sz="0" w:space="0" w:color="auto"/>
      </w:divBdr>
    </w:div>
    <w:div w:id="317268209">
      <w:bodyDiv w:val="1"/>
      <w:marLeft w:val="0"/>
      <w:marRight w:val="0"/>
      <w:marTop w:val="0"/>
      <w:marBottom w:val="0"/>
      <w:divBdr>
        <w:top w:val="none" w:sz="0" w:space="0" w:color="auto"/>
        <w:left w:val="none" w:sz="0" w:space="0" w:color="auto"/>
        <w:bottom w:val="none" w:sz="0" w:space="0" w:color="auto"/>
        <w:right w:val="none" w:sz="0" w:space="0" w:color="auto"/>
      </w:divBdr>
    </w:div>
    <w:div w:id="342241634">
      <w:bodyDiv w:val="1"/>
      <w:marLeft w:val="0"/>
      <w:marRight w:val="0"/>
      <w:marTop w:val="0"/>
      <w:marBottom w:val="0"/>
      <w:divBdr>
        <w:top w:val="none" w:sz="0" w:space="0" w:color="auto"/>
        <w:left w:val="none" w:sz="0" w:space="0" w:color="auto"/>
        <w:bottom w:val="none" w:sz="0" w:space="0" w:color="auto"/>
        <w:right w:val="none" w:sz="0" w:space="0" w:color="auto"/>
      </w:divBdr>
    </w:div>
    <w:div w:id="389235656">
      <w:bodyDiv w:val="1"/>
      <w:marLeft w:val="0"/>
      <w:marRight w:val="0"/>
      <w:marTop w:val="0"/>
      <w:marBottom w:val="0"/>
      <w:divBdr>
        <w:top w:val="none" w:sz="0" w:space="0" w:color="auto"/>
        <w:left w:val="none" w:sz="0" w:space="0" w:color="auto"/>
        <w:bottom w:val="none" w:sz="0" w:space="0" w:color="auto"/>
        <w:right w:val="none" w:sz="0" w:space="0" w:color="auto"/>
      </w:divBdr>
    </w:div>
    <w:div w:id="392125589">
      <w:bodyDiv w:val="1"/>
      <w:marLeft w:val="0"/>
      <w:marRight w:val="0"/>
      <w:marTop w:val="0"/>
      <w:marBottom w:val="0"/>
      <w:divBdr>
        <w:top w:val="none" w:sz="0" w:space="0" w:color="auto"/>
        <w:left w:val="none" w:sz="0" w:space="0" w:color="auto"/>
        <w:bottom w:val="none" w:sz="0" w:space="0" w:color="auto"/>
        <w:right w:val="none" w:sz="0" w:space="0" w:color="auto"/>
      </w:divBdr>
    </w:div>
    <w:div w:id="405996507">
      <w:bodyDiv w:val="1"/>
      <w:marLeft w:val="0"/>
      <w:marRight w:val="0"/>
      <w:marTop w:val="0"/>
      <w:marBottom w:val="0"/>
      <w:divBdr>
        <w:top w:val="none" w:sz="0" w:space="0" w:color="auto"/>
        <w:left w:val="none" w:sz="0" w:space="0" w:color="auto"/>
        <w:bottom w:val="none" w:sz="0" w:space="0" w:color="auto"/>
        <w:right w:val="none" w:sz="0" w:space="0" w:color="auto"/>
      </w:divBdr>
    </w:div>
    <w:div w:id="407308163">
      <w:bodyDiv w:val="1"/>
      <w:marLeft w:val="0"/>
      <w:marRight w:val="0"/>
      <w:marTop w:val="0"/>
      <w:marBottom w:val="0"/>
      <w:divBdr>
        <w:top w:val="none" w:sz="0" w:space="0" w:color="auto"/>
        <w:left w:val="none" w:sz="0" w:space="0" w:color="auto"/>
        <w:bottom w:val="none" w:sz="0" w:space="0" w:color="auto"/>
        <w:right w:val="none" w:sz="0" w:space="0" w:color="auto"/>
      </w:divBdr>
    </w:div>
    <w:div w:id="412246204">
      <w:bodyDiv w:val="1"/>
      <w:marLeft w:val="0"/>
      <w:marRight w:val="0"/>
      <w:marTop w:val="0"/>
      <w:marBottom w:val="0"/>
      <w:divBdr>
        <w:top w:val="none" w:sz="0" w:space="0" w:color="auto"/>
        <w:left w:val="none" w:sz="0" w:space="0" w:color="auto"/>
        <w:bottom w:val="none" w:sz="0" w:space="0" w:color="auto"/>
        <w:right w:val="none" w:sz="0" w:space="0" w:color="auto"/>
      </w:divBdr>
    </w:div>
    <w:div w:id="419643396">
      <w:bodyDiv w:val="1"/>
      <w:marLeft w:val="0"/>
      <w:marRight w:val="0"/>
      <w:marTop w:val="0"/>
      <w:marBottom w:val="0"/>
      <w:divBdr>
        <w:top w:val="none" w:sz="0" w:space="0" w:color="auto"/>
        <w:left w:val="none" w:sz="0" w:space="0" w:color="auto"/>
        <w:bottom w:val="none" w:sz="0" w:space="0" w:color="auto"/>
        <w:right w:val="none" w:sz="0" w:space="0" w:color="auto"/>
      </w:divBdr>
    </w:div>
    <w:div w:id="421874633">
      <w:bodyDiv w:val="1"/>
      <w:marLeft w:val="0"/>
      <w:marRight w:val="0"/>
      <w:marTop w:val="0"/>
      <w:marBottom w:val="0"/>
      <w:divBdr>
        <w:top w:val="none" w:sz="0" w:space="0" w:color="auto"/>
        <w:left w:val="none" w:sz="0" w:space="0" w:color="auto"/>
        <w:bottom w:val="none" w:sz="0" w:space="0" w:color="auto"/>
        <w:right w:val="none" w:sz="0" w:space="0" w:color="auto"/>
      </w:divBdr>
    </w:div>
    <w:div w:id="435057690">
      <w:bodyDiv w:val="1"/>
      <w:marLeft w:val="0"/>
      <w:marRight w:val="0"/>
      <w:marTop w:val="0"/>
      <w:marBottom w:val="0"/>
      <w:divBdr>
        <w:top w:val="none" w:sz="0" w:space="0" w:color="auto"/>
        <w:left w:val="none" w:sz="0" w:space="0" w:color="auto"/>
        <w:bottom w:val="none" w:sz="0" w:space="0" w:color="auto"/>
        <w:right w:val="none" w:sz="0" w:space="0" w:color="auto"/>
      </w:divBdr>
    </w:div>
    <w:div w:id="483087616">
      <w:bodyDiv w:val="1"/>
      <w:marLeft w:val="0"/>
      <w:marRight w:val="0"/>
      <w:marTop w:val="0"/>
      <w:marBottom w:val="0"/>
      <w:divBdr>
        <w:top w:val="none" w:sz="0" w:space="0" w:color="auto"/>
        <w:left w:val="none" w:sz="0" w:space="0" w:color="auto"/>
        <w:bottom w:val="none" w:sz="0" w:space="0" w:color="auto"/>
        <w:right w:val="none" w:sz="0" w:space="0" w:color="auto"/>
      </w:divBdr>
    </w:div>
    <w:div w:id="501048121">
      <w:bodyDiv w:val="1"/>
      <w:marLeft w:val="0"/>
      <w:marRight w:val="0"/>
      <w:marTop w:val="0"/>
      <w:marBottom w:val="0"/>
      <w:divBdr>
        <w:top w:val="none" w:sz="0" w:space="0" w:color="auto"/>
        <w:left w:val="none" w:sz="0" w:space="0" w:color="auto"/>
        <w:bottom w:val="none" w:sz="0" w:space="0" w:color="auto"/>
        <w:right w:val="none" w:sz="0" w:space="0" w:color="auto"/>
      </w:divBdr>
    </w:div>
    <w:div w:id="531113797">
      <w:bodyDiv w:val="1"/>
      <w:marLeft w:val="0"/>
      <w:marRight w:val="0"/>
      <w:marTop w:val="0"/>
      <w:marBottom w:val="0"/>
      <w:divBdr>
        <w:top w:val="none" w:sz="0" w:space="0" w:color="auto"/>
        <w:left w:val="none" w:sz="0" w:space="0" w:color="auto"/>
        <w:bottom w:val="none" w:sz="0" w:space="0" w:color="auto"/>
        <w:right w:val="none" w:sz="0" w:space="0" w:color="auto"/>
      </w:divBdr>
    </w:div>
    <w:div w:id="564412033">
      <w:bodyDiv w:val="1"/>
      <w:marLeft w:val="0"/>
      <w:marRight w:val="0"/>
      <w:marTop w:val="0"/>
      <w:marBottom w:val="0"/>
      <w:divBdr>
        <w:top w:val="none" w:sz="0" w:space="0" w:color="auto"/>
        <w:left w:val="none" w:sz="0" w:space="0" w:color="auto"/>
        <w:bottom w:val="none" w:sz="0" w:space="0" w:color="auto"/>
        <w:right w:val="none" w:sz="0" w:space="0" w:color="auto"/>
      </w:divBdr>
    </w:div>
    <w:div w:id="571543386">
      <w:bodyDiv w:val="1"/>
      <w:marLeft w:val="0"/>
      <w:marRight w:val="0"/>
      <w:marTop w:val="0"/>
      <w:marBottom w:val="0"/>
      <w:divBdr>
        <w:top w:val="none" w:sz="0" w:space="0" w:color="auto"/>
        <w:left w:val="none" w:sz="0" w:space="0" w:color="auto"/>
        <w:bottom w:val="none" w:sz="0" w:space="0" w:color="auto"/>
        <w:right w:val="none" w:sz="0" w:space="0" w:color="auto"/>
      </w:divBdr>
    </w:div>
    <w:div w:id="603074482">
      <w:bodyDiv w:val="1"/>
      <w:marLeft w:val="0"/>
      <w:marRight w:val="0"/>
      <w:marTop w:val="0"/>
      <w:marBottom w:val="0"/>
      <w:divBdr>
        <w:top w:val="none" w:sz="0" w:space="0" w:color="auto"/>
        <w:left w:val="none" w:sz="0" w:space="0" w:color="auto"/>
        <w:bottom w:val="none" w:sz="0" w:space="0" w:color="auto"/>
        <w:right w:val="none" w:sz="0" w:space="0" w:color="auto"/>
      </w:divBdr>
    </w:div>
    <w:div w:id="643046513">
      <w:bodyDiv w:val="1"/>
      <w:marLeft w:val="0"/>
      <w:marRight w:val="0"/>
      <w:marTop w:val="0"/>
      <w:marBottom w:val="0"/>
      <w:divBdr>
        <w:top w:val="none" w:sz="0" w:space="0" w:color="auto"/>
        <w:left w:val="none" w:sz="0" w:space="0" w:color="auto"/>
        <w:bottom w:val="none" w:sz="0" w:space="0" w:color="auto"/>
        <w:right w:val="none" w:sz="0" w:space="0" w:color="auto"/>
      </w:divBdr>
    </w:div>
    <w:div w:id="653264143">
      <w:bodyDiv w:val="1"/>
      <w:marLeft w:val="0"/>
      <w:marRight w:val="0"/>
      <w:marTop w:val="0"/>
      <w:marBottom w:val="0"/>
      <w:divBdr>
        <w:top w:val="none" w:sz="0" w:space="0" w:color="auto"/>
        <w:left w:val="none" w:sz="0" w:space="0" w:color="auto"/>
        <w:bottom w:val="none" w:sz="0" w:space="0" w:color="auto"/>
        <w:right w:val="none" w:sz="0" w:space="0" w:color="auto"/>
      </w:divBdr>
    </w:div>
    <w:div w:id="664405195">
      <w:bodyDiv w:val="1"/>
      <w:marLeft w:val="0"/>
      <w:marRight w:val="0"/>
      <w:marTop w:val="0"/>
      <w:marBottom w:val="0"/>
      <w:divBdr>
        <w:top w:val="none" w:sz="0" w:space="0" w:color="auto"/>
        <w:left w:val="none" w:sz="0" w:space="0" w:color="auto"/>
        <w:bottom w:val="none" w:sz="0" w:space="0" w:color="auto"/>
        <w:right w:val="none" w:sz="0" w:space="0" w:color="auto"/>
      </w:divBdr>
    </w:div>
    <w:div w:id="674920285">
      <w:bodyDiv w:val="1"/>
      <w:marLeft w:val="0"/>
      <w:marRight w:val="0"/>
      <w:marTop w:val="0"/>
      <w:marBottom w:val="0"/>
      <w:divBdr>
        <w:top w:val="none" w:sz="0" w:space="0" w:color="auto"/>
        <w:left w:val="none" w:sz="0" w:space="0" w:color="auto"/>
        <w:bottom w:val="none" w:sz="0" w:space="0" w:color="auto"/>
        <w:right w:val="none" w:sz="0" w:space="0" w:color="auto"/>
      </w:divBdr>
    </w:div>
    <w:div w:id="679742541">
      <w:bodyDiv w:val="1"/>
      <w:marLeft w:val="0"/>
      <w:marRight w:val="0"/>
      <w:marTop w:val="0"/>
      <w:marBottom w:val="0"/>
      <w:divBdr>
        <w:top w:val="none" w:sz="0" w:space="0" w:color="auto"/>
        <w:left w:val="none" w:sz="0" w:space="0" w:color="auto"/>
        <w:bottom w:val="none" w:sz="0" w:space="0" w:color="auto"/>
        <w:right w:val="none" w:sz="0" w:space="0" w:color="auto"/>
      </w:divBdr>
    </w:div>
    <w:div w:id="705257585">
      <w:bodyDiv w:val="1"/>
      <w:marLeft w:val="0"/>
      <w:marRight w:val="0"/>
      <w:marTop w:val="0"/>
      <w:marBottom w:val="0"/>
      <w:divBdr>
        <w:top w:val="none" w:sz="0" w:space="0" w:color="auto"/>
        <w:left w:val="none" w:sz="0" w:space="0" w:color="auto"/>
        <w:bottom w:val="none" w:sz="0" w:space="0" w:color="auto"/>
        <w:right w:val="none" w:sz="0" w:space="0" w:color="auto"/>
      </w:divBdr>
    </w:div>
    <w:div w:id="727652404">
      <w:bodyDiv w:val="1"/>
      <w:marLeft w:val="0"/>
      <w:marRight w:val="0"/>
      <w:marTop w:val="0"/>
      <w:marBottom w:val="0"/>
      <w:divBdr>
        <w:top w:val="none" w:sz="0" w:space="0" w:color="auto"/>
        <w:left w:val="none" w:sz="0" w:space="0" w:color="auto"/>
        <w:bottom w:val="none" w:sz="0" w:space="0" w:color="auto"/>
        <w:right w:val="none" w:sz="0" w:space="0" w:color="auto"/>
      </w:divBdr>
    </w:div>
    <w:div w:id="739602263">
      <w:bodyDiv w:val="1"/>
      <w:marLeft w:val="0"/>
      <w:marRight w:val="0"/>
      <w:marTop w:val="0"/>
      <w:marBottom w:val="0"/>
      <w:divBdr>
        <w:top w:val="none" w:sz="0" w:space="0" w:color="auto"/>
        <w:left w:val="none" w:sz="0" w:space="0" w:color="auto"/>
        <w:bottom w:val="none" w:sz="0" w:space="0" w:color="auto"/>
        <w:right w:val="none" w:sz="0" w:space="0" w:color="auto"/>
      </w:divBdr>
    </w:div>
    <w:div w:id="752119643">
      <w:bodyDiv w:val="1"/>
      <w:marLeft w:val="0"/>
      <w:marRight w:val="0"/>
      <w:marTop w:val="0"/>
      <w:marBottom w:val="0"/>
      <w:divBdr>
        <w:top w:val="none" w:sz="0" w:space="0" w:color="auto"/>
        <w:left w:val="none" w:sz="0" w:space="0" w:color="auto"/>
        <w:bottom w:val="none" w:sz="0" w:space="0" w:color="auto"/>
        <w:right w:val="none" w:sz="0" w:space="0" w:color="auto"/>
      </w:divBdr>
    </w:div>
    <w:div w:id="777070079">
      <w:bodyDiv w:val="1"/>
      <w:marLeft w:val="0"/>
      <w:marRight w:val="0"/>
      <w:marTop w:val="0"/>
      <w:marBottom w:val="0"/>
      <w:divBdr>
        <w:top w:val="none" w:sz="0" w:space="0" w:color="auto"/>
        <w:left w:val="none" w:sz="0" w:space="0" w:color="auto"/>
        <w:bottom w:val="none" w:sz="0" w:space="0" w:color="auto"/>
        <w:right w:val="none" w:sz="0" w:space="0" w:color="auto"/>
      </w:divBdr>
    </w:div>
    <w:div w:id="786048156">
      <w:bodyDiv w:val="1"/>
      <w:marLeft w:val="0"/>
      <w:marRight w:val="0"/>
      <w:marTop w:val="0"/>
      <w:marBottom w:val="0"/>
      <w:divBdr>
        <w:top w:val="none" w:sz="0" w:space="0" w:color="auto"/>
        <w:left w:val="none" w:sz="0" w:space="0" w:color="auto"/>
        <w:bottom w:val="none" w:sz="0" w:space="0" w:color="auto"/>
        <w:right w:val="none" w:sz="0" w:space="0" w:color="auto"/>
      </w:divBdr>
    </w:div>
    <w:div w:id="807670646">
      <w:bodyDiv w:val="1"/>
      <w:marLeft w:val="0"/>
      <w:marRight w:val="0"/>
      <w:marTop w:val="0"/>
      <w:marBottom w:val="0"/>
      <w:divBdr>
        <w:top w:val="none" w:sz="0" w:space="0" w:color="auto"/>
        <w:left w:val="none" w:sz="0" w:space="0" w:color="auto"/>
        <w:bottom w:val="none" w:sz="0" w:space="0" w:color="auto"/>
        <w:right w:val="none" w:sz="0" w:space="0" w:color="auto"/>
      </w:divBdr>
    </w:div>
    <w:div w:id="812065009">
      <w:bodyDiv w:val="1"/>
      <w:marLeft w:val="0"/>
      <w:marRight w:val="0"/>
      <w:marTop w:val="0"/>
      <w:marBottom w:val="0"/>
      <w:divBdr>
        <w:top w:val="none" w:sz="0" w:space="0" w:color="auto"/>
        <w:left w:val="none" w:sz="0" w:space="0" w:color="auto"/>
        <w:bottom w:val="none" w:sz="0" w:space="0" w:color="auto"/>
        <w:right w:val="none" w:sz="0" w:space="0" w:color="auto"/>
      </w:divBdr>
    </w:div>
    <w:div w:id="815876979">
      <w:bodyDiv w:val="1"/>
      <w:marLeft w:val="0"/>
      <w:marRight w:val="0"/>
      <w:marTop w:val="0"/>
      <w:marBottom w:val="0"/>
      <w:divBdr>
        <w:top w:val="none" w:sz="0" w:space="0" w:color="auto"/>
        <w:left w:val="none" w:sz="0" w:space="0" w:color="auto"/>
        <w:bottom w:val="none" w:sz="0" w:space="0" w:color="auto"/>
        <w:right w:val="none" w:sz="0" w:space="0" w:color="auto"/>
      </w:divBdr>
    </w:div>
    <w:div w:id="834076955">
      <w:bodyDiv w:val="1"/>
      <w:marLeft w:val="0"/>
      <w:marRight w:val="0"/>
      <w:marTop w:val="0"/>
      <w:marBottom w:val="0"/>
      <w:divBdr>
        <w:top w:val="none" w:sz="0" w:space="0" w:color="auto"/>
        <w:left w:val="none" w:sz="0" w:space="0" w:color="auto"/>
        <w:bottom w:val="none" w:sz="0" w:space="0" w:color="auto"/>
        <w:right w:val="none" w:sz="0" w:space="0" w:color="auto"/>
      </w:divBdr>
    </w:div>
    <w:div w:id="837577675">
      <w:bodyDiv w:val="1"/>
      <w:marLeft w:val="0"/>
      <w:marRight w:val="0"/>
      <w:marTop w:val="0"/>
      <w:marBottom w:val="0"/>
      <w:divBdr>
        <w:top w:val="none" w:sz="0" w:space="0" w:color="auto"/>
        <w:left w:val="none" w:sz="0" w:space="0" w:color="auto"/>
        <w:bottom w:val="none" w:sz="0" w:space="0" w:color="auto"/>
        <w:right w:val="none" w:sz="0" w:space="0" w:color="auto"/>
      </w:divBdr>
    </w:div>
    <w:div w:id="875241864">
      <w:bodyDiv w:val="1"/>
      <w:marLeft w:val="0"/>
      <w:marRight w:val="0"/>
      <w:marTop w:val="0"/>
      <w:marBottom w:val="0"/>
      <w:divBdr>
        <w:top w:val="none" w:sz="0" w:space="0" w:color="auto"/>
        <w:left w:val="none" w:sz="0" w:space="0" w:color="auto"/>
        <w:bottom w:val="none" w:sz="0" w:space="0" w:color="auto"/>
        <w:right w:val="none" w:sz="0" w:space="0" w:color="auto"/>
      </w:divBdr>
    </w:div>
    <w:div w:id="889340471">
      <w:bodyDiv w:val="1"/>
      <w:marLeft w:val="0"/>
      <w:marRight w:val="0"/>
      <w:marTop w:val="0"/>
      <w:marBottom w:val="0"/>
      <w:divBdr>
        <w:top w:val="none" w:sz="0" w:space="0" w:color="auto"/>
        <w:left w:val="none" w:sz="0" w:space="0" w:color="auto"/>
        <w:bottom w:val="none" w:sz="0" w:space="0" w:color="auto"/>
        <w:right w:val="none" w:sz="0" w:space="0" w:color="auto"/>
      </w:divBdr>
    </w:div>
    <w:div w:id="893076860">
      <w:bodyDiv w:val="1"/>
      <w:marLeft w:val="0"/>
      <w:marRight w:val="0"/>
      <w:marTop w:val="0"/>
      <w:marBottom w:val="0"/>
      <w:divBdr>
        <w:top w:val="none" w:sz="0" w:space="0" w:color="auto"/>
        <w:left w:val="none" w:sz="0" w:space="0" w:color="auto"/>
        <w:bottom w:val="none" w:sz="0" w:space="0" w:color="auto"/>
        <w:right w:val="none" w:sz="0" w:space="0" w:color="auto"/>
      </w:divBdr>
    </w:div>
    <w:div w:id="941063064">
      <w:bodyDiv w:val="1"/>
      <w:marLeft w:val="0"/>
      <w:marRight w:val="0"/>
      <w:marTop w:val="0"/>
      <w:marBottom w:val="0"/>
      <w:divBdr>
        <w:top w:val="none" w:sz="0" w:space="0" w:color="auto"/>
        <w:left w:val="none" w:sz="0" w:space="0" w:color="auto"/>
        <w:bottom w:val="none" w:sz="0" w:space="0" w:color="auto"/>
        <w:right w:val="none" w:sz="0" w:space="0" w:color="auto"/>
      </w:divBdr>
    </w:div>
    <w:div w:id="972751514">
      <w:bodyDiv w:val="1"/>
      <w:marLeft w:val="0"/>
      <w:marRight w:val="0"/>
      <w:marTop w:val="0"/>
      <w:marBottom w:val="0"/>
      <w:divBdr>
        <w:top w:val="none" w:sz="0" w:space="0" w:color="auto"/>
        <w:left w:val="none" w:sz="0" w:space="0" w:color="auto"/>
        <w:bottom w:val="none" w:sz="0" w:space="0" w:color="auto"/>
        <w:right w:val="none" w:sz="0" w:space="0" w:color="auto"/>
      </w:divBdr>
    </w:div>
    <w:div w:id="991449012">
      <w:bodyDiv w:val="1"/>
      <w:marLeft w:val="0"/>
      <w:marRight w:val="0"/>
      <w:marTop w:val="0"/>
      <w:marBottom w:val="0"/>
      <w:divBdr>
        <w:top w:val="none" w:sz="0" w:space="0" w:color="auto"/>
        <w:left w:val="none" w:sz="0" w:space="0" w:color="auto"/>
        <w:bottom w:val="none" w:sz="0" w:space="0" w:color="auto"/>
        <w:right w:val="none" w:sz="0" w:space="0" w:color="auto"/>
      </w:divBdr>
    </w:div>
    <w:div w:id="1027558627">
      <w:bodyDiv w:val="1"/>
      <w:marLeft w:val="0"/>
      <w:marRight w:val="0"/>
      <w:marTop w:val="0"/>
      <w:marBottom w:val="0"/>
      <w:divBdr>
        <w:top w:val="none" w:sz="0" w:space="0" w:color="auto"/>
        <w:left w:val="none" w:sz="0" w:space="0" w:color="auto"/>
        <w:bottom w:val="none" w:sz="0" w:space="0" w:color="auto"/>
        <w:right w:val="none" w:sz="0" w:space="0" w:color="auto"/>
      </w:divBdr>
    </w:div>
    <w:div w:id="1028675169">
      <w:bodyDiv w:val="1"/>
      <w:marLeft w:val="0"/>
      <w:marRight w:val="0"/>
      <w:marTop w:val="0"/>
      <w:marBottom w:val="0"/>
      <w:divBdr>
        <w:top w:val="none" w:sz="0" w:space="0" w:color="auto"/>
        <w:left w:val="none" w:sz="0" w:space="0" w:color="auto"/>
        <w:bottom w:val="none" w:sz="0" w:space="0" w:color="auto"/>
        <w:right w:val="none" w:sz="0" w:space="0" w:color="auto"/>
      </w:divBdr>
    </w:div>
    <w:div w:id="1036274856">
      <w:bodyDiv w:val="1"/>
      <w:marLeft w:val="0"/>
      <w:marRight w:val="0"/>
      <w:marTop w:val="0"/>
      <w:marBottom w:val="0"/>
      <w:divBdr>
        <w:top w:val="none" w:sz="0" w:space="0" w:color="auto"/>
        <w:left w:val="none" w:sz="0" w:space="0" w:color="auto"/>
        <w:bottom w:val="none" w:sz="0" w:space="0" w:color="auto"/>
        <w:right w:val="none" w:sz="0" w:space="0" w:color="auto"/>
      </w:divBdr>
    </w:div>
    <w:div w:id="1083064515">
      <w:bodyDiv w:val="1"/>
      <w:marLeft w:val="0"/>
      <w:marRight w:val="0"/>
      <w:marTop w:val="0"/>
      <w:marBottom w:val="0"/>
      <w:divBdr>
        <w:top w:val="none" w:sz="0" w:space="0" w:color="auto"/>
        <w:left w:val="none" w:sz="0" w:space="0" w:color="auto"/>
        <w:bottom w:val="none" w:sz="0" w:space="0" w:color="auto"/>
        <w:right w:val="none" w:sz="0" w:space="0" w:color="auto"/>
      </w:divBdr>
    </w:div>
    <w:div w:id="1084497865">
      <w:bodyDiv w:val="1"/>
      <w:marLeft w:val="0"/>
      <w:marRight w:val="0"/>
      <w:marTop w:val="0"/>
      <w:marBottom w:val="0"/>
      <w:divBdr>
        <w:top w:val="none" w:sz="0" w:space="0" w:color="auto"/>
        <w:left w:val="none" w:sz="0" w:space="0" w:color="auto"/>
        <w:bottom w:val="none" w:sz="0" w:space="0" w:color="auto"/>
        <w:right w:val="none" w:sz="0" w:space="0" w:color="auto"/>
      </w:divBdr>
    </w:div>
    <w:div w:id="108692017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5515696">
      <w:bodyDiv w:val="1"/>
      <w:marLeft w:val="0"/>
      <w:marRight w:val="0"/>
      <w:marTop w:val="0"/>
      <w:marBottom w:val="0"/>
      <w:divBdr>
        <w:top w:val="none" w:sz="0" w:space="0" w:color="auto"/>
        <w:left w:val="none" w:sz="0" w:space="0" w:color="auto"/>
        <w:bottom w:val="none" w:sz="0" w:space="0" w:color="auto"/>
        <w:right w:val="none" w:sz="0" w:space="0" w:color="auto"/>
      </w:divBdr>
    </w:div>
    <w:div w:id="1133913457">
      <w:bodyDiv w:val="1"/>
      <w:marLeft w:val="0"/>
      <w:marRight w:val="0"/>
      <w:marTop w:val="0"/>
      <w:marBottom w:val="0"/>
      <w:divBdr>
        <w:top w:val="none" w:sz="0" w:space="0" w:color="auto"/>
        <w:left w:val="none" w:sz="0" w:space="0" w:color="auto"/>
        <w:bottom w:val="none" w:sz="0" w:space="0" w:color="auto"/>
        <w:right w:val="none" w:sz="0" w:space="0" w:color="auto"/>
      </w:divBdr>
    </w:div>
    <w:div w:id="1136533136">
      <w:bodyDiv w:val="1"/>
      <w:marLeft w:val="0"/>
      <w:marRight w:val="0"/>
      <w:marTop w:val="0"/>
      <w:marBottom w:val="0"/>
      <w:divBdr>
        <w:top w:val="none" w:sz="0" w:space="0" w:color="auto"/>
        <w:left w:val="none" w:sz="0" w:space="0" w:color="auto"/>
        <w:bottom w:val="none" w:sz="0" w:space="0" w:color="auto"/>
        <w:right w:val="none" w:sz="0" w:space="0" w:color="auto"/>
      </w:divBdr>
    </w:div>
    <w:div w:id="1141926631">
      <w:bodyDiv w:val="1"/>
      <w:marLeft w:val="0"/>
      <w:marRight w:val="0"/>
      <w:marTop w:val="0"/>
      <w:marBottom w:val="0"/>
      <w:divBdr>
        <w:top w:val="none" w:sz="0" w:space="0" w:color="auto"/>
        <w:left w:val="none" w:sz="0" w:space="0" w:color="auto"/>
        <w:bottom w:val="none" w:sz="0" w:space="0" w:color="auto"/>
        <w:right w:val="none" w:sz="0" w:space="0" w:color="auto"/>
      </w:divBdr>
    </w:div>
    <w:div w:id="1197112107">
      <w:bodyDiv w:val="1"/>
      <w:marLeft w:val="0"/>
      <w:marRight w:val="0"/>
      <w:marTop w:val="0"/>
      <w:marBottom w:val="0"/>
      <w:divBdr>
        <w:top w:val="none" w:sz="0" w:space="0" w:color="auto"/>
        <w:left w:val="none" w:sz="0" w:space="0" w:color="auto"/>
        <w:bottom w:val="none" w:sz="0" w:space="0" w:color="auto"/>
        <w:right w:val="none" w:sz="0" w:space="0" w:color="auto"/>
      </w:divBdr>
    </w:div>
    <w:div w:id="1213229552">
      <w:bodyDiv w:val="1"/>
      <w:marLeft w:val="0"/>
      <w:marRight w:val="0"/>
      <w:marTop w:val="0"/>
      <w:marBottom w:val="0"/>
      <w:divBdr>
        <w:top w:val="none" w:sz="0" w:space="0" w:color="auto"/>
        <w:left w:val="none" w:sz="0" w:space="0" w:color="auto"/>
        <w:bottom w:val="none" w:sz="0" w:space="0" w:color="auto"/>
        <w:right w:val="none" w:sz="0" w:space="0" w:color="auto"/>
      </w:divBdr>
    </w:div>
    <w:div w:id="1231040617">
      <w:bodyDiv w:val="1"/>
      <w:marLeft w:val="0"/>
      <w:marRight w:val="0"/>
      <w:marTop w:val="0"/>
      <w:marBottom w:val="0"/>
      <w:divBdr>
        <w:top w:val="none" w:sz="0" w:space="0" w:color="auto"/>
        <w:left w:val="none" w:sz="0" w:space="0" w:color="auto"/>
        <w:bottom w:val="none" w:sz="0" w:space="0" w:color="auto"/>
        <w:right w:val="none" w:sz="0" w:space="0" w:color="auto"/>
      </w:divBdr>
    </w:div>
    <w:div w:id="1251353668">
      <w:bodyDiv w:val="1"/>
      <w:marLeft w:val="0"/>
      <w:marRight w:val="0"/>
      <w:marTop w:val="0"/>
      <w:marBottom w:val="0"/>
      <w:divBdr>
        <w:top w:val="none" w:sz="0" w:space="0" w:color="auto"/>
        <w:left w:val="none" w:sz="0" w:space="0" w:color="auto"/>
        <w:bottom w:val="none" w:sz="0" w:space="0" w:color="auto"/>
        <w:right w:val="none" w:sz="0" w:space="0" w:color="auto"/>
      </w:divBdr>
    </w:div>
    <w:div w:id="1316955052">
      <w:bodyDiv w:val="1"/>
      <w:marLeft w:val="0"/>
      <w:marRight w:val="0"/>
      <w:marTop w:val="0"/>
      <w:marBottom w:val="0"/>
      <w:divBdr>
        <w:top w:val="none" w:sz="0" w:space="0" w:color="auto"/>
        <w:left w:val="none" w:sz="0" w:space="0" w:color="auto"/>
        <w:bottom w:val="none" w:sz="0" w:space="0" w:color="auto"/>
        <w:right w:val="none" w:sz="0" w:space="0" w:color="auto"/>
      </w:divBdr>
    </w:div>
    <w:div w:id="1328241952">
      <w:bodyDiv w:val="1"/>
      <w:marLeft w:val="0"/>
      <w:marRight w:val="0"/>
      <w:marTop w:val="0"/>
      <w:marBottom w:val="0"/>
      <w:divBdr>
        <w:top w:val="none" w:sz="0" w:space="0" w:color="auto"/>
        <w:left w:val="none" w:sz="0" w:space="0" w:color="auto"/>
        <w:bottom w:val="none" w:sz="0" w:space="0" w:color="auto"/>
        <w:right w:val="none" w:sz="0" w:space="0" w:color="auto"/>
      </w:divBdr>
    </w:div>
    <w:div w:id="1346204647">
      <w:bodyDiv w:val="1"/>
      <w:marLeft w:val="0"/>
      <w:marRight w:val="0"/>
      <w:marTop w:val="0"/>
      <w:marBottom w:val="0"/>
      <w:divBdr>
        <w:top w:val="none" w:sz="0" w:space="0" w:color="auto"/>
        <w:left w:val="none" w:sz="0" w:space="0" w:color="auto"/>
        <w:bottom w:val="none" w:sz="0" w:space="0" w:color="auto"/>
        <w:right w:val="none" w:sz="0" w:space="0" w:color="auto"/>
      </w:divBdr>
      <w:divsChild>
        <w:div w:id="615136205">
          <w:marLeft w:val="0"/>
          <w:marRight w:val="0"/>
          <w:marTop w:val="0"/>
          <w:marBottom w:val="0"/>
          <w:divBdr>
            <w:top w:val="none" w:sz="0" w:space="0" w:color="auto"/>
            <w:left w:val="none" w:sz="0" w:space="0" w:color="auto"/>
            <w:bottom w:val="none" w:sz="0" w:space="0" w:color="auto"/>
            <w:right w:val="none" w:sz="0" w:space="0" w:color="auto"/>
          </w:divBdr>
        </w:div>
        <w:div w:id="788813804">
          <w:marLeft w:val="0"/>
          <w:marRight w:val="0"/>
          <w:marTop w:val="0"/>
          <w:marBottom w:val="0"/>
          <w:divBdr>
            <w:top w:val="none" w:sz="0" w:space="0" w:color="auto"/>
            <w:left w:val="none" w:sz="0" w:space="0" w:color="auto"/>
            <w:bottom w:val="none" w:sz="0" w:space="0" w:color="auto"/>
            <w:right w:val="none" w:sz="0" w:space="0" w:color="auto"/>
          </w:divBdr>
        </w:div>
        <w:div w:id="1416824473">
          <w:marLeft w:val="0"/>
          <w:marRight w:val="0"/>
          <w:marTop w:val="0"/>
          <w:marBottom w:val="0"/>
          <w:divBdr>
            <w:top w:val="none" w:sz="0" w:space="0" w:color="auto"/>
            <w:left w:val="none" w:sz="0" w:space="0" w:color="auto"/>
            <w:bottom w:val="none" w:sz="0" w:space="0" w:color="auto"/>
            <w:right w:val="none" w:sz="0" w:space="0" w:color="auto"/>
          </w:divBdr>
        </w:div>
      </w:divsChild>
    </w:div>
    <w:div w:id="1346205510">
      <w:bodyDiv w:val="1"/>
      <w:marLeft w:val="0"/>
      <w:marRight w:val="0"/>
      <w:marTop w:val="0"/>
      <w:marBottom w:val="0"/>
      <w:divBdr>
        <w:top w:val="none" w:sz="0" w:space="0" w:color="auto"/>
        <w:left w:val="none" w:sz="0" w:space="0" w:color="auto"/>
        <w:bottom w:val="none" w:sz="0" w:space="0" w:color="auto"/>
        <w:right w:val="none" w:sz="0" w:space="0" w:color="auto"/>
      </w:divBdr>
    </w:div>
    <w:div w:id="1349452341">
      <w:bodyDiv w:val="1"/>
      <w:marLeft w:val="0"/>
      <w:marRight w:val="0"/>
      <w:marTop w:val="0"/>
      <w:marBottom w:val="0"/>
      <w:divBdr>
        <w:top w:val="none" w:sz="0" w:space="0" w:color="auto"/>
        <w:left w:val="none" w:sz="0" w:space="0" w:color="auto"/>
        <w:bottom w:val="none" w:sz="0" w:space="0" w:color="auto"/>
        <w:right w:val="none" w:sz="0" w:space="0" w:color="auto"/>
      </w:divBdr>
    </w:div>
    <w:div w:id="1353217961">
      <w:bodyDiv w:val="1"/>
      <w:marLeft w:val="0"/>
      <w:marRight w:val="0"/>
      <w:marTop w:val="0"/>
      <w:marBottom w:val="0"/>
      <w:divBdr>
        <w:top w:val="none" w:sz="0" w:space="0" w:color="auto"/>
        <w:left w:val="none" w:sz="0" w:space="0" w:color="auto"/>
        <w:bottom w:val="none" w:sz="0" w:space="0" w:color="auto"/>
        <w:right w:val="none" w:sz="0" w:space="0" w:color="auto"/>
      </w:divBdr>
    </w:div>
    <w:div w:id="1368916689">
      <w:bodyDiv w:val="1"/>
      <w:marLeft w:val="0"/>
      <w:marRight w:val="0"/>
      <w:marTop w:val="0"/>
      <w:marBottom w:val="0"/>
      <w:divBdr>
        <w:top w:val="none" w:sz="0" w:space="0" w:color="auto"/>
        <w:left w:val="none" w:sz="0" w:space="0" w:color="auto"/>
        <w:bottom w:val="none" w:sz="0" w:space="0" w:color="auto"/>
        <w:right w:val="none" w:sz="0" w:space="0" w:color="auto"/>
      </w:divBdr>
    </w:div>
    <w:div w:id="1400439107">
      <w:bodyDiv w:val="1"/>
      <w:marLeft w:val="0"/>
      <w:marRight w:val="0"/>
      <w:marTop w:val="0"/>
      <w:marBottom w:val="0"/>
      <w:divBdr>
        <w:top w:val="none" w:sz="0" w:space="0" w:color="auto"/>
        <w:left w:val="none" w:sz="0" w:space="0" w:color="auto"/>
        <w:bottom w:val="none" w:sz="0" w:space="0" w:color="auto"/>
        <w:right w:val="none" w:sz="0" w:space="0" w:color="auto"/>
      </w:divBdr>
    </w:div>
    <w:div w:id="1421415381">
      <w:bodyDiv w:val="1"/>
      <w:marLeft w:val="0"/>
      <w:marRight w:val="0"/>
      <w:marTop w:val="0"/>
      <w:marBottom w:val="0"/>
      <w:divBdr>
        <w:top w:val="none" w:sz="0" w:space="0" w:color="auto"/>
        <w:left w:val="none" w:sz="0" w:space="0" w:color="auto"/>
        <w:bottom w:val="none" w:sz="0" w:space="0" w:color="auto"/>
        <w:right w:val="none" w:sz="0" w:space="0" w:color="auto"/>
      </w:divBdr>
    </w:div>
    <w:div w:id="1443456221">
      <w:bodyDiv w:val="1"/>
      <w:marLeft w:val="0"/>
      <w:marRight w:val="0"/>
      <w:marTop w:val="0"/>
      <w:marBottom w:val="0"/>
      <w:divBdr>
        <w:top w:val="none" w:sz="0" w:space="0" w:color="auto"/>
        <w:left w:val="none" w:sz="0" w:space="0" w:color="auto"/>
        <w:bottom w:val="none" w:sz="0" w:space="0" w:color="auto"/>
        <w:right w:val="none" w:sz="0" w:space="0" w:color="auto"/>
      </w:divBdr>
    </w:div>
    <w:div w:id="1444808900">
      <w:bodyDiv w:val="1"/>
      <w:marLeft w:val="0"/>
      <w:marRight w:val="0"/>
      <w:marTop w:val="0"/>
      <w:marBottom w:val="0"/>
      <w:divBdr>
        <w:top w:val="none" w:sz="0" w:space="0" w:color="auto"/>
        <w:left w:val="none" w:sz="0" w:space="0" w:color="auto"/>
        <w:bottom w:val="none" w:sz="0" w:space="0" w:color="auto"/>
        <w:right w:val="none" w:sz="0" w:space="0" w:color="auto"/>
      </w:divBdr>
    </w:div>
    <w:div w:id="1448430519">
      <w:bodyDiv w:val="1"/>
      <w:marLeft w:val="0"/>
      <w:marRight w:val="0"/>
      <w:marTop w:val="0"/>
      <w:marBottom w:val="0"/>
      <w:divBdr>
        <w:top w:val="none" w:sz="0" w:space="0" w:color="auto"/>
        <w:left w:val="none" w:sz="0" w:space="0" w:color="auto"/>
        <w:bottom w:val="none" w:sz="0" w:space="0" w:color="auto"/>
        <w:right w:val="none" w:sz="0" w:space="0" w:color="auto"/>
      </w:divBdr>
    </w:div>
    <w:div w:id="1483307085">
      <w:bodyDiv w:val="1"/>
      <w:marLeft w:val="0"/>
      <w:marRight w:val="0"/>
      <w:marTop w:val="0"/>
      <w:marBottom w:val="0"/>
      <w:divBdr>
        <w:top w:val="none" w:sz="0" w:space="0" w:color="auto"/>
        <w:left w:val="none" w:sz="0" w:space="0" w:color="auto"/>
        <w:bottom w:val="none" w:sz="0" w:space="0" w:color="auto"/>
        <w:right w:val="none" w:sz="0" w:space="0" w:color="auto"/>
      </w:divBdr>
    </w:div>
    <w:div w:id="1484664869">
      <w:bodyDiv w:val="1"/>
      <w:marLeft w:val="0"/>
      <w:marRight w:val="0"/>
      <w:marTop w:val="0"/>
      <w:marBottom w:val="0"/>
      <w:divBdr>
        <w:top w:val="none" w:sz="0" w:space="0" w:color="auto"/>
        <w:left w:val="none" w:sz="0" w:space="0" w:color="auto"/>
        <w:bottom w:val="none" w:sz="0" w:space="0" w:color="auto"/>
        <w:right w:val="none" w:sz="0" w:space="0" w:color="auto"/>
      </w:divBdr>
    </w:div>
    <w:div w:id="1498426704">
      <w:bodyDiv w:val="1"/>
      <w:marLeft w:val="0"/>
      <w:marRight w:val="0"/>
      <w:marTop w:val="0"/>
      <w:marBottom w:val="0"/>
      <w:divBdr>
        <w:top w:val="none" w:sz="0" w:space="0" w:color="auto"/>
        <w:left w:val="none" w:sz="0" w:space="0" w:color="auto"/>
        <w:bottom w:val="none" w:sz="0" w:space="0" w:color="auto"/>
        <w:right w:val="none" w:sz="0" w:space="0" w:color="auto"/>
      </w:divBdr>
    </w:div>
    <w:div w:id="1540238872">
      <w:bodyDiv w:val="1"/>
      <w:marLeft w:val="0"/>
      <w:marRight w:val="0"/>
      <w:marTop w:val="0"/>
      <w:marBottom w:val="0"/>
      <w:divBdr>
        <w:top w:val="none" w:sz="0" w:space="0" w:color="auto"/>
        <w:left w:val="none" w:sz="0" w:space="0" w:color="auto"/>
        <w:bottom w:val="none" w:sz="0" w:space="0" w:color="auto"/>
        <w:right w:val="none" w:sz="0" w:space="0" w:color="auto"/>
      </w:divBdr>
    </w:div>
    <w:div w:id="1580288373">
      <w:bodyDiv w:val="1"/>
      <w:marLeft w:val="0"/>
      <w:marRight w:val="0"/>
      <w:marTop w:val="0"/>
      <w:marBottom w:val="0"/>
      <w:divBdr>
        <w:top w:val="none" w:sz="0" w:space="0" w:color="auto"/>
        <w:left w:val="none" w:sz="0" w:space="0" w:color="auto"/>
        <w:bottom w:val="none" w:sz="0" w:space="0" w:color="auto"/>
        <w:right w:val="none" w:sz="0" w:space="0" w:color="auto"/>
      </w:divBdr>
    </w:div>
    <w:div w:id="1584412119">
      <w:bodyDiv w:val="1"/>
      <w:marLeft w:val="0"/>
      <w:marRight w:val="0"/>
      <w:marTop w:val="0"/>
      <w:marBottom w:val="0"/>
      <w:divBdr>
        <w:top w:val="none" w:sz="0" w:space="0" w:color="auto"/>
        <w:left w:val="none" w:sz="0" w:space="0" w:color="auto"/>
        <w:bottom w:val="none" w:sz="0" w:space="0" w:color="auto"/>
        <w:right w:val="none" w:sz="0" w:space="0" w:color="auto"/>
      </w:divBdr>
    </w:div>
    <w:div w:id="1604726422">
      <w:bodyDiv w:val="1"/>
      <w:marLeft w:val="0"/>
      <w:marRight w:val="0"/>
      <w:marTop w:val="0"/>
      <w:marBottom w:val="0"/>
      <w:divBdr>
        <w:top w:val="none" w:sz="0" w:space="0" w:color="auto"/>
        <w:left w:val="none" w:sz="0" w:space="0" w:color="auto"/>
        <w:bottom w:val="none" w:sz="0" w:space="0" w:color="auto"/>
        <w:right w:val="none" w:sz="0" w:space="0" w:color="auto"/>
      </w:divBdr>
    </w:div>
    <w:div w:id="1612544824">
      <w:bodyDiv w:val="1"/>
      <w:marLeft w:val="0"/>
      <w:marRight w:val="0"/>
      <w:marTop w:val="0"/>
      <w:marBottom w:val="0"/>
      <w:divBdr>
        <w:top w:val="none" w:sz="0" w:space="0" w:color="auto"/>
        <w:left w:val="none" w:sz="0" w:space="0" w:color="auto"/>
        <w:bottom w:val="none" w:sz="0" w:space="0" w:color="auto"/>
        <w:right w:val="none" w:sz="0" w:space="0" w:color="auto"/>
      </w:divBdr>
    </w:div>
    <w:div w:id="1613706316">
      <w:bodyDiv w:val="1"/>
      <w:marLeft w:val="0"/>
      <w:marRight w:val="0"/>
      <w:marTop w:val="0"/>
      <w:marBottom w:val="0"/>
      <w:divBdr>
        <w:top w:val="none" w:sz="0" w:space="0" w:color="auto"/>
        <w:left w:val="none" w:sz="0" w:space="0" w:color="auto"/>
        <w:bottom w:val="none" w:sz="0" w:space="0" w:color="auto"/>
        <w:right w:val="none" w:sz="0" w:space="0" w:color="auto"/>
      </w:divBdr>
    </w:div>
    <w:div w:id="1622833278">
      <w:bodyDiv w:val="1"/>
      <w:marLeft w:val="0"/>
      <w:marRight w:val="0"/>
      <w:marTop w:val="0"/>
      <w:marBottom w:val="0"/>
      <w:divBdr>
        <w:top w:val="none" w:sz="0" w:space="0" w:color="auto"/>
        <w:left w:val="none" w:sz="0" w:space="0" w:color="auto"/>
        <w:bottom w:val="none" w:sz="0" w:space="0" w:color="auto"/>
        <w:right w:val="none" w:sz="0" w:space="0" w:color="auto"/>
      </w:divBdr>
    </w:div>
    <w:div w:id="1658418300">
      <w:bodyDiv w:val="1"/>
      <w:marLeft w:val="0"/>
      <w:marRight w:val="0"/>
      <w:marTop w:val="0"/>
      <w:marBottom w:val="0"/>
      <w:divBdr>
        <w:top w:val="none" w:sz="0" w:space="0" w:color="auto"/>
        <w:left w:val="none" w:sz="0" w:space="0" w:color="auto"/>
        <w:bottom w:val="none" w:sz="0" w:space="0" w:color="auto"/>
        <w:right w:val="none" w:sz="0" w:space="0" w:color="auto"/>
      </w:divBdr>
    </w:div>
    <w:div w:id="1696614201">
      <w:bodyDiv w:val="1"/>
      <w:marLeft w:val="0"/>
      <w:marRight w:val="0"/>
      <w:marTop w:val="0"/>
      <w:marBottom w:val="0"/>
      <w:divBdr>
        <w:top w:val="none" w:sz="0" w:space="0" w:color="auto"/>
        <w:left w:val="none" w:sz="0" w:space="0" w:color="auto"/>
        <w:bottom w:val="none" w:sz="0" w:space="0" w:color="auto"/>
        <w:right w:val="none" w:sz="0" w:space="0" w:color="auto"/>
      </w:divBdr>
    </w:div>
    <w:div w:id="1746415728">
      <w:bodyDiv w:val="1"/>
      <w:marLeft w:val="0"/>
      <w:marRight w:val="0"/>
      <w:marTop w:val="0"/>
      <w:marBottom w:val="0"/>
      <w:divBdr>
        <w:top w:val="none" w:sz="0" w:space="0" w:color="auto"/>
        <w:left w:val="none" w:sz="0" w:space="0" w:color="auto"/>
        <w:bottom w:val="none" w:sz="0" w:space="0" w:color="auto"/>
        <w:right w:val="none" w:sz="0" w:space="0" w:color="auto"/>
      </w:divBdr>
    </w:div>
    <w:div w:id="1776709694">
      <w:bodyDiv w:val="1"/>
      <w:marLeft w:val="0"/>
      <w:marRight w:val="0"/>
      <w:marTop w:val="0"/>
      <w:marBottom w:val="0"/>
      <w:divBdr>
        <w:top w:val="none" w:sz="0" w:space="0" w:color="auto"/>
        <w:left w:val="none" w:sz="0" w:space="0" w:color="auto"/>
        <w:bottom w:val="none" w:sz="0" w:space="0" w:color="auto"/>
        <w:right w:val="none" w:sz="0" w:space="0" w:color="auto"/>
      </w:divBdr>
    </w:div>
    <w:div w:id="1823764845">
      <w:bodyDiv w:val="1"/>
      <w:marLeft w:val="0"/>
      <w:marRight w:val="0"/>
      <w:marTop w:val="0"/>
      <w:marBottom w:val="0"/>
      <w:divBdr>
        <w:top w:val="none" w:sz="0" w:space="0" w:color="auto"/>
        <w:left w:val="none" w:sz="0" w:space="0" w:color="auto"/>
        <w:bottom w:val="none" w:sz="0" w:space="0" w:color="auto"/>
        <w:right w:val="none" w:sz="0" w:space="0" w:color="auto"/>
      </w:divBdr>
    </w:div>
    <w:div w:id="1826631308">
      <w:bodyDiv w:val="1"/>
      <w:marLeft w:val="0"/>
      <w:marRight w:val="0"/>
      <w:marTop w:val="0"/>
      <w:marBottom w:val="0"/>
      <w:divBdr>
        <w:top w:val="none" w:sz="0" w:space="0" w:color="auto"/>
        <w:left w:val="none" w:sz="0" w:space="0" w:color="auto"/>
        <w:bottom w:val="none" w:sz="0" w:space="0" w:color="auto"/>
        <w:right w:val="none" w:sz="0" w:space="0" w:color="auto"/>
      </w:divBdr>
    </w:div>
    <w:div w:id="1828981988">
      <w:bodyDiv w:val="1"/>
      <w:marLeft w:val="0"/>
      <w:marRight w:val="0"/>
      <w:marTop w:val="0"/>
      <w:marBottom w:val="0"/>
      <w:divBdr>
        <w:top w:val="none" w:sz="0" w:space="0" w:color="auto"/>
        <w:left w:val="none" w:sz="0" w:space="0" w:color="auto"/>
        <w:bottom w:val="none" w:sz="0" w:space="0" w:color="auto"/>
        <w:right w:val="none" w:sz="0" w:space="0" w:color="auto"/>
      </w:divBdr>
    </w:div>
    <w:div w:id="1843933133">
      <w:bodyDiv w:val="1"/>
      <w:marLeft w:val="0"/>
      <w:marRight w:val="0"/>
      <w:marTop w:val="0"/>
      <w:marBottom w:val="0"/>
      <w:divBdr>
        <w:top w:val="none" w:sz="0" w:space="0" w:color="auto"/>
        <w:left w:val="none" w:sz="0" w:space="0" w:color="auto"/>
        <w:bottom w:val="none" w:sz="0" w:space="0" w:color="auto"/>
        <w:right w:val="none" w:sz="0" w:space="0" w:color="auto"/>
      </w:divBdr>
    </w:div>
    <w:div w:id="1846246472">
      <w:bodyDiv w:val="1"/>
      <w:marLeft w:val="0"/>
      <w:marRight w:val="0"/>
      <w:marTop w:val="0"/>
      <w:marBottom w:val="0"/>
      <w:divBdr>
        <w:top w:val="none" w:sz="0" w:space="0" w:color="auto"/>
        <w:left w:val="none" w:sz="0" w:space="0" w:color="auto"/>
        <w:bottom w:val="none" w:sz="0" w:space="0" w:color="auto"/>
        <w:right w:val="none" w:sz="0" w:space="0" w:color="auto"/>
      </w:divBdr>
    </w:div>
    <w:div w:id="1854606206">
      <w:bodyDiv w:val="1"/>
      <w:marLeft w:val="0"/>
      <w:marRight w:val="0"/>
      <w:marTop w:val="0"/>
      <w:marBottom w:val="0"/>
      <w:divBdr>
        <w:top w:val="none" w:sz="0" w:space="0" w:color="auto"/>
        <w:left w:val="none" w:sz="0" w:space="0" w:color="auto"/>
        <w:bottom w:val="none" w:sz="0" w:space="0" w:color="auto"/>
        <w:right w:val="none" w:sz="0" w:space="0" w:color="auto"/>
      </w:divBdr>
    </w:div>
    <w:div w:id="1866213144">
      <w:bodyDiv w:val="1"/>
      <w:marLeft w:val="0"/>
      <w:marRight w:val="0"/>
      <w:marTop w:val="0"/>
      <w:marBottom w:val="0"/>
      <w:divBdr>
        <w:top w:val="none" w:sz="0" w:space="0" w:color="auto"/>
        <w:left w:val="none" w:sz="0" w:space="0" w:color="auto"/>
        <w:bottom w:val="none" w:sz="0" w:space="0" w:color="auto"/>
        <w:right w:val="none" w:sz="0" w:space="0" w:color="auto"/>
      </w:divBdr>
    </w:div>
    <w:div w:id="1882554362">
      <w:bodyDiv w:val="1"/>
      <w:marLeft w:val="0"/>
      <w:marRight w:val="0"/>
      <w:marTop w:val="0"/>
      <w:marBottom w:val="0"/>
      <w:divBdr>
        <w:top w:val="none" w:sz="0" w:space="0" w:color="auto"/>
        <w:left w:val="none" w:sz="0" w:space="0" w:color="auto"/>
        <w:bottom w:val="none" w:sz="0" w:space="0" w:color="auto"/>
        <w:right w:val="none" w:sz="0" w:space="0" w:color="auto"/>
      </w:divBdr>
    </w:div>
    <w:div w:id="1929120253">
      <w:bodyDiv w:val="1"/>
      <w:marLeft w:val="0"/>
      <w:marRight w:val="0"/>
      <w:marTop w:val="0"/>
      <w:marBottom w:val="0"/>
      <w:divBdr>
        <w:top w:val="none" w:sz="0" w:space="0" w:color="auto"/>
        <w:left w:val="none" w:sz="0" w:space="0" w:color="auto"/>
        <w:bottom w:val="none" w:sz="0" w:space="0" w:color="auto"/>
        <w:right w:val="none" w:sz="0" w:space="0" w:color="auto"/>
      </w:divBdr>
    </w:div>
    <w:div w:id="1938632882">
      <w:bodyDiv w:val="1"/>
      <w:marLeft w:val="0"/>
      <w:marRight w:val="0"/>
      <w:marTop w:val="0"/>
      <w:marBottom w:val="0"/>
      <w:divBdr>
        <w:top w:val="none" w:sz="0" w:space="0" w:color="auto"/>
        <w:left w:val="none" w:sz="0" w:space="0" w:color="auto"/>
        <w:bottom w:val="none" w:sz="0" w:space="0" w:color="auto"/>
        <w:right w:val="none" w:sz="0" w:space="0" w:color="auto"/>
      </w:divBdr>
    </w:div>
    <w:div w:id="1970477435">
      <w:bodyDiv w:val="1"/>
      <w:marLeft w:val="0"/>
      <w:marRight w:val="0"/>
      <w:marTop w:val="0"/>
      <w:marBottom w:val="0"/>
      <w:divBdr>
        <w:top w:val="none" w:sz="0" w:space="0" w:color="auto"/>
        <w:left w:val="none" w:sz="0" w:space="0" w:color="auto"/>
        <w:bottom w:val="none" w:sz="0" w:space="0" w:color="auto"/>
        <w:right w:val="none" w:sz="0" w:space="0" w:color="auto"/>
      </w:divBdr>
    </w:div>
    <w:div w:id="1982687226">
      <w:bodyDiv w:val="1"/>
      <w:marLeft w:val="0"/>
      <w:marRight w:val="0"/>
      <w:marTop w:val="0"/>
      <w:marBottom w:val="0"/>
      <w:divBdr>
        <w:top w:val="none" w:sz="0" w:space="0" w:color="auto"/>
        <w:left w:val="none" w:sz="0" w:space="0" w:color="auto"/>
        <w:bottom w:val="none" w:sz="0" w:space="0" w:color="auto"/>
        <w:right w:val="none" w:sz="0" w:space="0" w:color="auto"/>
      </w:divBdr>
    </w:div>
    <w:div w:id="2002271738">
      <w:bodyDiv w:val="1"/>
      <w:marLeft w:val="0"/>
      <w:marRight w:val="0"/>
      <w:marTop w:val="0"/>
      <w:marBottom w:val="0"/>
      <w:divBdr>
        <w:top w:val="none" w:sz="0" w:space="0" w:color="auto"/>
        <w:left w:val="none" w:sz="0" w:space="0" w:color="auto"/>
        <w:bottom w:val="none" w:sz="0" w:space="0" w:color="auto"/>
        <w:right w:val="none" w:sz="0" w:space="0" w:color="auto"/>
      </w:divBdr>
    </w:div>
    <w:div w:id="2007048790">
      <w:bodyDiv w:val="1"/>
      <w:marLeft w:val="0"/>
      <w:marRight w:val="0"/>
      <w:marTop w:val="0"/>
      <w:marBottom w:val="0"/>
      <w:divBdr>
        <w:top w:val="none" w:sz="0" w:space="0" w:color="auto"/>
        <w:left w:val="none" w:sz="0" w:space="0" w:color="auto"/>
        <w:bottom w:val="none" w:sz="0" w:space="0" w:color="auto"/>
        <w:right w:val="none" w:sz="0" w:space="0" w:color="auto"/>
      </w:divBdr>
    </w:div>
    <w:div w:id="2025789076">
      <w:bodyDiv w:val="1"/>
      <w:marLeft w:val="0"/>
      <w:marRight w:val="0"/>
      <w:marTop w:val="0"/>
      <w:marBottom w:val="0"/>
      <w:divBdr>
        <w:top w:val="none" w:sz="0" w:space="0" w:color="auto"/>
        <w:left w:val="none" w:sz="0" w:space="0" w:color="auto"/>
        <w:bottom w:val="none" w:sz="0" w:space="0" w:color="auto"/>
        <w:right w:val="none" w:sz="0" w:space="0" w:color="auto"/>
      </w:divBdr>
    </w:div>
    <w:div w:id="2074769990">
      <w:bodyDiv w:val="1"/>
      <w:marLeft w:val="0"/>
      <w:marRight w:val="0"/>
      <w:marTop w:val="0"/>
      <w:marBottom w:val="0"/>
      <w:divBdr>
        <w:top w:val="none" w:sz="0" w:space="0" w:color="auto"/>
        <w:left w:val="none" w:sz="0" w:space="0" w:color="auto"/>
        <w:bottom w:val="none" w:sz="0" w:space="0" w:color="auto"/>
        <w:right w:val="none" w:sz="0" w:space="0" w:color="auto"/>
      </w:divBdr>
    </w:div>
    <w:div w:id="2085636468">
      <w:bodyDiv w:val="1"/>
      <w:marLeft w:val="0"/>
      <w:marRight w:val="0"/>
      <w:marTop w:val="0"/>
      <w:marBottom w:val="0"/>
      <w:divBdr>
        <w:top w:val="none" w:sz="0" w:space="0" w:color="auto"/>
        <w:left w:val="none" w:sz="0" w:space="0" w:color="auto"/>
        <w:bottom w:val="none" w:sz="0" w:space="0" w:color="auto"/>
        <w:right w:val="none" w:sz="0" w:space="0" w:color="auto"/>
      </w:divBdr>
    </w:div>
    <w:div w:id="2113551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ir@cenergyholdings.com" TargetMode="External"/><Relationship Id="rId2" Type="http://schemas.openxmlformats.org/officeDocument/2006/relationships/numbering" Target="numbering.xml"/><Relationship Id="rId16" Type="http://schemas.openxmlformats.org/officeDocument/2006/relationships/hyperlink" Target="http://www.cenergyholdings.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energyholdings.com"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energyholdings.com/investo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FFCF5-0C70-4C2F-AF80-866C6A1BC223}">
  <ds:schemaRefs>
    <ds:schemaRef ds:uri="http://schemas.openxmlformats.org/officeDocument/2006/bibliography"/>
  </ds:schemaRefs>
</ds:datastoreItem>
</file>

<file path=docMetadata/LabelInfo.xml><?xml version="1.0" encoding="utf-8"?>
<clbl:labelList xmlns:clbl="http://schemas.microsoft.com/office/2020/mipLabelMetadata">
  <clbl:label id="{ac16fc13-eed0-45a8-a4cd-092120207ca4}" enabled="0" method="" siteId="{ac16fc13-eed0-45a8-a4cd-092120207ca4}" removed="1"/>
</clbl:labelList>
</file>

<file path=docProps/app.xml><?xml version="1.0" encoding="utf-8"?>
<Properties xmlns="http://schemas.openxmlformats.org/officeDocument/2006/extended-properties" xmlns:vt="http://schemas.openxmlformats.org/officeDocument/2006/docPropsVTypes">
  <Template>Normal</Template>
  <TotalTime>8</TotalTime>
  <Pages>1</Pages>
  <Words>8071</Words>
  <Characters>46006</Characters>
  <Application>Microsoft Office Word</Application>
  <DocSecurity>0</DocSecurity>
  <Lines>383</Lines>
  <Paragraphs>107</Paragraphs>
  <ScaleCrop>false</ScaleCrop>
  <HeadingPairs>
    <vt:vector size="6" baseType="variant">
      <vt:variant>
        <vt:lpstr>Τίτλος</vt:lpstr>
      </vt:variant>
      <vt:variant>
        <vt:i4>1</vt:i4>
      </vt:variant>
      <vt:variant>
        <vt:lpstr>Title</vt:lpstr>
      </vt:variant>
      <vt:variant>
        <vt:i4>1</vt:i4>
      </vt:variant>
      <vt:variant>
        <vt:lpstr>Titre</vt:lpstr>
      </vt:variant>
      <vt:variant>
        <vt:i4>1</vt:i4>
      </vt:variant>
    </vt:vector>
  </HeadingPairs>
  <TitlesOfParts>
    <vt:vector size="3" baseType="lpstr">
      <vt:lpstr>CENERGY Press Release for Financial Results</vt:lpstr>
      <vt:lpstr>CENERGY Press Release for Financial Results</vt:lpstr>
      <vt:lpstr>FINANCIAL RESULTS FOR THE FISCAL YEAR 2013</vt:lpstr>
    </vt:vector>
  </TitlesOfParts>
  <Company>Microsoft</Company>
  <LinksUpToDate>false</LinksUpToDate>
  <CharactersWithSpaces>53970</CharactersWithSpaces>
  <SharedDoc>false</SharedDoc>
  <HLinks>
    <vt:vector size="18" baseType="variant">
      <vt:variant>
        <vt:i4>6750283</vt:i4>
      </vt:variant>
      <vt:variant>
        <vt:i4>6</vt:i4>
      </vt:variant>
      <vt:variant>
        <vt:i4>0</vt:i4>
      </vt:variant>
      <vt:variant>
        <vt:i4>5</vt:i4>
      </vt:variant>
      <vt:variant>
        <vt:lpwstr>mailto:ir@cenergyholdings.com</vt:lpwstr>
      </vt:variant>
      <vt:variant>
        <vt:lpwstr/>
      </vt:variant>
      <vt:variant>
        <vt:i4>3473532</vt:i4>
      </vt:variant>
      <vt:variant>
        <vt:i4>3</vt:i4>
      </vt:variant>
      <vt:variant>
        <vt:i4>0</vt:i4>
      </vt:variant>
      <vt:variant>
        <vt:i4>5</vt:i4>
      </vt:variant>
      <vt:variant>
        <vt:lpwstr>http://www.cenergyholdings.com/</vt:lpwstr>
      </vt:variant>
      <vt:variant>
        <vt:lpwstr/>
      </vt:variant>
      <vt:variant>
        <vt:i4>2031628</vt:i4>
      </vt:variant>
      <vt:variant>
        <vt:i4>0</vt:i4>
      </vt:variant>
      <vt:variant>
        <vt:i4>0</vt:i4>
      </vt:variant>
      <vt:variant>
        <vt:i4>5</vt:i4>
      </vt:variant>
      <vt:variant>
        <vt:lpwstr>http://www.helex.gr/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CENERGY Press Release for Financial Results</dc:title>
  <dc:subject/>
  <dc:creator>AvB</dc:creator>
  <cp:keywords/>
  <cp:lastModifiedBy>Benos, Alexandros</cp:lastModifiedBy>
  <cp:revision>5</cp:revision>
  <cp:lastPrinted>2024-02-28T09:15:00Z</cp:lastPrinted>
  <dcterms:created xsi:type="dcterms:W3CDTF">2024-08-27T07:22:00Z</dcterms:created>
  <dcterms:modified xsi:type="dcterms:W3CDTF">2024-08-27T14:29:00Z</dcterms:modified>
</cp:coreProperties>
</file>