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35709" w14:textId="58B6BE5A" w:rsidR="00434C61" w:rsidRPr="009C0324" w:rsidRDefault="004251A6">
      <w:pPr>
        <w:pStyle w:val="Title"/>
        <w:rPr>
          <w:lang w:val="en-US"/>
        </w:rPr>
      </w:pPr>
      <w:r>
        <w:rPr>
          <w:noProof/>
          <w:color w:val="005199"/>
        </w:rPr>
        <w:drawing>
          <wp:anchor distT="0" distB="0" distL="114300" distR="114300" simplePos="0" relativeHeight="487554048" behindDoc="1" locked="0" layoutInCell="1" allowOverlap="1" wp14:anchorId="75B1733C" wp14:editId="00C9F670">
            <wp:simplePos x="0" y="0"/>
            <wp:positionH relativeFrom="column">
              <wp:posOffset>-558800</wp:posOffset>
            </wp:positionH>
            <wp:positionV relativeFrom="paragraph">
              <wp:posOffset>-673100</wp:posOffset>
            </wp:positionV>
            <wp:extent cx="7559037" cy="10692003"/>
            <wp:effectExtent l="0" t="0" r="4445"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9037" cy="10692003"/>
                    </a:xfrm>
                    <a:prstGeom prst="rect">
                      <a:avLst/>
                    </a:prstGeom>
                  </pic:spPr>
                </pic:pic>
              </a:graphicData>
            </a:graphic>
          </wp:anchor>
        </w:drawing>
      </w:r>
      <w:r w:rsidR="00BD2170" w:rsidRPr="009C0324">
        <w:rPr>
          <w:color w:val="005199"/>
          <w:lang w:val="en-US"/>
        </w:rPr>
        <w:t>FY</w:t>
      </w:r>
      <w:r w:rsidR="00BD2170" w:rsidRPr="009C0324">
        <w:rPr>
          <w:color w:val="77787B"/>
          <w:lang w:val="en-US"/>
        </w:rPr>
        <w:t>’24</w:t>
      </w:r>
    </w:p>
    <w:p w14:paraId="709EFBBD" w14:textId="1A190332" w:rsidR="00434C61" w:rsidRPr="009C0324" w:rsidRDefault="004251A6">
      <w:pPr>
        <w:pStyle w:val="BodyText"/>
        <w:spacing w:before="73"/>
        <w:ind w:left="100"/>
        <w:rPr>
          <w:lang w:val="en-US"/>
        </w:rPr>
      </w:pPr>
      <w:r w:rsidRPr="009C0324">
        <w:rPr>
          <w:color w:val="77787B"/>
          <w:lang w:val="en-US"/>
        </w:rPr>
        <w:t>Financial</w:t>
      </w:r>
      <w:r w:rsidRPr="009C0324">
        <w:rPr>
          <w:color w:val="77787B"/>
          <w:spacing w:val="-2"/>
          <w:lang w:val="en-US"/>
        </w:rPr>
        <w:t xml:space="preserve"> Results</w:t>
      </w:r>
    </w:p>
    <w:p w14:paraId="1E2C6B16" w14:textId="77777777" w:rsidR="00434C61" w:rsidRPr="009C0324" w:rsidRDefault="00434C61">
      <w:pPr>
        <w:pStyle w:val="BodyText"/>
        <w:rPr>
          <w:sz w:val="40"/>
          <w:lang w:val="en-US"/>
        </w:rPr>
      </w:pPr>
    </w:p>
    <w:p w14:paraId="2914F459" w14:textId="77777777" w:rsidR="00434C61" w:rsidRPr="009C0324" w:rsidRDefault="00434C61">
      <w:pPr>
        <w:pStyle w:val="BodyText"/>
        <w:rPr>
          <w:sz w:val="40"/>
          <w:lang w:val="en-US"/>
        </w:rPr>
      </w:pPr>
    </w:p>
    <w:p w14:paraId="23EECD81" w14:textId="310EADD2" w:rsidR="00434C61" w:rsidRPr="009C0324" w:rsidRDefault="00434C61">
      <w:pPr>
        <w:pStyle w:val="BodyText"/>
        <w:rPr>
          <w:sz w:val="40"/>
          <w:lang w:val="en-US"/>
        </w:rPr>
      </w:pPr>
    </w:p>
    <w:p w14:paraId="1B4E992B" w14:textId="77777777" w:rsidR="00434C61" w:rsidRPr="009C0324" w:rsidRDefault="00434C61">
      <w:pPr>
        <w:pStyle w:val="BodyText"/>
        <w:rPr>
          <w:sz w:val="40"/>
          <w:lang w:val="en-US"/>
        </w:rPr>
      </w:pPr>
    </w:p>
    <w:p w14:paraId="3156CF27" w14:textId="77777777" w:rsidR="00434C61" w:rsidRPr="009C0324" w:rsidRDefault="00434C61">
      <w:pPr>
        <w:pStyle w:val="BodyText"/>
        <w:rPr>
          <w:sz w:val="40"/>
          <w:lang w:val="en-US"/>
        </w:rPr>
      </w:pPr>
    </w:p>
    <w:p w14:paraId="6A55DE69" w14:textId="77777777" w:rsidR="00434C61" w:rsidRPr="009C0324" w:rsidRDefault="00434C61">
      <w:pPr>
        <w:pStyle w:val="BodyText"/>
        <w:rPr>
          <w:sz w:val="40"/>
          <w:lang w:val="en-US"/>
        </w:rPr>
      </w:pPr>
    </w:p>
    <w:p w14:paraId="7B425AC7" w14:textId="77777777" w:rsidR="00434C61" w:rsidRPr="009C0324" w:rsidRDefault="00434C61">
      <w:pPr>
        <w:pStyle w:val="BodyText"/>
        <w:rPr>
          <w:sz w:val="40"/>
          <w:lang w:val="en-US"/>
        </w:rPr>
      </w:pPr>
    </w:p>
    <w:p w14:paraId="3BA16F11" w14:textId="77777777" w:rsidR="00434C61" w:rsidRPr="009C0324" w:rsidRDefault="00434C61">
      <w:pPr>
        <w:pStyle w:val="BodyText"/>
        <w:rPr>
          <w:sz w:val="40"/>
          <w:lang w:val="en-US"/>
        </w:rPr>
      </w:pPr>
    </w:p>
    <w:p w14:paraId="3B2EB2DF" w14:textId="77777777" w:rsidR="00434C61" w:rsidRPr="009C0324" w:rsidRDefault="00434C61">
      <w:pPr>
        <w:pStyle w:val="BodyText"/>
        <w:rPr>
          <w:sz w:val="40"/>
          <w:lang w:val="en-US"/>
        </w:rPr>
      </w:pPr>
    </w:p>
    <w:p w14:paraId="0990EABC" w14:textId="532CE782" w:rsidR="00434C61" w:rsidRPr="009C0324" w:rsidRDefault="00434C61">
      <w:pPr>
        <w:pStyle w:val="BodyText"/>
        <w:rPr>
          <w:sz w:val="40"/>
          <w:lang w:val="en-US"/>
        </w:rPr>
      </w:pPr>
    </w:p>
    <w:p w14:paraId="1789D9FC" w14:textId="77777777" w:rsidR="00434C61" w:rsidRPr="009C0324" w:rsidRDefault="00434C61">
      <w:pPr>
        <w:pStyle w:val="BodyText"/>
        <w:rPr>
          <w:sz w:val="40"/>
          <w:lang w:val="en-US"/>
        </w:rPr>
      </w:pPr>
    </w:p>
    <w:p w14:paraId="1E7C480E" w14:textId="77777777" w:rsidR="00434C61" w:rsidRPr="009C0324" w:rsidRDefault="00434C61">
      <w:pPr>
        <w:pStyle w:val="BodyText"/>
        <w:rPr>
          <w:sz w:val="40"/>
          <w:lang w:val="en-US"/>
        </w:rPr>
      </w:pPr>
    </w:p>
    <w:p w14:paraId="20E4FAB5" w14:textId="77777777" w:rsidR="00434C61" w:rsidRPr="009C0324" w:rsidRDefault="00434C61">
      <w:pPr>
        <w:pStyle w:val="BodyText"/>
        <w:rPr>
          <w:sz w:val="40"/>
          <w:lang w:val="en-US"/>
        </w:rPr>
      </w:pPr>
    </w:p>
    <w:p w14:paraId="0B72BF62" w14:textId="77777777" w:rsidR="00434C61" w:rsidRPr="009C0324" w:rsidRDefault="00434C61">
      <w:pPr>
        <w:pStyle w:val="BodyText"/>
        <w:rPr>
          <w:sz w:val="40"/>
          <w:lang w:val="en-US"/>
        </w:rPr>
      </w:pPr>
    </w:p>
    <w:p w14:paraId="4C24CCF8" w14:textId="4B7A825B" w:rsidR="00434C61" w:rsidRPr="009C0324" w:rsidRDefault="00434C61">
      <w:pPr>
        <w:pStyle w:val="BodyText"/>
        <w:rPr>
          <w:sz w:val="40"/>
          <w:lang w:val="en-US"/>
        </w:rPr>
      </w:pPr>
    </w:p>
    <w:p w14:paraId="3AD8330A" w14:textId="77777777" w:rsidR="00434C61" w:rsidRPr="009C0324" w:rsidRDefault="00434C61">
      <w:pPr>
        <w:pStyle w:val="BodyText"/>
        <w:rPr>
          <w:sz w:val="40"/>
          <w:lang w:val="en-US"/>
        </w:rPr>
      </w:pPr>
    </w:p>
    <w:p w14:paraId="132AE485" w14:textId="77777777" w:rsidR="00434C61" w:rsidRPr="009C0324" w:rsidRDefault="00434C61">
      <w:pPr>
        <w:pStyle w:val="BodyText"/>
        <w:rPr>
          <w:sz w:val="40"/>
          <w:lang w:val="en-US"/>
        </w:rPr>
      </w:pPr>
    </w:p>
    <w:p w14:paraId="6F8D8CA5" w14:textId="558ABBC0" w:rsidR="00434C61" w:rsidRPr="009C0324" w:rsidRDefault="00434C61">
      <w:pPr>
        <w:pStyle w:val="BodyText"/>
        <w:rPr>
          <w:sz w:val="40"/>
          <w:lang w:val="en-US"/>
        </w:rPr>
      </w:pPr>
    </w:p>
    <w:p w14:paraId="245976FA" w14:textId="77777777" w:rsidR="00434C61" w:rsidRPr="009C0324" w:rsidRDefault="00434C61">
      <w:pPr>
        <w:pStyle w:val="BodyText"/>
        <w:rPr>
          <w:sz w:val="40"/>
          <w:lang w:val="en-US"/>
        </w:rPr>
      </w:pPr>
    </w:p>
    <w:p w14:paraId="173610FE" w14:textId="77777777" w:rsidR="00434C61" w:rsidRPr="009C0324" w:rsidRDefault="00434C61">
      <w:pPr>
        <w:pStyle w:val="BodyText"/>
        <w:rPr>
          <w:sz w:val="40"/>
          <w:lang w:val="en-US"/>
        </w:rPr>
      </w:pPr>
    </w:p>
    <w:p w14:paraId="10368E48" w14:textId="1206966F" w:rsidR="00434C61" w:rsidRPr="009C0324" w:rsidRDefault="00434C61">
      <w:pPr>
        <w:pStyle w:val="BodyText"/>
        <w:rPr>
          <w:sz w:val="40"/>
          <w:lang w:val="en-US"/>
        </w:rPr>
      </w:pPr>
    </w:p>
    <w:p w14:paraId="17FD27DE" w14:textId="73AE642A" w:rsidR="00434C61" w:rsidRPr="009C0324" w:rsidRDefault="00434C61">
      <w:pPr>
        <w:pStyle w:val="BodyText"/>
        <w:rPr>
          <w:sz w:val="40"/>
          <w:lang w:val="en-US"/>
        </w:rPr>
      </w:pPr>
    </w:p>
    <w:p w14:paraId="65EF1C9A" w14:textId="678B01B5" w:rsidR="00434C61" w:rsidRPr="009C0324" w:rsidRDefault="00434C61">
      <w:pPr>
        <w:pStyle w:val="BodyText"/>
        <w:rPr>
          <w:sz w:val="40"/>
          <w:lang w:val="en-US"/>
        </w:rPr>
      </w:pPr>
    </w:p>
    <w:p w14:paraId="21293F8D" w14:textId="6AE42781" w:rsidR="00434C61" w:rsidRPr="009C0324" w:rsidRDefault="00434C61">
      <w:pPr>
        <w:pStyle w:val="BodyText"/>
        <w:rPr>
          <w:sz w:val="40"/>
          <w:lang w:val="en-US"/>
        </w:rPr>
      </w:pPr>
    </w:p>
    <w:p w14:paraId="4677C483" w14:textId="21C5D6F3" w:rsidR="00434C61" w:rsidRPr="009C0324" w:rsidRDefault="004251A6">
      <w:pPr>
        <w:pStyle w:val="BodyText"/>
        <w:rPr>
          <w:sz w:val="40"/>
          <w:lang w:val="en-US"/>
        </w:rPr>
      </w:pPr>
      <w:r>
        <w:rPr>
          <w:noProof/>
        </w:rPr>
        <w:drawing>
          <wp:anchor distT="0" distB="0" distL="114300" distR="114300" simplePos="0" relativeHeight="251660800" behindDoc="0" locked="0" layoutInCell="1" allowOverlap="1" wp14:anchorId="26BC6127" wp14:editId="5AC18704">
            <wp:simplePos x="0" y="0"/>
            <wp:positionH relativeFrom="column">
              <wp:posOffset>4706620</wp:posOffset>
            </wp:positionH>
            <wp:positionV relativeFrom="paragraph">
              <wp:posOffset>208915</wp:posOffset>
            </wp:positionV>
            <wp:extent cx="1958389" cy="913584"/>
            <wp:effectExtent l="0" t="0" r="0" b="0"/>
            <wp:wrapNone/>
            <wp:docPr id="6" name="Image 6"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 6" descr="A black and white logo&#10;&#10;Description automatically generated"/>
                    <pic:cNvPicPr/>
                  </pic:nvPicPr>
                  <pic:blipFill>
                    <a:blip r:embed="rId9" cstate="print"/>
                    <a:stretch>
                      <a:fillRect/>
                    </a:stretch>
                  </pic:blipFill>
                  <pic:spPr>
                    <a:xfrm>
                      <a:off x="0" y="0"/>
                      <a:ext cx="1958389" cy="913584"/>
                    </a:xfrm>
                    <a:prstGeom prst="rect">
                      <a:avLst/>
                    </a:prstGeom>
                  </pic:spPr>
                </pic:pic>
              </a:graphicData>
            </a:graphic>
            <wp14:sizeRelH relativeFrom="margin">
              <wp14:pctWidth>0</wp14:pctWidth>
            </wp14:sizeRelH>
            <wp14:sizeRelV relativeFrom="margin">
              <wp14:pctHeight>0</wp14:pctHeight>
            </wp14:sizeRelV>
          </wp:anchor>
        </w:drawing>
      </w:r>
    </w:p>
    <w:p w14:paraId="7BBAA995" w14:textId="4A4820B8" w:rsidR="00434C61" w:rsidRPr="009C0324" w:rsidRDefault="00434C61">
      <w:pPr>
        <w:pStyle w:val="BodyText"/>
        <w:spacing w:before="390"/>
        <w:rPr>
          <w:sz w:val="40"/>
          <w:lang w:val="en-US"/>
        </w:rPr>
      </w:pPr>
    </w:p>
    <w:p w14:paraId="459B0F04" w14:textId="77777777" w:rsidR="00B73CCC" w:rsidRPr="009C0324" w:rsidRDefault="004251A6" w:rsidP="00B73CCC">
      <w:pPr>
        <w:ind w:left="100"/>
        <w:rPr>
          <w:sz w:val="40"/>
          <w:lang w:val="en-US"/>
        </w:rPr>
        <w:sectPr w:rsidR="00B73CCC" w:rsidRPr="009C0324" w:rsidSect="00B73CCC">
          <w:type w:val="continuous"/>
          <w:pgSz w:w="11910" w:h="16840"/>
          <w:pgMar w:top="1060" w:right="1680" w:bottom="280" w:left="880" w:header="720" w:footer="720" w:gutter="0"/>
          <w:cols w:space="720"/>
        </w:sectPr>
      </w:pPr>
      <w:r>
        <w:rPr>
          <w:b/>
          <w:color w:val="005199"/>
          <w:spacing w:val="-2"/>
          <w:sz w:val="40"/>
        </w:rPr>
        <w:t>ΔΕΛΤΙΟ</w:t>
      </w:r>
      <w:r w:rsidRPr="009C0324">
        <w:rPr>
          <w:b/>
          <w:color w:val="005199"/>
          <w:spacing w:val="-16"/>
          <w:sz w:val="40"/>
          <w:lang w:val="en-US"/>
        </w:rPr>
        <w:t xml:space="preserve"> </w:t>
      </w:r>
      <w:r>
        <w:rPr>
          <w:color w:val="005199"/>
          <w:spacing w:val="-4"/>
          <w:sz w:val="40"/>
        </w:rPr>
        <w:t>ΤΥΠΟΥ</w:t>
      </w:r>
    </w:p>
    <w:p w14:paraId="3E8A3CC5" w14:textId="689BF474" w:rsidR="00434C61" w:rsidRPr="009C0324" w:rsidRDefault="00434C61" w:rsidP="00B73CCC">
      <w:pPr>
        <w:ind w:left="100"/>
        <w:rPr>
          <w:sz w:val="40"/>
          <w:lang w:val="en-US"/>
        </w:rPr>
        <w:sectPr w:rsidR="00434C61" w:rsidRPr="009C0324">
          <w:type w:val="continuous"/>
          <w:pgSz w:w="11910" w:h="16840"/>
          <w:pgMar w:top="1060" w:right="1680" w:bottom="280" w:left="880" w:header="720" w:footer="720" w:gutter="0"/>
          <w:cols w:space="720"/>
        </w:sectPr>
      </w:pPr>
    </w:p>
    <w:p w14:paraId="1E0EB8C9" w14:textId="60AA075E" w:rsidR="00B73CCC" w:rsidRDefault="004251A6" w:rsidP="0048227D">
      <w:pPr>
        <w:pStyle w:val="BodyText"/>
        <w:rPr>
          <w:b/>
          <w:bCs/>
          <w:color w:val="5FAEDF"/>
          <w:position w:val="-3"/>
          <w:sz w:val="44"/>
          <w:szCs w:val="44"/>
        </w:rPr>
      </w:pPr>
      <w:r>
        <w:rPr>
          <w:noProof/>
        </w:rPr>
        <w:lastRenderedPageBreak/>
        <w:drawing>
          <wp:anchor distT="0" distB="0" distL="0" distR="0" simplePos="0" relativeHeight="15728128" behindDoc="0" locked="0" layoutInCell="1" allowOverlap="1" wp14:anchorId="2567E460" wp14:editId="06A14C3F">
            <wp:simplePos x="0" y="0"/>
            <wp:positionH relativeFrom="page">
              <wp:posOffset>482</wp:posOffset>
            </wp:positionH>
            <wp:positionV relativeFrom="page">
              <wp:posOffset>0</wp:posOffset>
            </wp:positionV>
            <wp:extent cx="7559037" cy="37800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559037" cy="378002"/>
                    </a:xfrm>
                    <a:prstGeom prst="rect">
                      <a:avLst/>
                    </a:prstGeom>
                  </pic:spPr>
                </pic:pic>
              </a:graphicData>
            </a:graphic>
          </wp:anchor>
        </w:drawing>
      </w:r>
      <w:bookmarkStart w:id="0" w:name="_Hlk191624404"/>
      <w:r w:rsidR="00B73CCC" w:rsidRPr="00631924">
        <w:rPr>
          <w:b/>
          <w:bCs/>
          <w:color w:val="5FAEDF"/>
          <w:position w:val="-3"/>
          <w:sz w:val="44"/>
          <w:szCs w:val="44"/>
        </w:rPr>
        <w:t>ΟΙΚΟΝΟΜΙΚΑ ΑΠΟΤΕΛΕΣΜΑΤΑ</w:t>
      </w:r>
    </w:p>
    <w:p w14:paraId="35D3B5A9" w14:textId="77777777" w:rsidR="00B73CCC" w:rsidRPr="00DB5107" w:rsidRDefault="00B73CCC" w:rsidP="00B73CCC">
      <w:pPr>
        <w:spacing w:before="23" w:line="508" w:lineRule="exact"/>
        <w:rPr>
          <w:color w:val="F79646" w:themeColor="accent6"/>
          <w:sz w:val="36"/>
          <w:szCs w:val="36"/>
        </w:rPr>
      </w:pPr>
      <w:r w:rsidRPr="00631924">
        <w:rPr>
          <w:b/>
          <w:bCs/>
          <w:color w:val="A6A6A6" w:themeColor="background1" w:themeShade="A6"/>
          <w:position w:val="-3"/>
          <w:sz w:val="44"/>
          <w:szCs w:val="44"/>
        </w:rPr>
        <w:t>12</w:t>
      </w:r>
      <w:r w:rsidRPr="003A6F5B">
        <w:rPr>
          <w:b/>
          <w:bCs/>
          <w:color w:val="A6A6A6" w:themeColor="background1" w:themeShade="A6"/>
          <w:position w:val="-3"/>
          <w:sz w:val="44"/>
          <w:szCs w:val="44"/>
        </w:rPr>
        <w:t>Μ’24</w:t>
      </w:r>
    </w:p>
    <w:p w14:paraId="15ECE88B" w14:textId="77777777" w:rsidR="00B73CCC" w:rsidRPr="003A6F5B" w:rsidRDefault="00B73CCC" w:rsidP="00B73CCC">
      <w:pPr>
        <w:spacing w:before="23" w:line="508" w:lineRule="exact"/>
        <w:rPr>
          <w:b/>
          <w:bCs/>
          <w:color w:val="00B2E2"/>
          <w:position w:val="-3"/>
          <w:sz w:val="44"/>
          <w:szCs w:val="44"/>
        </w:rPr>
      </w:pPr>
    </w:p>
    <w:p w14:paraId="7A7E23D0" w14:textId="1C62C9B8" w:rsidR="003F5A42" w:rsidRDefault="00751198" w:rsidP="003F5A42">
      <w:pPr>
        <w:spacing w:before="34"/>
        <w:ind w:right="-20"/>
        <w:jc w:val="center"/>
        <w:rPr>
          <w:b/>
          <w:bCs/>
          <w:color w:val="5FAEDF"/>
          <w:spacing w:val="-2"/>
          <w:sz w:val="28"/>
        </w:rPr>
      </w:pPr>
      <w:r w:rsidRPr="00751198">
        <w:rPr>
          <w:b/>
          <w:bCs/>
          <w:color w:val="5FAEDF"/>
          <w:spacing w:val="-2"/>
          <w:sz w:val="28"/>
        </w:rPr>
        <w:t>Ισχυρές επιδόσεις και βελτίωση στη πλειονότητα των οικονομικών μεγεθών</w:t>
      </w:r>
    </w:p>
    <w:p w14:paraId="21920048" w14:textId="77777777" w:rsidR="00751198" w:rsidRPr="003F5A42" w:rsidRDefault="00751198" w:rsidP="003F5A42">
      <w:pPr>
        <w:spacing w:before="34"/>
        <w:ind w:right="-20"/>
        <w:jc w:val="center"/>
        <w:rPr>
          <w:rFonts w:asciiTheme="minorHAnsi" w:hAnsiTheme="minorHAnsi"/>
          <w:i/>
          <w:iCs/>
          <w:color w:val="5FAEDF"/>
          <w:sz w:val="24"/>
          <w:szCs w:val="20"/>
        </w:rPr>
      </w:pPr>
    </w:p>
    <w:p w14:paraId="269A764B" w14:textId="77777777" w:rsidR="00B73CCC" w:rsidRPr="003A6F5B" w:rsidRDefault="00B73CCC" w:rsidP="00B73CCC">
      <w:pPr>
        <w:spacing w:before="34" w:after="240"/>
        <w:ind w:right="-20"/>
        <w:rPr>
          <w:b/>
          <w:bCs/>
          <w:color w:val="A6A6A6" w:themeColor="background1" w:themeShade="A6"/>
          <w:spacing w:val="7"/>
          <w:sz w:val="28"/>
          <w:szCs w:val="28"/>
        </w:rPr>
      </w:pPr>
      <w:r w:rsidRPr="003A6F5B">
        <w:rPr>
          <w:b/>
          <w:bCs/>
          <w:color w:val="A6A6A6" w:themeColor="background1" w:themeShade="A6"/>
          <w:spacing w:val="7"/>
          <w:sz w:val="28"/>
          <w:szCs w:val="28"/>
        </w:rPr>
        <w:t>Κύρια οικονομικά στοιχεία</w:t>
      </w:r>
    </w:p>
    <w:p w14:paraId="0EB8F35D" w14:textId="77777777" w:rsidR="00B73CCC" w:rsidRPr="003A6F5B" w:rsidRDefault="00B73CCC" w:rsidP="00B73CCC">
      <w:pPr>
        <w:numPr>
          <w:ilvl w:val="0"/>
          <w:numId w:val="1"/>
        </w:numPr>
        <w:spacing w:before="10" w:line="276" w:lineRule="auto"/>
        <w:ind w:left="284" w:hanging="284"/>
        <w:rPr>
          <w:b/>
          <w:bCs/>
          <w:color w:val="231F20"/>
          <w:sz w:val="24"/>
          <w:szCs w:val="20"/>
        </w:rPr>
      </w:pPr>
      <w:r w:rsidRPr="003A6F5B">
        <w:rPr>
          <w:b/>
          <w:bCs/>
          <w:color w:val="231F20"/>
          <w:sz w:val="24"/>
          <w:szCs w:val="20"/>
        </w:rPr>
        <w:t xml:space="preserve">Οργανική κερδοφορία (a-EBITDA) στα </w:t>
      </w:r>
      <w:r w:rsidRPr="00AA5FAC">
        <w:rPr>
          <w:b/>
          <w:bCs/>
          <w:color w:val="231F20"/>
          <w:sz w:val="24"/>
          <w:szCs w:val="20"/>
        </w:rPr>
        <w:t>237</w:t>
      </w:r>
      <w:r w:rsidRPr="003A6F5B">
        <w:rPr>
          <w:b/>
          <w:bCs/>
          <w:color w:val="231F20"/>
          <w:sz w:val="24"/>
          <w:szCs w:val="20"/>
        </w:rPr>
        <w:t>,</w:t>
      </w:r>
      <w:r w:rsidRPr="00AA5FAC">
        <w:rPr>
          <w:b/>
          <w:bCs/>
          <w:color w:val="231F20"/>
          <w:sz w:val="24"/>
          <w:szCs w:val="20"/>
        </w:rPr>
        <w:t>5</w:t>
      </w:r>
      <w:r w:rsidRPr="003A6F5B">
        <w:rPr>
          <w:b/>
          <w:bCs/>
          <w:color w:val="231F20"/>
          <w:sz w:val="24"/>
          <w:szCs w:val="20"/>
        </w:rPr>
        <w:t xml:space="preserve"> </w:t>
      </w:r>
      <w:r>
        <w:rPr>
          <w:b/>
          <w:bCs/>
          <w:color w:val="231F20"/>
          <w:sz w:val="24"/>
          <w:szCs w:val="20"/>
        </w:rPr>
        <w:t>εκατ.</w:t>
      </w:r>
      <w:r w:rsidRPr="003A6F5B">
        <w:rPr>
          <w:b/>
          <w:bCs/>
          <w:color w:val="231F20"/>
          <w:sz w:val="24"/>
          <w:szCs w:val="20"/>
        </w:rPr>
        <w:t xml:space="preserve"> ευρώ</w:t>
      </w:r>
    </w:p>
    <w:p w14:paraId="685D01A3" w14:textId="77777777" w:rsidR="00B73CCC" w:rsidRPr="003A6F5B" w:rsidRDefault="00B73CCC" w:rsidP="00B73CCC">
      <w:pPr>
        <w:numPr>
          <w:ilvl w:val="0"/>
          <w:numId w:val="1"/>
        </w:numPr>
        <w:spacing w:before="10" w:line="276" w:lineRule="auto"/>
        <w:ind w:left="284" w:hanging="284"/>
        <w:rPr>
          <w:b/>
          <w:bCs/>
          <w:color w:val="231F20"/>
          <w:sz w:val="24"/>
          <w:szCs w:val="20"/>
        </w:rPr>
      </w:pPr>
      <w:r w:rsidRPr="003A6F5B">
        <w:rPr>
          <w:b/>
          <w:bCs/>
          <w:color w:val="231F20"/>
          <w:sz w:val="24"/>
          <w:szCs w:val="20"/>
        </w:rPr>
        <w:t xml:space="preserve">Ενίσχυση κερδών προ φόρων στα </w:t>
      </w:r>
      <w:r w:rsidRPr="00AA5FAC">
        <w:rPr>
          <w:b/>
          <w:bCs/>
          <w:color w:val="231F20"/>
          <w:sz w:val="24"/>
          <w:szCs w:val="20"/>
        </w:rPr>
        <w:t>12</w:t>
      </w:r>
      <w:r>
        <w:rPr>
          <w:b/>
          <w:bCs/>
          <w:color w:val="231F20"/>
          <w:sz w:val="24"/>
          <w:szCs w:val="20"/>
        </w:rPr>
        <w:t>6</w:t>
      </w:r>
      <w:r w:rsidRPr="003A6F5B">
        <w:rPr>
          <w:b/>
          <w:bCs/>
          <w:color w:val="231F20"/>
          <w:sz w:val="24"/>
          <w:szCs w:val="20"/>
        </w:rPr>
        <w:t>,</w:t>
      </w:r>
      <w:r>
        <w:rPr>
          <w:b/>
          <w:bCs/>
          <w:color w:val="231F20"/>
          <w:sz w:val="24"/>
          <w:szCs w:val="20"/>
        </w:rPr>
        <w:t>0</w:t>
      </w:r>
      <w:r w:rsidRPr="003A6F5B">
        <w:rPr>
          <w:b/>
          <w:bCs/>
          <w:color w:val="231F20"/>
          <w:sz w:val="24"/>
          <w:szCs w:val="20"/>
        </w:rPr>
        <w:t xml:space="preserve"> </w:t>
      </w:r>
      <w:r>
        <w:rPr>
          <w:b/>
          <w:bCs/>
          <w:color w:val="231F20"/>
          <w:sz w:val="24"/>
          <w:szCs w:val="20"/>
        </w:rPr>
        <w:t>εκατ.</w:t>
      </w:r>
      <w:r w:rsidRPr="003A6F5B">
        <w:rPr>
          <w:b/>
          <w:bCs/>
          <w:color w:val="231F20"/>
          <w:sz w:val="24"/>
          <w:szCs w:val="20"/>
        </w:rPr>
        <w:t xml:space="preserve"> ευρώ έναντι </w:t>
      </w:r>
      <w:r w:rsidRPr="00FB01B8">
        <w:rPr>
          <w:b/>
          <w:bCs/>
          <w:color w:val="231F20"/>
          <w:sz w:val="24"/>
          <w:szCs w:val="20"/>
        </w:rPr>
        <w:t>43</w:t>
      </w:r>
      <w:r w:rsidRPr="003A6F5B">
        <w:rPr>
          <w:b/>
          <w:bCs/>
          <w:color w:val="231F20"/>
          <w:sz w:val="24"/>
          <w:szCs w:val="20"/>
        </w:rPr>
        <w:t>,</w:t>
      </w:r>
      <w:r w:rsidRPr="001B4B75">
        <w:rPr>
          <w:b/>
          <w:bCs/>
          <w:color w:val="231F20"/>
          <w:sz w:val="24"/>
          <w:szCs w:val="20"/>
        </w:rPr>
        <w:t>0</w:t>
      </w:r>
      <w:r w:rsidRPr="003A6F5B">
        <w:rPr>
          <w:b/>
          <w:bCs/>
          <w:color w:val="231F20"/>
          <w:sz w:val="24"/>
          <w:szCs w:val="20"/>
        </w:rPr>
        <w:t xml:space="preserve"> </w:t>
      </w:r>
      <w:r>
        <w:rPr>
          <w:b/>
          <w:bCs/>
          <w:color w:val="231F20"/>
          <w:sz w:val="24"/>
          <w:szCs w:val="20"/>
        </w:rPr>
        <w:t>εκατ.</w:t>
      </w:r>
      <w:r w:rsidRPr="003A6F5B">
        <w:rPr>
          <w:b/>
          <w:bCs/>
          <w:color w:val="231F20"/>
          <w:sz w:val="24"/>
          <w:szCs w:val="20"/>
        </w:rPr>
        <w:t xml:space="preserve"> ευρώ το </w:t>
      </w:r>
      <w:r w:rsidRPr="00AA5FAC">
        <w:rPr>
          <w:b/>
          <w:bCs/>
          <w:color w:val="231F20"/>
          <w:sz w:val="24"/>
          <w:szCs w:val="20"/>
        </w:rPr>
        <w:t>202</w:t>
      </w:r>
      <w:r w:rsidRPr="0002476D">
        <w:rPr>
          <w:b/>
          <w:bCs/>
          <w:color w:val="231F20"/>
          <w:sz w:val="24"/>
          <w:szCs w:val="20"/>
        </w:rPr>
        <w:t>3</w:t>
      </w:r>
    </w:p>
    <w:p w14:paraId="5314B5A9" w14:textId="77777777" w:rsidR="00B73CCC" w:rsidRPr="003A6F5B" w:rsidRDefault="00B73CCC" w:rsidP="00B73CCC">
      <w:pPr>
        <w:numPr>
          <w:ilvl w:val="0"/>
          <w:numId w:val="1"/>
        </w:numPr>
        <w:spacing w:line="276" w:lineRule="auto"/>
        <w:ind w:left="284" w:hanging="284"/>
        <w:rPr>
          <w:b/>
          <w:bCs/>
          <w:color w:val="231F20"/>
          <w:sz w:val="24"/>
          <w:szCs w:val="20"/>
        </w:rPr>
      </w:pPr>
      <w:r w:rsidRPr="003A6F5B">
        <w:rPr>
          <w:b/>
          <w:bCs/>
          <w:color w:val="231F20"/>
          <w:sz w:val="24"/>
          <w:szCs w:val="20"/>
        </w:rPr>
        <w:t>Υψηλές λειτουργικές ταμειακές ροές</w:t>
      </w:r>
    </w:p>
    <w:p w14:paraId="5C8A005D" w14:textId="77777777" w:rsidR="00B73CCC" w:rsidRDefault="00B73CCC" w:rsidP="00B73CCC">
      <w:pPr>
        <w:numPr>
          <w:ilvl w:val="0"/>
          <w:numId w:val="1"/>
        </w:numPr>
        <w:spacing w:before="10" w:line="276" w:lineRule="auto"/>
        <w:ind w:left="284" w:hanging="284"/>
        <w:rPr>
          <w:b/>
          <w:bCs/>
          <w:color w:val="231F20"/>
          <w:sz w:val="24"/>
          <w:szCs w:val="20"/>
        </w:rPr>
      </w:pPr>
      <w:r w:rsidRPr="003A6F5B">
        <w:rPr>
          <w:b/>
          <w:bCs/>
          <w:color w:val="231F20"/>
          <w:sz w:val="24"/>
          <w:szCs w:val="20"/>
        </w:rPr>
        <w:t xml:space="preserve">Μείωση του καθαρού δανεισμού κατά </w:t>
      </w:r>
      <w:r>
        <w:rPr>
          <w:b/>
          <w:bCs/>
          <w:color w:val="231F20"/>
          <w:sz w:val="24"/>
          <w:szCs w:val="20"/>
        </w:rPr>
        <w:t>1</w:t>
      </w:r>
      <w:r w:rsidRPr="007875E9">
        <w:rPr>
          <w:b/>
          <w:bCs/>
          <w:color w:val="231F20"/>
          <w:sz w:val="24"/>
          <w:szCs w:val="20"/>
        </w:rPr>
        <w:t>69</w:t>
      </w:r>
      <w:r w:rsidRPr="003A6F5B">
        <w:rPr>
          <w:b/>
          <w:bCs/>
          <w:color w:val="231F20"/>
          <w:sz w:val="24"/>
          <w:szCs w:val="20"/>
        </w:rPr>
        <w:t>,</w:t>
      </w:r>
      <w:r w:rsidRPr="00FB01B8">
        <w:rPr>
          <w:b/>
          <w:bCs/>
          <w:color w:val="231F20"/>
          <w:sz w:val="24"/>
          <w:szCs w:val="20"/>
        </w:rPr>
        <w:t>9</w:t>
      </w:r>
      <w:r w:rsidRPr="003A6F5B">
        <w:rPr>
          <w:b/>
          <w:bCs/>
          <w:color w:val="231F20"/>
          <w:sz w:val="24"/>
          <w:szCs w:val="20"/>
        </w:rPr>
        <w:t xml:space="preserve"> </w:t>
      </w:r>
      <w:r>
        <w:rPr>
          <w:b/>
          <w:bCs/>
          <w:color w:val="231F20"/>
          <w:sz w:val="24"/>
          <w:szCs w:val="20"/>
        </w:rPr>
        <w:t>εκατ.</w:t>
      </w:r>
      <w:r w:rsidRPr="003A6F5B">
        <w:rPr>
          <w:b/>
          <w:bCs/>
          <w:color w:val="231F20"/>
          <w:sz w:val="24"/>
          <w:szCs w:val="20"/>
        </w:rPr>
        <w:t xml:space="preserve"> ευρώ και του κεφαλαίου κίνησης </w:t>
      </w:r>
      <w:r w:rsidRPr="00665390">
        <w:rPr>
          <w:b/>
          <w:bCs/>
          <w:color w:val="231F20"/>
          <w:sz w:val="24"/>
          <w:szCs w:val="20"/>
        </w:rPr>
        <w:t>κατά 81,7</w:t>
      </w:r>
      <w:r w:rsidRPr="003A6F5B">
        <w:rPr>
          <w:b/>
          <w:bCs/>
          <w:color w:val="231F20"/>
          <w:sz w:val="24"/>
          <w:szCs w:val="20"/>
        </w:rPr>
        <w:t xml:space="preserve"> </w:t>
      </w:r>
      <w:r>
        <w:rPr>
          <w:b/>
          <w:bCs/>
          <w:color w:val="231F20"/>
          <w:sz w:val="24"/>
          <w:szCs w:val="20"/>
        </w:rPr>
        <w:t>εκατ.</w:t>
      </w:r>
      <w:r w:rsidRPr="003A6F5B">
        <w:rPr>
          <w:b/>
          <w:bCs/>
          <w:color w:val="231F20"/>
          <w:sz w:val="24"/>
          <w:szCs w:val="20"/>
        </w:rPr>
        <w:t xml:space="preserve"> ευρώ</w:t>
      </w:r>
    </w:p>
    <w:p w14:paraId="353CE62C" w14:textId="77777777" w:rsidR="00B73CCC" w:rsidRPr="003A6F5B" w:rsidRDefault="00B73CCC" w:rsidP="00B73CCC">
      <w:pPr>
        <w:numPr>
          <w:ilvl w:val="0"/>
          <w:numId w:val="1"/>
        </w:numPr>
        <w:spacing w:before="10" w:line="276" w:lineRule="auto"/>
        <w:ind w:left="284" w:hanging="284"/>
        <w:rPr>
          <w:b/>
          <w:bCs/>
          <w:color w:val="231F20"/>
          <w:sz w:val="24"/>
          <w:szCs w:val="20"/>
        </w:rPr>
      </w:pPr>
      <w:r>
        <w:rPr>
          <w:b/>
          <w:bCs/>
          <w:color w:val="231F20"/>
          <w:sz w:val="24"/>
          <w:szCs w:val="20"/>
        </w:rPr>
        <w:t xml:space="preserve">Περιορισμός του χρηματοοικονομικού κόστους κατά </w:t>
      </w:r>
      <w:r w:rsidRPr="007376F3">
        <w:rPr>
          <w:b/>
          <w:bCs/>
          <w:color w:val="231F20"/>
          <w:sz w:val="24"/>
          <w:szCs w:val="20"/>
        </w:rPr>
        <w:t>8</w:t>
      </w:r>
      <w:r>
        <w:rPr>
          <w:b/>
          <w:bCs/>
          <w:color w:val="231F20"/>
          <w:sz w:val="24"/>
          <w:szCs w:val="20"/>
        </w:rPr>
        <w:t>,</w:t>
      </w:r>
      <w:r w:rsidRPr="007376F3">
        <w:rPr>
          <w:b/>
          <w:bCs/>
          <w:color w:val="231F20"/>
          <w:sz w:val="24"/>
          <w:szCs w:val="20"/>
        </w:rPr>
        <w:t xml:space="preserve">1 </w:t>
      </w:r>
      <w:r>
        <w:rPr>
          <w:b/>
          <w:bCs/>
          <w:color w:val="231F20"/>
          <w:sz w:val="24"/>
          <w:szCs w:val="20"/>
        </w:rPr>
        <w:t>εκατ. ευρώ</w:t>
      </w:r>
    </w:p>
    <w:p w14:paraId="7C56FF85" w14:textId="77777777" w:rsidR="00B73CCC" w:rsidRPr="003A6F5B" w:rsidRDefault="00B73CCC" w:rsidP="00B73CCC">
      <w:pPr>
        <w:spacing w:before="34"/>
        <w:ind w:right="-20"/>
        <w:rPr>
          <w:b/>
          <w:bCs/>
          <w:color w:val="00AEEF"/>
          <w:sz w:val="28"/>
        </w:rPr>
      </w:pPr>
    </w:p>
    <w:p w14:paraId="309593D8" w14:textId="77777777" w:rsidR="00B73CCC" w:rsidRPr="003A6F5B" w:rsidRDefault="00B73CCC" w:rsidP="00B73CCC">
      <w:pPr>
        <w:spacing w:before="34" w:after="240"/>
        <w:ind w:right="-20"/>
        <w:rPr>
          <w:b/>
          <w:bCs/>
          <w:color w:val="A6A6A6" w:themeColor="background1" w:themeShade="A6"/>
          <w:spacing w:val="7"/>
          <w:sz w:val="28"/>
          <w:szCs w:val="28"/>
        </w:rPr>
      </w:pPr>
      <w:r w:rsidRPr="003A6F5B">
        <w:rPr>
          <w:b/>
          <w:bCs/>
          <w:color w:val="A6A6A6" w:themeColor="background1" w:themeShade="A6"/>
          <w:spacing w:val="7"/>
          <w:sz w:val="28"/>
          <w:szCs w:val="28"/>
        </w:rPr>
        <w:t>Κύρια επιχειρησιακά στοιχεία</w:t>
      </w:r>
    </w:p>
    <w:p w14:paraId="75558920" w14:textId="77777777" w:rsidR="00B73CCC" w:rsidRPr="003A6F5B" w:rsidRDefault="00B73CCC" w:rsidP="00B73CCC">
      <w:pPr>
        <w:numPr>
          <w:ilvl w:val="0"/>
          <w:numId w:val="1"/>
        </w:numPr>
        <w:spacing w:before="10" w:line="276" w:lineRule="auto"/>
        <w:ind w:left="284" w:hanging="284"/>
        <w:rPr>
          <w:b/>
          <w:bCs/>
          <w:color w:val="231F20"/>
          <w:sz w:val="24"/>
          <w:szCs w:val="20"/>
        </w:rPr>
      </w:pPr>
      <w:r w:rsidRPr="003A6F5B">
        <w:rPr>
          <w:b/>
          <w:bCs/>
          <w:color w:val="231F20"/>
          <w:sz w:val="24"/>
          <w:szCs w:val="20"/>
        </w:rPr>
        <w:t>Αύξηση τ</w:t>
      </w:r>
      <w:r>
        <w:rPr>
          <w:b/>
          <w:bCs/>
          <w:color w:val="231F20"/>
          <w:sz w:val="24"/>
          <w:szCs w:val="20"/>
        </w:rPr>
        <w:t>ων</w:t>
      </w:r>
      <w:r w:rsidRPr="003A6F5B">
        <w:rPr>
          <w:b/>
          <w:bCs/>
          <w:color w:val="231F20"/>
          <w:sz w:val="24"/>
          <w:szCs w:val="20"/>
        </w:rPr>
        <w:t xml:space="preserve"> </w:t>
      </w:r>
      <w:r>
        <w:rPr>
          <w:b/>
          <w:bCs/>
          <w:color w:val="231F20"/>
          <w:sz w:val="24"/>
          <w:szCs w:val="20"/>
        </w:rPr>
        <w:t xml:space="preserve">συνολικών </w:t>
      </w:r>
      <w:r w:rsidRPr="003A6F5B">
        <w:rPr>
          <w:b/>
          <w:bCs/>
          <w:color w:val="231F20"/>
          <w:sz w:val="24"/>
          <w:szCs w:val="20"/>
        </w:rPr>
        <w:t>όγκ</w:t>
      </w:r>
      <w:r>
        <w:rPr>
          <w:b/>
          <w:bCs/>
          <w:color w:val="231F20"/>
          <w:sz w:val="24"/>
          <w:szCs w:val="20"/>
        </w:rPr>
        <w:t>ων</w:t>
      </w:r>
      <w:r w:rsidRPr="003A6F5B">
        <w:rPr>
          <w:b/>
          <w:bCs/>
          <w:color w:val="231F20"/>
          <w:sz w:val="24"/>
          <w:szCs w:val="20"/>
        </w:rPr>
        <w:t xml:space="preserve"> πωλήσεων παρά τις προκλήσεις του οικονομικού περιβάλλοντος και της μειωμένης ζήτησης στους περισσότερους κλάδους της οικονομίας </w:t>
      </w:r>
    </w:p>
    <w:p w14:paraId="6D7A91A6" w14:textId="77777777" w:rsidR="00B73CCC" w:rsidRPr="00006D7E" w:rsidRDefault="00B73CCC" w:rsidP="00B73CCC">
      <w:pPr>
        <w:numPr>
          <w:ilvl w:val="0"/>
          <w:numId w:val="1"/>
        </w:numPr>
        <w:tabs>
          <w:tab w:val="left" w:pos="720"/>
          <w:tab w:val="left" w:pos="1440"/>
          <w:tab w:val="left" w:pos="2160"/>
          <w:tab w:val="left" w:pos="2880"/>
          <w:tab w:val="left" w:pos="4320"/>
          <w:tab w:val="left" w:pos="6123"/>
        </w:tabs>
        <w:spacing w:before="10" w:line="276" w:lineRule="auto"/>
        <w:ind w:left="284" w:hanging="284"/>
        <w:rPr>
          <w:noProof/>
        </w:rPr>
      </w:pPr>
      <w:r w:rsidRPr="00006D7E">
        <w:rPr>
          <w:b/>
          <w:bCs/>
          <w:color w:val="231F20"/>
          <w:sz w:val="24"/>
          <w:szCs w:val="20"/>
        </w:rPr>
        <w:t>Αυξημένες τιμές μετάλλων και μειωμένες τιμές ενέργειας</w:t>
      </w:r>
    </w:p>
    <w:p w14:paraId="1232856B" w14:textId="77777777" w:rsidR="00B73CCC" w:rsidRPr="003A6F5B" w:rsidRDefault="00B73CCC" w:rsidP="00B73CCC">
      <w:pPr>
        <w:tabs>
          <w:tab w:val="left" w:pos="720"/>
          <w:tab w:val="left" w:pos="1440"/>
          <w:tab w:val="left" w:pos="2160"/>
          <w:tab w:val="left" w:pos="2880"/>
          <w:tab w:val="left" w:pos="4320"/>
          <w:tab w:val="left" w:pos="6123"/>
        </w:tabs>
        <w:spacing w:before="10" w:line="276" w:lineRule="auto"/>
        <w:ind w:left="284"/>
        <w:rPr>
          <w:noProof/>
        </w:rPr>
      </w:pPr>
    </w:p>
    <w:p w14:paraId="373513F1" w14:textId="77777777" w:rsidR="00B73CCC" w:rsidRPr="003A6F5B" w:rsidRDefault="00B73CCC" w:rsidP="00B73CCC">
      <w:pPr>
        <w:rPr>
          <w:color w:val="231F20"/>
          <w:sz w:val="20"/>
          <w:szCs w:val="18"/>
        </w:rPr>
      </w:pPr>
      <w:r w:rsidRPr="003A6F5B">
        <w:rPr>
          <w:noProof/>
          <w:color w:val="231F20"/>
          <w:sz w:val="20"/>
          <w:szCs w:val="18"/>
        </w:rPr>
        <mc:AlternateContent>
          <mc:Choice Requires="wps">
            <w:drawing>
              <wp:anchor distT="0" distB="0" distL="114300" distR="114300" simplePos="0" relativeHeight="487557120" behindDoc="0" locked="0" layoutInCell="1" allowOverlap="1" wp14:anchorId="38F6720A" wp14:editId="6181B6BB">
                <wp:simplePos x="0" y="0"/>
                <wp:positionH relativeFrom="column">
                  <wp:posOffset>3432479</wp:posOffset>
                </wp:positionH>
                <wp:positionV relativeFrom="paragraph">
                  <wp:posOffset>238898</wp:posOffset>
                </wp:positionV>
                <wp:extent cx="2388358" cy="222637"/>
                <wp:effectExtent l="0" t="0" r="0" b="6350"/>
                <wp:wrapNone/>
                <wp:docPr id="1148546328" name="Rectangle 1"/>
                <wp:cNvGraphicFramePr/>
                <a:graphic xmlns:a="http://schemas.openxmlformats.org/drawingml/2006/main">
                  <a:graphicData uri="http://schemas.microsoft.com/office/word/2010/wordprocessingShape">
                    <wps:wsp>
                      <wps:cNvSpPr/>
                      <wps:spPr>
                        <a:xfrm>
                          <a:off x="0" y="0"/>
                          <a:ext cx="2388358" cy="222637"/>
                        </a:xfrm>
                        <a:prstGeom prst="rect">
                          <a:avLst/>
                        </a:prstGeom>
                        <a:solidFill>
                          <a:sysClr val="window" lastClr="FFFFFF">
                            <a:lumMod val="85000"/>
                          </a:sysClr>
                        </a:solidFill>
                        <a:ln w="25400" cap="flat" cmpd="sng" algn="ctr">
                          <a:noFill/>
                          <a:prstDash val="solid"/>
                        </a:ln>
                        <a:effectLst/>
                      </wps:spPr>
                      <wps:txbx>
                        <w:txbxContent>
                          <w:p w14:paraId="6F271CFB" w14:textId="77777777" w:rsidR="00B73CCC" w:rsidRPr="004846F9" w:rsidRDefault="00B73CCC" w:rsidP="00B73CCC">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6720A" id="Rectangle 1" o:spid="_x0000_s1026" style="position:absolute;margin-left:270.25pt;margin-top:18.8pt;width:188.05pt;height:17.55pt;z-index:4875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" fillcolor="#d9d9d9" stroked="f" strokeweight="2pt">
                <v:textbox>
                  <w:txbxContent>
                    <w:p w14:paraId="6F271CFB" w14:textId="77777777" w:rsidR="00B73CCC" w:rsidRPr="004846F9" w:rsidRDefault="00B73CCC" w:rsidP="00B73CCC">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v:textbox>
              </v:rect>
            </w:pict>
          </mc:Fallback>
        </mc:AlternateContent>
      </w:r>
      <w:r w:rsidRPr="003A6F5B">
        <w:rPr>
          <w:noProof/>
          <w:color w:val="231F20"/>
          <w:sz w:val="20"/>
          <w:szCs w:val="18"/>
        </w:rPr>
        <mc:AlternateContent>
          <mc:Choice Requires="wps">
            <w:drawing>
              <wp:anchor distT="0" distB="0" distL="114300" distR="114300" simplePos="0" relativeHeight="487556096" behindDoc="0" locked="0" layoutInCell="1" allowOverlap="1" wp14:anchorId="484C209D" wp14:editId="2B8C0A77">
                <wp:simplePos x="0" y="0"/>
                <wp:positionH relativeFrom="column">
                  <wp:posOffset>338179</wp:posOffset>
                </wp:positionH>
                <wp:positionV relativeFrom="paragraph">
                  <wp:posOffset>232272</wp:posOffset>
                </wp:positionV>
                <wp:extent cx="2392790" cy="246491"/>
                <wp:effectExtent l="0" t="0" r="7620" b="1270"/>
                <wp:wrapNone/>
                <wp:docPr id="1684179914" name="Rectangle 1"/>
                <wp:cNvGraphicFramePr/>
                <a:graphic xmlns:a="http://schemas.openxmlformats.org/drawingml/2006/main">
                  <a:graphicData uri="http://schemas.microsoft.com/office/word/2010/wordprocessingShape">
                    <wps:wsp>
                      <wps:cNvSpPr/>
                      <wps:spPr>
                        <a:xfrm>
                          <a:off x="0" y="0"/>
                          <a:ext cx="2392790" cy="246491"/>
                        </a:xfrm>
                        <a:prstGeom prst="rect">
                          <a:avLst/>
                        </a:prstGeom>
                        <a:solidFill>
                          <a:sysClr val="window" lastClr="FFFFFF">
                            <a:lumMod val="85000"/>
                          </a:sysClr>
                        </a:solidFill>
                        <a:ln w="25400" cap="flat" cmpd="sng" algn="ctr">
                          <a:noFill/>
                          <a:prstDash val="solid"/>
                        </a:ln>
                        <a:effectLst/>
                      </wps:spPr>
                      <wps:txbx>
                        <w:txbxContent>
                          <w:p w14:paraId="4A8FBFDF" w14:textId="77777777" w:rsidR="00B73CCC" w:rsidRPr="004846F9" w:rsidRDefault="00B73CCC" w:rsidP="00B73CCC">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C209D" id="_x0000_s1027" style="position:absolute;margin-left:26.65pt;margin-top:18.3pt;width:188.4pt;height:19.4pt;z-index:4875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" fillcolor="#d9d9d9" stroked="f" strokeweight="2pt">
                <v:textbox>
                  <w:txbxContent>
                    <w:p w14:paraId="4A8FBFDF" w14:textId="77777777" w:rsidR="00B73CCC" w:rsidRPr="004846F9" w:rsidRDefault="00B73CCC" w:rsidP="00B73CCC">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v:textbox>
              </v:rect>
            </w:pict>
          </mc:Fallback>
        </mc:AlternateContent>
      </w:r>
      <w:r>
        <w:rPr>
          <w:noProof/>
        </w:rPr>
        <w:drawing>
          <wp:inline distT="0" distB="0" distL="0" distR="0" wp14:anchorId="367A527E" wp14:editId="0DBB8EC2">
            <wp:extent cx="2997200" cy="1955883"/>
            <wp:effectExtent l="0" t="0" r="12700" b="6350"/>
            <wp:docPr id="667103189" name="Chart 1">
              <a:extLst xmlns:a="http://schemas.openxmlformats.org/drawingml/2006/main">
                <a:ext uri="{FF2B5EF4-FFF2-40B4-BE49-F238E27FC236}">
                  <a16:creationId xmlns:a16="http://schemas.microsoft.com/office/drawing/2014/main" id="{4E59DAE0-5B4F-473D-8F7B-2CE1A332B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A6F5B">
        <w:rPr>
          <w:noProof/>
        </w:rPr>
        <mc:AlternateContent>
          <mc:Choice Requires="wps">
            <w:drawing>
              <wp:anchor distT="0" distB="0" distL="114300" distR="114300" simplePos="0" relativeHeight="487559168" behindDoc="0" locked="0" layoutInCell="1" allowOverlap="1" wp14:anchorId="6F6059ED" wp14:editId="5E66D4CE">
                <wp:simplePos x="0" y="0"/>
                <wp:positionH relativeFrom="column">
                  <wp:posOffset>494665</wp:posOffset>
                </wp:positionH>
                <wp:positionV relativeFrom="paragraph">
                  <wp:posOffset>2194560</wp:posOffset>
                </wp:positionV>
                <wp:extent cx="2275840" cy="234315"/>
                <wp:effectExtent l="0" t="0" r="0" b="0"/>
                <wp:wrapNone/>
                <wp:docPr id="1284411785" name="Rectangle 1"/>
                <wp:cNvGraphicFramePr/>
                <a:graphic xmlns:a="http://schemas.openxmlformats.org/drawingml/2006/main">
                  <a:graphicData uri="http://schemas.microsoft.com/office/word/2010/wordprocessingShape">
                    <wps:wsp>
                      <wps:cNvSpPr/>
                      <wps:spPr>
                        <a:xfrm>
                          <a:off x="0" y="0"/>
                          <a:ext cx="2275840" cy="234315"/>
                        </a:xfrm>
                        <a:prstGeom prst="rect">
                          <a:avLst/>
                        </a:prstGeom>
                        <a:solidFill>
                          <a:sysClr val="window" lastClr="FFFFFF">
                            <a:lumMod val="85000"/>
                          </a:sysClr>
                        </a:solidFill>
                        <a:ln w="25400" cap="flat" cmpd="sng" algn="ctr">
                          <a:noFill/>
                          <a:prstDash val="solid"/>
                        </a:ln>
                        <a:effectLst/>
                      </wps:spPr>
                      <wps:txbx>
                        <w:txbxContent>
                          <w:p w14:paraId="07C09D11" w14:textId="77777777" w:rsidR="00B73CCC" w:rsidRDefault="00B73CCC" w:rsidP="00B73CCC">
                            <w:pPr>
                              <w:ind w:left="720"/>
                              <w:rPr>
                                <w:color w:val="000000"/>
                                <w:sz w:val="16"/>
                                <w:szCs w:val="16"/>
                              </w:rPr>
                            </w:pPr>
                            <w:r>
                              <w:rPr>
                                <w:color w:val="000000"/>
                                <w:sz w:val="16"/>
                                <w:szCs w:val="16"/>
                              </w:rPr>
                              <w:t xml:space="preserve">Πωλήσεις </w:t>
                            </w:r>
                            <w:r w:rsidRPr="004846F9">
                              <w:rPr>
                                <w:color w:val="000000" w:themeColor="text1"/>
                                <w:sz w:val="16"/>
                                <w:szCs w:val="16"/>
                              </w:rPr>
                              <w:t>(</w:t>
                            </w:r>
                            <w:r>
                              <w:rPr>
                                <w:color w:val="000000" w:themeColor="text1"/>
                                <w:sz w:val="16"/>
                                <w:szCs w:val="16"/>
                              </w:rPr>
                              <w:t>εκατ.</w:t>
                            </w:r>
                            <w:r w:rsidRPr="004846F9">
                              <w:rPr>
                                <w:color w:val="000000" w:themeColor="text1"/>
                                <w:sz w:val="16"/>
                                <w:szCs w:val="16"/>
                              </w:rPr>
                              <w:t xml:space="preserve"> ευρώ)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059ED" id="_x0000_s1028" style="position:absolute;margin-left:38.95pt;margin-top:172.8pt;width:179.2pt;height:18.45pt;z-index:48755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" fillcolor="#d9d9d9" stroked="f" strokeweight="2pt">
                <v:textbox>
                  <w:txbxContent>
                    <w:p w14:paraId="07C09D11" w14:textId="77777777" w:rsidR="00B73CCC" w:rsidRDefault="00B73CCC" w:rsidP="00B73CCC">
                      <w:pPr>
                        <w:ind w:left="720"/>
                        <w:rPr>
                          <w:color w:val="000000"/>
                          <w:sz w:val="16"/>
                          <w:szCs w:val="16"/>
                        </w:rPr>
                      </w:pPr>
                      <w:r>
                        <w:rPr>
                          <w:color w:val="000000"/>
                          <w:sz w:val="16"/>
                          <w:szCs w:val="16"/>
                        </w:rPr>
                        <w:t xml:space="preserve">Πωλήσεις </w:t>
                      </w:r>
                      <w:r w:rsidRPr="004846F9">
                        <w:rPr>
                          <w:color w:val="000000" w:themeColor="text1"/>
                          <w:sz w:val="16"/>
                          <w:szCs w:val="16"/>
                        </w:rPr>
                        <w:t>(</w:t>
                      </w:r>
                      <w:r>
                        <w:rPr>
                          <w:color w:val="000000" w:themeColor="text1"/>
                          <w:sz w:val="16"/>
                          <w:szCs w:val="16"/>
                        </w:rPr>
                        <w:t>εκατ.</w:t>
                      </w:r>
                      <w:r w:rsidRPr="004846F9">
                        <w:rPr>
                          <w:color w:val="000000" w:themeColor="text1"/>
                          <w:sz w:val="16"/>
                          <w:szCs w:val="16"/>
                        </w:rPr>
                        <w:t xml:space="preserve"> ευρώ)</w:t>
                      </w:r>
                    </w:p>
                  </w:txbxContent>
                </v:textbox>
              </v:rect>
            </w:pict>
          </mc:Fallback>
        </mc:AlternateContent>
      </w:r>
      <w:r w:rsidRPr="003A6F5B">
        <w:rPr>
          <w:noProof/>
        </w:rPr>
        <mc:AlternateContent>
          <mc:Choice Requires="wps">
            <w:drawing>
              <wp:anchor distT="0" distB="0" distL="114300" distR="114300" simplePos="0" relativeHeight="487558144" behindDoc="0" locked="0" layoutInCell="1" allowOverlap="1" wp14:anchorId="29FEB87B" wp14:editId="2BF811C3">
                <wp:simplePos x="0" y="0"/>
                <wp:positionH relativeFrom="column">
                  <wp:posOffset>3469005</wp:posOffset>
                </wp:positionH>
                <wp:positionV relativeFrom="paragraph">
                  <wp:posOffset>2182495</wp:posOffset>
                </wp:positionV>
                <wp:extent cx="2275840" cy="234315"/>
                <wp:effectExtent l="0" t="0" r="0" b="0"/>
                <wp:wrapNone/>
                <wp:docPr id="296885037" name="Rectangle 1"/>
                <wp:cNvGraphicFramePr/>
                <a:graphic xmlns:a="http://schemas.openxmlformats.org/drawingml/2006/main">
                  <a:graphicData uri="http://schemas.microsoft.com/office/word/2010/wordprocessingShape">
                    <wps:wsp>
                      <wps:cNvSpPr/>
                      <wps:spPr>
                        <a:xfrm>
                          <a:off x="0" y="0"/>
                          <a:ext cx="2275840" cy="234315"/>
                        </a:xfrm>
                        <a:prstGeom prst="rect">
                          <a:avLst/>
                        </a:prstGeom>
                        <a:solidFill>
                          <a:sysClr val="window" lastClr="FFFFFF">
                            <a:lumMod val="85000"/>
                          </a:sysClr>
                        </a:solidFill>
                        <a:ln w="25400" cap="flat" cmpd="sng" algn="ctr">
                          <a:noFill/>
                          <a:prstDash val="solid"/>
                        </a:ln>
                        <a:effectLst/>
                      </wps:spPr>
                      <wps:txbx>
                        <w:txbxContent>
                          <w:p w14:paraId="03563A7E" w14:textId="77777777" w:rsidR="00B73CCC" w:rsidRDefault="00B73CCC" w:rsidP="00B73CCC">
                            <w:pPr>
                              <w:ind w:left="720"/>
                              <w:rPr>
                                <w:color w:val="000000"/>
                                <w:sz w:val="16"/>
                                <w:szCs w:val="16"/>
                              </w:rPr>
                            </w:pPr>
                            <w:r>
                              <w:rPr>
                                <w:color w:val="000000"/>
                                <w:sz w:val="16"/>
                                <w:szCs w:val="16"/>
                              </w:rPr>
                              <w:t>Όγκοι (χιλ. τόνοι)</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EB87B" id="_x0000_s1029" style="position:absolute;margin-left:273.15pt;margin-top:171.85pt;width:179.2pt;height:18.45pt;z-index:48755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" fillcolor="#d9d9d9" stroked="f" strokeweight="2pt">
                <v:textbox>
                  <w:txbxContent>
                    <w:p w14:paraId="03563A7E" w14:textId="77777777" w:rsidR="00B73CCC" w:rsidRDefault="00B73CCC" w:rsidP="00B73CCC">
                      <w:pPr>
                        <w:ind w:left="720"/>
                        <w:rPr>
                          <w:color w:val="000000"/>
                          <w:sz w:val="16"/>
                          <w:szCs w:val="16"/>
                        </w:rPr>
                      </w:pPr>
                      <w:r>
                        <w:rPr>
                          <w:color w:val="000000"/>
                          <w:sz w:val="16"/>
                          <w:szCs w:val="16"/>
                        </w:rPr>
                        <w:t>Όγκοι (χιλ. τόνοι)</w:t>
                      </w:r>
                    </w:p>
                  </w:txbxContent>
                </v:textbox>
              </v:rect>
            </w:pict>
          </mc:Fallback>
        </mc:AlternateContent>
      </w:r>
      <w:r w:rsidRPr="003A6F5B">
        <w:rPr>
          <w:noProof/>
        </w:rPr>
        <w:t xml:space="preserve"> </w:t>
      </w:r>
      <w:r>
        <w:rPr>
          <w:noProof/>
        </w:rPr>
        <w:drawing>
          <wp:inline distT="0" distB="0" distL="0" distR="0" wp14:anchorId="66CE3FD4" wp14:editId="117387A1">
            <wp:extent cx="2877857" cy="1946910"/>
            <wp:effectExtent l="0" t="0" r="17780" b="15240"/>
            <wp:docPr id="1381165279" name="Chart 1">
              <a:extLst xmlns:a="http://schemas.openxmlformats.org/drawingml/2006/main">
                <a:ext uri="{FF2B5EF4-FFF2-40B4-BE49-F238E27FC236}">
                  <a16:creationId xmlns:a16="http://schemas.microsoft.com/office/drawing/2014/main" id="{BED236E3-9270-4CBD-A7ED-7B30E75AD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A6F5B">
        <w:rPr>
          <w:noProof/>
        </w:rPr>
        <w:t xml:space="preserve"> </w:t>
      </w:r>
      <w:r>
        <w:rPr>
          <w:noProof/>
        </w:rPr>
        <w:drawing>
          <wp:inline distT="0" distB="0" distL="0" distR="0" wp14:anchorId="1826D646" wp14:editId="24F70A68">
            <wp:extent cx="3005593" cy="2058670"/>
            <wp:effectExtent l="0" t="0" r="4445" b="17780"/>
            <wp:docPr id="530193634" name="Chart 1">
              <a:extLst xmlns:a="http://schemas.openxmlformats.org/drawingml/2006/main">
                <a:ext uri="{FF2B5EF4-FFF2-40B4-BE49-F238E27FC236}">
                  <a16:creationId xmlns:a16="http://schemas.microsoft.com/office/drawing/2014/main" id="{A2A7A1BB-1916-462C-9996-5B2E820F6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3456FC7E" wp14:editId="082136E8">
            <wp:extent cx="2909570" cy="2043486"/>
            <wp:effectExtent l="0" t="0" r="5080" b="13970"/>
            <wp:docPr id="192423773" name="Chart 1">
              <a:extLst xmlns:a="http://schemas.openxmlformats.org/drawingml/2006/main">
                <a:ext uri="{FF2B5EF4-FFF2-40B4-BE49-F238E27FC236}">
                  <a16:creationId xmlns:a16="http://schemas.microsoft.com/office/drawing/2014/main" id="{D3C5070C-CDD7-4EE4-9AFB-791F1C38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A6F5B">
        <w:rPr>
          <w:noProof/>
        </w:rPr>
        <w:t xml:space="preserve"> </w:t>
      </w:r>
      <w:bookmarkEnd w:id="0"/>
    </w:p>
    <w:p w14:paraId="75E97E5B" w14:textId="77777777" w:rsidR="0048227D" w:rsidRDefault="0048227D" w:rsidP="00B73CCC">
      <w:pPr>
        <w:spacing w:before="240"/>
        <w:jc w:val="both"/>
        <w:rPr>
          <w:color w:val="231F20"/>
          <w:sz w:val="20"/>
          <w:szCs w:val="18"/>
        </w:rPr>
        <w:sectPr w:rsidR="0048227D" w:rsidSect="00B73CCC">
          <w:headerReference w:type="default" r:id="rId15"/>
          <w:footerReference w:type="default" r:id="rId16"/>
          <w:pgSz w:w="11910" w:h="16840"/>
          <w:pgMar w:top="993" w:right="570" w:bottom="1440" w:left="709" w:header="0" w:footer="749" w:gutter="0"/>
          <w:pgBorders w:offsetFrom="page">
            <w:bottom w:val="single" w:sz="4" w:space="24" w:color="auto"/>
          </w:pgBorders>
          <w:cols w:space="720"/>
          <w:docGrid w:linePitch="299"/>
        </w:sectPr>
      </w:pPr>
      <w:bookmarkStart w:id="1" w:name="_Hlk191624454"/>
    </w:p>
    <w:p w14:paraId="01ED0BD5" w14:textId="77777777" w:rsidR="00B73CCC" w:rsidRPr="00DE231D" w:rsidRDefault="00B73CCC" w:rsidP="00B73CCC">
      <w:pPr>
        <w:spacing w:before="240"/>
        <w:jc w:val="both"/>
        <w:rPr>
          <w:color w:val="231F20"/>
          <w:sz w:val="20"/>
          <w:szCs w:val="18"/>
        </w:rPr>
      </w:pPr>
      <w:r w:rsidRPr="00DE231D">
        <w:rPr>
          <w:color w:val="231F20"/>
          <w:sz w:val="20"/>
          <w:szCs w:val="18"/>
        </w:rPr>
        <w:lastRenderedPageBreak/>
        <w:t>Σχολιάζοντας τα αποτελέσματα, ο Γενικός Διευθυντής Κλάδου Αλουμινίου, Νικόλαος Καραμπατέας, δήλωσε:</w:t>
      </w:r>
    </w:p>
    <w:p w14:paraId="7DEBAC2A" w14:textId="77777777" w:rsidR="00B73CCC" w:rsidRPr="00631924" w:rsidRDefault="00B73CCC" w:rsidP="00B73CCC">
      <w:pPr>
        <w:jc w:val="both"/>
        <w:rPr>
          <w:color w:val="231F20"/>
          <w:sz w:val="20"/>
          <w:szCs w:val="18"/>
          <w:highlight w:val="yellow"/>
        </w:rPr>
      </w:pPr>
    </w:p>
    <w:p w14:paraId="5538B388" w14:textId="69902840" w:rsidR="00B73CCC" w:rsidRPr="00631924" w:rsidRDefault="00B73CCC" w:rsidP="00B73CCC">
      <w:pPr>
        <w:jc w:val="both"/>
        <w:rPr>
          <w:color w:val="231F20"/>
          <w:sz w:val="20"/>
          <w:szCs w:val="18"/>
          <w:highlight w:val="yellow"/>
        </w:rPr>
      </w:pPr>
      <w:r w:rsidRPr="001E402B">
        <w:rPr>
          <w:color w:val="231F20"/>
          <w:sz w:val="20"/>
          <w:szCs w:val="18"/>
        </w:rPr>
        <w:t>«Επιβεβαιώθηκε για ακόμη μια φορά η ενίσχυση της ανταγωνιστικότητας της εταιρ</w:t>
      </w:r>
      <w:r>
        <w:rPr>
          <w:color w:val="231F20"/>
          <w:sz w:val="20"/>
          <w:szCs w:val="18"/>
        </w:rPr>
        <w:t>ε</w:t>
      </w:r>
      <w:r w:rsidRPr="001E402B">
        <w:rPr>
          <w:color w:val="231F20"/>
          <w:sz w:val="20"/>
          <w:szCs w:val="18"/>
        </w:rPr>
        <w:t xml:space="preserve">ίας μέσω της υλοποίησης του επενδυτικού πλάνου για την αύξηση της παραγωγικής δυναμικότητας του τομέα έλασης αλουμινίου. Η βελτιστοποίηση του μίγματος παραγωγής σε συνδυασμό με την υψηλή παραγωγικότητα οδήγησαν  σε άνοδο του όγκου πωλήσεων το 2024, με έμφαση στα προϊόντα αλουμινίου υψηλής τεχνολογίας για την αγορά της άκαμπτης συσκευασίας και της αυτοκινητοβιομηχανίας. Οι </w:t>
      </w:r>
      <w:r w:rsidR="00D37FBE">
        <w:rPr>
          <w:color w:val="231F20"/>
          <w:sz w:val="20"/>
          <w:szCs w:val="18"/>
        </w:rPr>
        <w:t>μειωμένες</w:t>
      </w:r>
      <w:r w:rsidRPr="001E402B">
        <w:rPr>
          <w:color w:val="231F20"/>
          <w:sz w:val="20"/>
          <w:szCs w:val="18"/>
        </w:rPr>
        <w:t xml:space="preserve"> πωλήσεις που σημειώθηκαν στον κλάδο της εύκαμπτης συσκευασίας το </w:t>
      </w:r>
      <w:r>
        <w:rPr>
          <w:color w:val="231F20"/>
          <w:sz w:val="20"/>
          <w:szCs w:val="18"/>
          <w:lang w:val="en-US"/>
        </w:rPr>
        <w:t>A</w:t>
      </w:r>
      <w:r w:rsidRPr="001E402B">
        <w:rPr>
          <w:color w:val="231F20"/>
          <w:sz w:val="20"/>
          <w:szCs w:val="18"/>
        </w:rPr>
        <w:t>’ τρίμηνο του έτους, επηρέασαν τα οργανικά αποτελέσματα σημειώνοντας μείωση σε σχέση με το 2023. Ωστόσο ο κλάδος</w:t>
      </w:r>
      <w:r>
        <w:rPr>
          <w:color w:val="231F20"/>
          <w:sz w:val="20"/>
          <w:szCs w:val="18"/>
        </w:rPr>
        <w:t xml:space="preserve"> </w:t>
      </w:r>
      <w:r w:rsidRPr="001E402B">
        <w:rPr>
          <w:color w:val="231F20"/>
          <w:sz w:val="20"/>
          <w:szCs w:val="18"/>
        </w:rPr>
        <w:t>ανέκαμψε πλήρως, διατηρώντας τους όγκους πωλήσεων σε υψηλά επίπεδα,</w:t>
      </w:r>
      <w:r>
        <w:rPr>
          <w:color w:val="231F20"/>
          <w:sz w:val="20"/>
          <w:szCs w:val="18"/>
        </w:rPr>
        <w:t xml:space="preserve"> </w:t>
      </w:r>
      <w:r w:rsidRPr="001E402B">
        <w:rPr>
          <w:color w:val="231F20"/>
          <w:sz w:val="20"/>
          <w:szCs w:val="18"/>
        </w:rPr>
        <w:t>επιβεβαιώνοντας την ανθεκτικότητα στις μεταβαλλόμενες διεθνείς συνθήκες και τη δυναμική της πελατοκεντρικής μας προσέγγισης. Το επενδυτικό πλάνο παρέμεινε σε χαμηλά επίπεδα το 2024 αφήνοντας περιθώριο στις πρόσφατες επενδύσεις να ωριμάσουν, ενώ παράλληλα, τέθηκαν σε εφαρμογή προγράμματα βελτιστοποίηση</w:t>
      </w:r>
      <w:r>
        <w:rPr>
          <w:color w:val="231F20"/>
          <w:sz w:val="20"/>
          <w:szCs w:val="18"/>
        </w:rPr>
        <w:t>ς</w:t>
      </w:r>
      <w:r w:rsidRPr="001E402B">
        <w:rPr>
          <w:color w:val="231F20"/>
          <w:sz w:val="20"/>
          <w:szCs w:val="18"/>
        </w:rPr>
        <w:t xml:space="preserve"> του κεφαλαίου κίνησης, επιτυγχάνοντας</w:t>
      </w:r>
      <w:r>
        <w:rPr>
          <w:color w:val="231F20"/>
          <w:sz w:val="20"/>
          <w:szCs w:val="18"/>
        </w:rPr>
        <w:t xml:space="preserve"> </w:t>
      </w:r>
      <w:r w:rsidRPr="001E402B">
        <w:rPr>
          <w:color w:val="231F20"/>
          <w:sz w:val="20"/>
          <w:szCs w:val="18"/>
        </w:rPr>
        <w:t>τη</w:t>
      </w:r>
      <w:r>
        <w:rPr>
          <w:color w:val="231F20"/>
          <w:sz w:val="20"/>
          <w:szCs w:val="18"/>
        </w:rPr>
        <w:t>ν</w:t>
      </w:r>
      <w:r w:rsidRPr="001E402B">
        <w:rPr>
          <w:color w:val="231F20"/>
          <w:sz w:val="20"/>
          <w:szCs w:val="18"/>
        </w:rPr>
        <w:t xml:space="preserve"> ισχυροποίηση των ελεύθερων ταμειακών ροών. Οι υφιστάμενες τεχνολογίες αιχμής και η τεχνογνωσία του ανθρώπινου δυναμικού, επεκτείνουν συνεχώς το εύρος εφαρμογών του αλουμινίου, το καθιστούν ακόμα πιο σημαντικό για ένα βιώσιμο μέλλον και θέτουν ισχυρές βάσεις για την περ</w:t>
      </w:r>
      <w:r>
        <w:rPr>
          <w:color w:val="231F20"/>
          <w:sz w:val="20"/>
          <w:szCs w:val="18"/>
        </w:rPr>
        <w:t>αι</w:t>
      </w:r>
      <w:r w:rsidRPr="001E402B">
        <w:rPr>
          <w:color w:val="231F20"/>
          <w:sz w:val="20"/>
          <w:szCs w:val="18"/>
        </w:rPr>
        <w:t>τ</w:t>
      </w:r>
      <w:r>
        <w:rPr>
          <w:color w:val="231F20"/>
          <w:sz w:val="20"/>
          <w:szCs w:val="18"/>
        </w:rPr>
        <w:t>έ</w:t>
      </w:r>
      <w:r w:rsidRPr="001E402B">
        <w:rPr>
          <w:color w:val="231F20"/>
          <w:sz w:val="20"/>
          <w:szCs w:val="18"/>
        </w:rPr>
        <w:t>ρω ανάπτυξη του κλάδου.»</w:t>
      </w:r>
    </w:p>
    <w:p w14:paraId="7B4C44F0" w14:textId="77777777" w:rsidR="00B73CCC" w:rsidRPr="009366A2" w:rsidRDefault="00B73CCC" w:rsidP="00B73CCC">
      <w:pPr>
        <w:jc w:val="both"/>
        <w:rPr>
          <w:color w:val="231F20"/>
          <w:sz w:val="20"/>
          <w:szCs w:val="18"/>
        </w:rPr>
      </w:pPr>
    </w:p>
    <w:p w14:paraId="37FDB7E7" w14:textId="77777777" w:rsidR="00B73CCC" w:rsidRPr="00207751" w:rsidRDefault="00B73CCC" w:rsidP="00B73CCC">
      <w:pPr>
        <w:jc w:val="both"/>
        <w:rPr>
          <w:color w:val="231F20"/>
          <w:sz w:val="20"/>
          <w:szCs w:val="18"/>
        </w:rPr>
      </w:pPr>
      <w:r w:rsidRPr="00207751">
        <w:rPr>
          <w:color w:val="231F20"/>
          <w:sz w:val="20"/>
          <w:szCs w:val="18"/>
        </w:rPr>
        <w:t xml:space="preserve">Σχολιάζοντας τα αποτελέσματα, ο Γενικός Διευθυντής Κλάδου Χαλκού, Πάνος Λώλος, </w:t>
      </w:r>
      <w:r w:rsidRPr="00DE231D">
        <w:rPr>
          <w:color w:val="231F20"/>
          <w:sz w:val="20"/>
          <w:szCs w:val="18"/>
        </w:rPr>
        <w:t>δήλωσε</w:t>
      </w:r>
      <w:r w:rsidRPr="00207751">
        <w:rPr>
          <w:color w:val="231F20"/>
          <w:sz w:val="20"/>
          <w:szCs w:val="18"/>
        </w:rPr>
        <w:t>:</w:t>
      </w:r>
    </w:p>
    <w:p w14:paraId="1B84F78E" w14:textId="77777777" w:rsidR="00B73CCC" w:rsidRPr="00631924" w:rsidRDefault="00B73CCC" w:rsidP="00B73CCC">
      <w:pPr>
        <w:jc w:val="both"/>
        <w:rPr>
          <w:color w:val="231F20"/>
          <w:sz w:val="20"/>
          <w:szCs w:val="18"/>
          <w:highlight w:val="yellow"/>
        </w:rPr>
      </w:pPr>
    </w:p>
    <w:p w14:paraId="5719C5DF" w14:textId="77777777" w:rsidR="00B73CCC" w:rsidRPr="003A6F5B" w:rsidRDefault="00B73CCC" w:rsidP="00B73CCC">
      <w:pPr>
        <w:spacing w:before="34" w:after="240"/>
        <w:ind w:right="-20"/>
        <w:jc w:val="both"/>
        <w:rPr>
          <w:color w:val="231F20"/>
          <w:sz w:val="20"/>
          <w:szCs w:val="18"/>
        </w:rPr>
      </w:pPr>
      <w:r w:rsidRPr="00207751">
        <w:rPr>
          <w:color w:val="231F20"/>
          <w:sz w:val="20"/>
          <w:szCs w:val="18"/>
        </w:rPr>
        <w:t>«</w:t>
      </w:r>
      <w:r w:rsidRPr="0045419A">
        <w:rPr>
          <w:color w:val="231F20"/>
          <w:sz w:val="20"/>
          <w:szCs w:val="18"/>
        </w:rPr>
        <w:t>Η ισχυρή οργανική κερδοφορία του Κλάδου Χαλκού επιβεβαιώνει για ένα ακόμα έτος την ανθεκτικότητ</w:t>
      </w:r>
      <w:r>
        <w:rPr>
          <w:color w:val="231F20"/>
          <w:sz w:val="20"/>
          <w:szCs w:val="18"/>
        </w:rPr>
        <w:t>ά</w:t>
      </w:r>
      <w:r w:rsidRPr="0045419A">
        <w:rPr>
          <w:color w:val="231F20"/>
          <w:sz w:val="20"/>
          <w:szCs w:val="18"/>
        </w:rPr>
        <w:t xml:space="preserve"> μας απέναντι στις μεταβολές του οικονομικού</w:t>
      </w:r>
      <w:r w:rsidRPr="007A0EA3">
        <w:rPr>
          <w:color w:val="231F20"/>
          <w:sz w:val="20"/>
          <w:szCs w:val="18"/>
        </w:rPr>
        <w:t xml:space="preserve"> </w:t>
      </w:r>
      <w:r w:rsidRPr="0045419A">
        <w:rPr>
          <w:color w:val="231F20"/>
          <w:sz w:val="20"/>
          <w:szCs w:val="18"/>
        </w:rPr>
        <w:t>περιβάλλοντος και τις προκλήσεις στους τομείς των κατασκευών, της αυτοκινητοβιομηχανίας και διαφόρων βιομηχανικών εφαρμογών, παρά τη μειωμένη ζήτηση για σχετικά προϊόντα</w:t>
      </w:r>
      <w:r w:rsidRPr="00B20D2C">
        <w:rPr>
          <w:color w:val="231F20"/>
          <w:sz w:val="20"/>
          <w:szCs w:val="18"/>
        </w:rPr>
        <w:t xml:space="preserve"> </w:t>
      </w:r>
      <w:r w:rsidRPr="0045419A">
        <w:rPr>
          <w:color w:val="231F20"/>
          <w:sz w:val="20"/>
          <w:szCs w:val="18"/>
        </w:rPr>
        <w:t xml:space="preserve">μας. Κατά τη διάρκεια του έτους καταφέραμε να πετύχουμε αύξηση του όγκου πωλήσεων σε συγκεκριμένες προϊοντικές κατηγορίες και να ενισχύσουμε τα μερίδια αγοράς για τα βασικά μας προϊόντα. Οι κύριοι πυλώνες των προσπαθειών μας είναι η ανάπτυξη καινοτόμων προϊόντων υψηλής προστιθέμενης αξίας, η βελτιστοποίηση της βιομηχανικής μας παραγωγής και το υψηλό επίπεδο των υπηρεσιών μας. Επιπρόσθετα, οι στρατηγικές για συγκράτηση και μείωση κόστους, συνέβαλαν στη διατήρηση της λειτουργικής κερδοφορίας του </w:t>
      </w:r>
      <w:r>
        <w:rPr>
          <w:color w:val="231F20"/>
          <w:sz w:val="20"/>
          <w:szCs w:val="18"/>
        </w:rPr>
        <w:t>Κ</w:t>
      </w:r>
      <w:r w:rsidRPr="0045419A">
        <w:rPr>
          <w:color w:val="231F20"/>
          <w:sz w:val="20"/>
          <w:szCs w:val="18"/>
        </w:rPr>
        <w:t>λάδου σε υψηλά επίπεδα. Το επενδυτικό πρόγραμμα στη Sofia Med συνεχίζεται επιτυχώς, και αναμένεται να ενισχύσει τη θέση της σε μία ανταγωνιστική αγορά, ενώ προσδιορίστηκαν οι πλέον βασικές μελλοντικές στρατηγικές μας κινήσεις προκειμένου να αυξήσουμε την ανταγωνιστικότητα και την θέση του Κλάδου Χαλκού στις διεθνείς αγορές</w:t>
      </w:r>
      <w:r w:rsidRPr="00207751">
        <w:rPr>
          <w:color w:val="231F20"/>
          <w:sz w:val="20"/>
          <w:szCs w:val="18"/>
        </w:rPr>
        <w:t>»</w:t>
      </w:r>
      <w:r>
        <w:rPr>
          <w:color w:val="231F20"/>
          <w:sz w:val="20"/>
          <w:szCs w:val="18"/>
        </w:rPr>
        <w:t>.</w:t>
      </w:r>
    </w:p>
    <w:p w14:paraId="12C8DA33" w14:textId="77777777" w:rsidR="00B73CCC" w:rsidRPr="002408CA" w:rsidRDefault="00B73CCC" w:rsidP="00B73CCC">
      <w:pPr>
        <w:spacing w:before="34" w:after="240"/>
        <w:ind w:right="-20"/>
        <w:rPr>
          <w:b/>
          <w:bCs/>
          <w:color w:val="A6A6A6" w:themeColor="background1" w:themeShade="A6"/>
          <w:spacing w:val="7"/>
          <w:sz w:val="24"/>
          <w:szCs w:val="24"/>
        </w:rPr>
      </w:pPr>
      <w:r w:rsidRPr="003A6F5B">
        <w:rPr>
          <w:b/>
          <w:bCs/>
          <w:color w:val="A6A6A6" w:themeColor="background1" w:themeShade="A6"/>
          <w:spacing w:val="7"/>
          <w:sz w:val="24"/>
          <w:szCs w:val="24"/>
        </w:rPr>
        <w:t>Επισκόπηση</w:t>
      </w:r>
    </w:p>
    <w:p w14:paraId="3E67965E" w14:textId="77777777" w:rsidR="00B73CCC" w:rsidRPr="003B0010" w:rsidRDefault="00B73CCC" w:rsidP="00B73CCC">
      <w:pPr>
        <w:spacing w:before="34" w:after="240"/>
        <w:ind w:right="-20"/>
        <w:jc w:val="both"/>
        <w:rPr>
          <w:color w:val="231F20"/>
          <w:sz w:val="20"/>
          <w:szCs w:val="18"/>
        </w:rPr>
      </w:pPr>
      <w:r w:rsidRPr="00F52FEC">
        <w:rPr>
          <w:color w:val="231F20"/>
          <w:sz w:val="20"/>
          <w:szCs w:val="18"/>
        </w:rPr>
        <w:t xml:space="preserve">Ο Όμιλος ElvalHalcor κατάφερε να συνεχίσει την ανοδική του πορεία παρά τις προκλήσεις του οικονομικού περιβάλλοντος </w:t>
      </w:r>
      <w:r>
        <w:rPr>
          <w:color w:val="231F20"/>
          <w:sz w:val="20"/>
          <w:szCs w:val="18"/>
        </w:rPr>
        <w:t>και τη μειωμένη ζήτηση στον κατασκευαστικό κλάδο</w:t>
      </w:r>
      <w:r w:rsidRPr="00F52FEC">
        <w:rPr>
          <w:color w:val="231F20"/>
          <w:sz w:val="20"/>
          <w:szCs w:val="18"/>
        </w:rPr>
        <w:t>. Ο όγκος πωλήσεων</w:t>
      </w:r>
      <w:r>
        <w:rPr>
          <w:color w:val="231F20"/>
          <w:sz w:val="20"/>
          <w:szCs w:val="18"/>
        </w:rPr>
        <w:t xml:space="preserve"> των προϊόντων αλουμινίου</w:t>
      </w:r>
      <w:r w:rsidRPr="00F52FEC">
        <w:rPr>
          <w:color w:val="231F20"/>
          <w:sz w:val="20"/>
          <w:szCs w:val="18"/>
        </w:rPr>
        <w:t xml:space="preserve"> αυξήθηκε </w:t>
      </w:r>
      <w:r w:rsidRPr="003B0010">
        <w:rPr>
          <w:color w:val="231F20"/>
          <w:sz w:val="20"/>
          <w:szCs w:val="18"/>
        </w:rPr>
        <w:t>κατά 7,3</w:t>
      </w:r>
      <w:r w:rsidRPr="00F52FEC">
        <w:rPr>
          <w:color w:val="231F20"/>
          <w:sz w:val="20"/>
          <w:szCs w:val="18"/>
        </w:rPr>
        <w:t xml:space="preserve">% σε σύγκριση </w:t>
      </w:r>
      <w:r>
        <w:rPr>
          <w:color w:val="231F20"/>
          <w:sz w:val="20"/>
          <w:szCs w:val="18"/>
        </w:rPr>
        <w:t>με το</w:t>
      </w:r>
      <w:r w:rsidRPr="00F52FEC">
        <w:rPr>
          <w:color w:val="231F20"/>
          <w:sz w:val="20"/>
          <w:szCs w:val="18"/>
        </w:rPr>
        <w:t xml:space="preserve"> 2023</w:t>
      </w:r>
      <w:r>
        <w:rPr>
          <w:color w:val="231F20"/>
          <w:sz w:val="20"/>
          <w:szCs w:val="18"/>
        </w:rPr>
        <w:t>,</w:t>
      </w:r>
      <w:r w:rsidRPr="00F52FEC">
        <w:rPr>
          <w:color w:val="231F20"/>
          <w:sz w:val="20"/>
          <w:szCs w:val="18"/>
        </w:rPr>
        <w:t xml:space="preserve"> ενώ αν εξαιρέσουμε και το αποτέλεσμα της απ</w:t>
      </w:r>
      <w:r>
        <w:rPr>
          <w:color w:val="231F20"/>
          <w:sz w:val="20"/>
          <w:szCs w:val="18"/>
        </w:rPr>
        <w:t>ο</w:t>
      </w:r>
      <w:r w:rsidRPr="00F52FEC">
        <w:rPr>
          <w:color w:val="231F20"/>
          <w:sz w:val="20"/>
          <w:szCs w:val="18"/>
        </w:rPr>
        <w:t>-ενοποίησης της ΕΤΕΜ κατά το Α’ τρίμηνο του 2023</w:t>
      </w:r>
      <w:r>
        <w:rPr>
          <w:color w:val="231F20"/>
          <w:sz w:val="20"/>
          <w:szCs w:val="18"/>
        </w:rPr>
        <w:t>,</w:t>
      </w:r>
      <w:r w:rsidRPr="00F52FEC">
        <w:rPr>
          <w:color w:val="231F20"/>
          <w:sz w:val="20"/>
          <w:szCs w:val="18"/>
        </w:rPr>
        <w:t xml:space="preserve"> η αύξηση αυτή </w:t>
      </w:r>
      <w:r w:rsidRPr="003B0010">
        <w:rPr>
          <w:color w:val="231F20"/>
          <w:sz w:val="20"/>
          <w:szCs w:val="18"/>
        </w:rPr>
        <w:t>ήταν 7,9%,</w:t>
      </w:r>
      <w:r w:rsidRPr="00F52FEC">
        <w:rPr>
          <w:color w:val="231F20"/>
          <w:sz w:val="20"/>
          <w:szCs w:val="18"/>
        </w:rPr>
        <w:t xml:space="preserve"> επηρεαζόμενη κυρίως από τις αυξημένες πωλήσεις των προϊόντων για τη συσκευασία. </w:t>
      </w:r>
      <w:r>
        <w:rPr>
          <w:color w:val="231F20"/>
          <w:sz w:val="20"/>
          <w:szCs w:val="18"/>
        </w:rPr>
        <w:t>Αντίθετα, ο όγκος πωλήσεων του Κλάδου Χαλκού παρουσίασε μείωση κατά 2,4% επηρεαζόμενος από τη χαμηλή ζήτηση για τα προϊόντα του.</w:t>
      </w:r>
    </w:p>
    <w:p w14:paraId="270064B3" w14:textId="709E4483" w:rsidR="00B73CCC" w:rsidRPr="003A6F5B" w:rsidRDefault="00B73CCC" w:rsidP="00B73CCC">
      <w:pPr>
        <w:spacing w:after="240"/>
        <w:jc w:val="both"/>
        <w:rPr>
          <w:color w:val="231F20"/>
          <w:sz w:val="20"/>
          <w:szCs w:val="20"/>
        </w:rPr>
      </w:pPr>
      <w:r w:rsidRPr="003A6F5B">
        <w:rPr>
          <w:color w:val="231F20"/>
          <w:sz w:val="20"/>
          <w:szCs w:val="20"/>
        </w:rPr>
        <w:t xml:space="preserve">Οι τιμές των μετάλλων στο LME κινήθηκαν σε υψηλά επίπεδα </w:t>
      </w:r>
      <w:r>
        <w:rPr>
          <w:color w:val="231F20"/>
          <w:sz w:val="20"/>
          <w:szCs w:val="20"/>
        </w:rPr>
        <w:t>κατά τη διάρκεια του έτους</w:t>
      </w:r>
      <w:r w:rsidRPr="003A6F5B">
        <w:rPr>
          <w:color w:val="231F20"/>
          <w:sz w:val="20"/>
          <w:szCs w:val="20"/>
        </w:rPr>
        <w:t>. Η μέση τιμή του αλουμινίου διαμορφώθηκε στα 2.</w:t>
      </w:r>
      <w:r>
        <w:rPr>
          <w:color w:val="231F20"/>
          <w:sz w:val="20"/>
          <w:szCs w:val="20"/>
        </w:rPr>
        <w:t>2</w:t>
      </w:r>
      <w:r w:rsidR="00877CFA" w:rsidRPr="00877CFA">
        <w:rPr>
          <w:color w:val="231F20"/>
          <w:sz w:val="20"/>
          <w:szCs w:val="20"/>
        </w:rPr>
        <w:t>36</w:t>
      </w:r>
      <w:r w:rsidRPr="003A6F5B">
        <w:rPr>
          <w:color w:val="231F20"/>
          <w:sz w:val="20"/>
          <w:szCs w:val="20"/>
        </w:rPr>
        <w:t xml:space="preserve"> ευρώ ανά τόνο έναντι 2.0</w:t>
      </w:r>
      <w:r>
        <w:rPr>
          <w:color w:val="231F20"/>
          <w:sz w:val="20"/>
          <w:szCs w:val="20"/>
        </w:rPr>
        <w:t>81</w:t>
      </w:r>
      <w:r w:rsidRPr="003A6F5B">
        <w:rPr>
          <w:color w:val="231F20"/>
          <w:sz w:val="20"/>
          <w:szCs w:val="20"/>
        </w:rPr>
        <w:t xml:space="preserve"> ευρώ ανά τόνο το 2023, ήτοι αύξηση </w:t>
      </w:r>
      <w:r>
        <w:rPr>
          <w:color w:val="231F20"/>
          <w:sz w:val="20"/>
          <w:szCs w:val="20"/>
        </w:rPr>
        <w:t>7</w:t>
      </w:r>
      <w:r w:rsidRPr="003A6F5B">
        <w:rPr>
          <w:color w:val="231F20"/>
          <w:sz w:val="20"/>
          <w:szCs w:val="20"/>
        </w:rPr>
        <w:t>,</w:t>
      </w:r>
      <w:r w:rsidR="006E3608" w:rsidRPr="006E3608">
        <w:rPr>
          <w:color w:val="231F20"/>
          <w:sz w:val="20"/>
          <w:szCs w:val="20"/>
        </w:rPr>
        <w:t>4</w:t>
      </w:r>
      <w:r w:rsidRPr="003A6F5B">
        <w:rPr>
          <w:color w:val="231F20"/>
          <w:sz w:val="20"/>
          <w:szCs w:val="20"/>
        </w:rPr>
        <w:t xml:space="preserve">%. Η μέση τιμή του χαλκού διαμορφώθηκε στα </w:t>
      </w:r>
      <w:r>
        <w:rPr>
          <w:color w:val="231F20"/>
          <w:sz w:val="20"/>
          <w:szCs w:val="20"/>
        </w:rPr>
        <w:t>8</w:t>
      </w:r>
      <w:r w:rsidRPr="003A6F5B">
        <w:rPr>
          <w:color w:val="231F20"/>
          <w:sz w:val="20"/>
          <w:szCs w:val="20"/>
        </w:rPr>
        <w:t>.</w:t>
      </w:r>
      <w:r>
        <w:rPr>
          <w:color w:val="231F20"/>
          <w:sz w:val="20"/>
          <w:szCs w:val="20"/>
        </w:rPr>
        <w:t>45</w:t>
      </w:r>
      <w:r w:rsidR="00E65ECC" w:rsidRPr="00877CFA">
        <w:rPr>
          <w:color w:val="231F20"/>
          <w:sz w:val="20"/>
          <w:szCs w:val="20"/>
        </w:rPr>
        <w:t>4</w:t>
      </w:r>
      <w:r w:rsidRPr="003A6F5B">
        <w:rPr>
          <w:color w:val="231F20"/>
          <w:sz w:val="20"/>
          <w:szCs w:val="20"/>
        </w:rPr>
        <w:t xml:space="preserve"> ευρώ ανά τόνο</w:t>
      </w:r>
      <w:r>
        <w:rPr>
          <w:color w:val="231F20"/>
          <w:sz w:val="20"/>
          <w:szCs w:val="20"/>
        </w:rPr>
        <w:t xml:space="preserve"> το 2024</w:t>
      </w:r>
      <w:r w:rsidRPr="003A6F5B">
        <w:rPr>
          <w:color w:val="231F20"/>
          <w:sz w:val="20"/>
          <w:szCs w:val="20"/>
        </w:rPr>
        <w:t xml:space="preserve"> έναντι </w:t>
      </w:r>
      <w:r>
        <w:rPr>
          <w:color w:val="231F20"/>
          <w:sz w:val="20"/>
          <w:szCs w:val="20"/>
        </w:rPr>
        <w:t>7</w:t>
      </w:r>
      <w:r w:rsidRPr="003A6F5B">
        <w:rPr>
          <w:color w:val="231F20"/>
          <w:sz w:val="20"/>
          <w:szCs w:val="20"/>
        </w:rPr>
        <w:t>.</w:t>
      </w:r>
      <w:r>
        <w:rPr>
          <w:color w:val="231F20"/>
          <w:sz w:val="20"/>
          <w:szCs w:val="20"/>
        </w:rPr>
        <w:t>842</w:t>
      </w:r>
      <w:r w:rsidRPr="003A6F5B">
        <w:rPr>
          <w:color w:val="231F20"/>
          <w:sz w:val="20"/>
          <w:szCs w:val="20"/>
        </w:rPr>
        <w:t xml:space="preserve"> ευρώ ανά τόνο την αντίστοιχη περσινή </w:t>
      </w:r>
      <w:r>
        <w:rPr>
          <w:color w:val="231F20"/>
          <w:sz w:val="20"/>
          <w:szCs w:val="20"/>
        </w:rPr>
        <w:t>χρήση</w:t>
      </w:r>
      <w:r w:rsidRPr="003A6F5B">
        <w:rPr>
          <w:color w:val="231F20"/>
          <w:sz w:val="20"/>
          <w:szCs w:val="20"/>
        </w:rPr>
        <w:t xml:space="preserve">, αυξημένη κατά </w:t>
      </w:r>
      <w:r>
        <w:rPr>
          <w:color w:val="231F20"/>
          <w:sz w:val="20"/>
          <w:szCs w:val="20"/>
        </w:rPr>
        <w:t>7</w:t>
      </w:r>
      <w:r w:rsidRPr="003A6F5B">
        <w:rPr>
          <w:color w:val="231F20"/>
          <w:sz w:val="20"/>
          <w:szCs w:val="20"/>
        </w:rPr>
        <w:t>,</w:t>
      </w:r>
      <w:r>
        <w:rPr>
          <w:color w:val="231F20"/>
          <w:sz w:val="20"/>
          <w:szCs w:val="20"/>
        </w:rPr>
        <w:t>8</w:t>
      </w:r>
      <w:r w:rsidRPr="003A6F5B">
        <w:rPr>
          <w:color w:val="231F20"/>
          <w:sz w:val="20"/>
          <w:szCs w:val="20"/>
        </w:rPr>
        <w:t xml:space="preserve">%, </w:t>
      </w:r>
      <w:r>
        <w:rPr>
          <w:color w:val="231F20"/>
          <w:sz w:val="20"/>
          <w:szCs w:val="20"/>
        </w:rPr>
        <w:t>ενώ</w:t>
      </w:r>
      <w:r w:rsidRPr="003A6F5B">
        <w:rPr>
          <w:color w:val="231F20"/>
          <w:sz w:val="20"/>
          <w:szCs w:val="20"/>
        </w:rPr>
        <w:t xml:space="preserve"> η μέση τιμή του ψευδάργυρου διαμορφώθηκε στα 2.</w:t>
      </w:r>
      <w:r w:rsidR="00877CFA" w:rsidRPr="00877CFA">
        <w:rPr>
          <w:color w:val="231F20"/>
          <w:sz w:val="20"/>
          <w:szCs w:val="20"/>
        </w:rPr>
        <w:t>569</w:t>
      </w:r>
      <w:r w:rsidRPr="003A6F5B">
        <w:rPr>
          <w:color w:val="231F20"/>
          <w:sz w:val="20"/>
          <w:szCs w:val="20"/>
        </w:rPr>
        <w:t xml:space="preserve"> ευρώ ανά τόνο </w:t>
      </w:r>
      <w:r>
        <w:rPr>
          <w:color w:val="231F20"/>
          <w:sz w:val="20"/>
          <w:szCs w:val="20"/>
        </w:rPr>
        <w:t>για τη κλεισμένη χρήση</w:t>
      </w:r>
      <w:r w:rsidRPr="003A6F5B">
        <w:rPr>
          <w:color w:val="231F20"/>
          <w:sz w:val="20"/>
          <w:szCs w:val="20"/>
        </w:rPr>
        <w:t xml:space="preserve"> έναντι </w:t>
      </w:r>
      <w:r w:rsidR="005120AB" w:rsidRPr="003A6F5B">
        <w:rPr>
          <w:color w:val="231F20"/>
          <w:sz w:val="20"/>
          <w:szCs w:val="20"/>
        </w:rPr>
        <w:t>2.4</w:t>
      </w:r>
      <w:r w:rsidR="005120AB">
        <w:rPr>
          <w:color w:val="231F20"/>
          <w:sz w:val="20"/>
          <w:szCs w:val="20"/>
        </w:rPr>
        <w:t>49</w:t>
      </w:r>
      <w:r w:rsidRPr="003A6F5B">
        <w:rPr>
          <w:color w:val="231F20"/>
          <w:sz w:val="20"/>
          <w:szCs w:val="20"/>
        </w:rPr>
        <w:t xml:space="preserve"> ευρώ αν</w:t>
      </w:r>
      <w:r>
        <w:rPr>
          <w:color w:val="231F20"/>
          <w:sz w:val="20"/>
          <w:szCs w:val="20"/>
        </w:rPr>
        <w:t>ά</w:t>
      </w:r>
      <w:r w:rsidRPr="003A6F5B">
        <w:rPr>
          <w:color w:val="231F20"/>
          <w:sz w:val="20"/>
          <w:szCs w:val="20"/>
        </w:rPr>
        <w:t xml:space="preserve"> τόνο το 2023, σημειώνοντας </w:t>
      </w:r>
      <w:r w:rsidR="005120AB">
        <w:rPr>
          <w:color w:val="231F20"/>
          <w:sz w:val="20"/>
          <w:szCs w:val="20"/>
        </w:rPr>
        <w:t>αύξησ</w:t>
      </w:r>
      <w:r w:rsidR="009C0324">
        <w:rPr>
          <w:color w:val="231F20"/>
          <w:sz w:val="20"/>
          <w:szCs w:val="20"/>
        </w:rPr>
        <w:t>η</w:t>
      </w:r>
      <w:r>
        <w:rPr>
          <w:color w:val="231F20"/>
          <w:sz w:val="20"/>
          <w:szCs w:val="20"/>
        </w:rPr>
        <w:t xml:space="preserve"> κατά</w:t>
      </w:r>
      <w:r w:rsidRPr="003A6F5B">
        <w:rPr>
          <w:color w:val="231F20"/>
          <w:sz w:val="20"/>
          <w:szCs w:val="20"/>
        </w:rPr>
        <w:t xml:space="preserve"> </w:t>
      </w:r>
      <w:r>
        <w:rPr>
          <w:color w:val="231F20"/>
          <w:sz w:val="20"/>
          <w:szCs w:val="20"/>
        </w:rPr>
        <w:t>4</w:t>
      </w:r>
      <w:r w:rsidRPr="003A6F5B">
        <w:rPr>
          <w:color w:val="231F20"/>
          <w:sz w:val="20"/>
          <w:szCs w:val="20"/>
        </w:rPr>
        <w:t>,</w:t>
      </w:r>
      <w:r w:rsidR="006E3608" w:rsidRPr="00BF4429">
        <w:rPr>
          <w:color w:val="231F20"/>
          <w:sz w:val="20"/>
          <w:szCs w:val="20"/>
        </w:rPr>
        <w:t>9</w:t>
      </w:r>
      <w:r w:rsidRPr="003A6F5B">
        <w:rPr>
          <w:color w:val="231F20"/>
          <w:sz w:val="20"/>
          <w:szCs w:val="20"/>
        </w:rPr>
        <w:t>%.</w:t>
      </w:r>
    </w:p>
    <w:p w14:paraId="5523E49E" w14:textId="6DF31E4F" w:rsidR="00B73CCC" w:rsidRPr="003A6F5B" w:rsidRDefault="00B73CCC" w:rsidP="00B73CCC">
      <w:pPr>
        <w:spacing w:before="34" w:after="240"/>
        <w:ind w:right="-20"/>
        <w:jc w:val="both"/>
        <w:rPr>
          <w:color w:val="231F20"/>
          <w:sz w:val="20"/>
          <w:szCs w:val="18"/>
        </w:rPr>
      </w:pPr>
      <w:r w:rsidRPr="00F52FEC">
        <w:rPr>
          <w:color w:val="231F20"/>
          <w:sz w:val="20"/>
          <w:szCs w:val="18"/>
        </w:rPr>
        <w:t xml:space="preserve">Ο </w:t>
      </w:r>
      <w:r w:rsidR="00CD316F">
        <w:rPr>
          <w:color w:val="231F20"/>
          <w:sz w:val="20"/>
          <w:szCs w:val="18"/>
        </w:rPr>
        <w:t xml:space="preserve">ενοποιημένος </w:t>
      </w:r>
      <w:r w:rsidRPr="00F52FEC">
        <w:rPr>
          <w:color w:val="231F20"/>
          <w:sz w:val="20"/>
          <w:szCs w:val="18"/>
        </w:rPr>
        <w:t xml:space="preserve">κύκλος εργασιών διαμορφώθηκε στα </w:t>
      </w:r>
      <w:r w:rsidRPr="005D37EB">
        <w:rPr>
          <w:color w:val="231F20"/>
          <w:sz w:val="20"/>
          <w:szCs w:val="18"/>
        </w:rPr>
        <w:t>3</w:t>
      </w:r>
      <w:r w:rsidRPr="00F52FEC">
        <w:rPr>
          <w:color w:val="231F20"/>
          <w:sz w:val="20"/>
          <w:szCs w:val="18"/>
        </w:rPr>
        <w:t>.</w:t>
      </w:r>
      <w:r w:rsidRPr="005D37EB">
        <w:rPr>
          <w:color w:val="231F20"/>
          <w:sz w:val="20"/>
          <w:szCs w:val="18"/>
        </w:rPr>
        <w:t>438</w:t>
      </w:r>
      <w:r w:rsidRPr="00F52FEC">
        <w:rPr>
          <w:color w:val="231F20"/>
          <w:sz w:val="20"/>
          <w:szCs w:val="18"/>
        </w:rPr>
        <w:t>,</w:t>
      </w:r>
      <w:r w:rsidR="009716C8">
        <w:rPr>
          <w:color w:val="231F20"/>
          <w:sz w:val="20"/>
          <w:szCs w:val="18"/>
        </w:rPr>
        <w:t>5</w:t>
      </w:r>
      <w:r w:rsidRPr="00F52FEC">
        <w:rPr>
          <w:color w:val="231F20"/>
          <w:sz w:val="20"/>
          <w:szCs w:val="18"/>
        </w:rPr>
        <w:t xml:space="preserve"> </w:t>
      </w:r>
      <w:r>
        <w:rPr>
          <w:color w:val="231F20"/>
          <w:sz w:val="20"/>
          <w:szCs w:val="18"/>
        </w:rPr>
        <w:t>εκατ.</w:t>
      </w:r>
      <w:r w:rsidRPr="00F52FEC">
        <w:rPr>
          <w:color w:val="231F20"/>
          <w:sz w:val="20"/>
          <w:szCs w:val="18"/>
        </w:rPr>
        <w:t xml:space="preserve"> ευρώ </w:t>
      </w:r>
      <w:r>
        <w:rPr>
          <w:color w:val="231F20"/>
          <w:sz w:val="20"/>
          <w:szCs w:val="18"/>
        </w:rPr>
        <w:t xml:space="preserve">το </w:t>
      </w:r>
      <w:r w:rsidRPr="00F52FEC">
        <w:rPr>
          <w:color w:val="231F20"/>
          <w:sz w:val="20"/>
          <w:szCs w:val="18"/>
        </w:rPr>
        <w:t xml:space="preserve">2024, αυξημένος κατά </w:t>
      </w:r>
      <w:r>
        <w:rPr>
          <w:color w:val="231F20"/>
          <w:sz w:val="20"/>
          <w:szCs w:val="18"/>
        </w:rPr>
        <w:t>4,4</w:t>
      </w:r>
      <w:r w:rsidRPr="00F52FEC">
        <w:rPr>
          <w:color w:val="231F20"/>
          <w:sz w:val="20"/>
          <w:szCs w:val="18"/>
        </w:rPr>
        <w:t xml:space="preserve">%, </w:t>
      </w:r>
      <w:r>
        <w:rPr>
          <w:color w:val="231F20"/>
          <w:sz w:val="20"/>
          <w:szCs w:val="18"/>
        </w:rPr>
        <w:t>έναντι 3.293,4</w:t>
      </w:r>
      <w:r w:rsidRPr="00F52FEC">
        <w:rPr>
          <w:color w:val="231F20"/>
          <w:sz w:val="20"/>
          <w:szCs w:val="18"/>
        </w:rPr>
        <w:t xml:space="preserve"> </w:t>
      </w:r>
      <w:r>
        <w:rPr>
          <w:color w:val="231F20"/>
          <w:sz w:val="20"/>
          <w:szCs w:val="18"/>
        </w:rPr>
        <w:t>εκατ.</w:t>
      </w:r>
      <w:r w:rsidRPr="00F52FEC">
        <w:rPr>
          <w:color w:val="231F20"/>
          <w:sz w:val="20"/>
          <w:szCs w:val="18"/>
        </w:rPr>
        <w:t xml:space="preserve"> ευρώ </w:t>
      </w:r>
      <w:r>
        <w:rPr>
          <w:color w:val="231F20"/>
          <w:sz w:val="20"/>
          <w:szCs w:val="18"/>
        </w:rPr>
        <w:t>το</w:t>
      </w:r>
      <w:r w:rsidRPr="00F52FEC">
        <w:rPr>
          <w:color w:val="231F20"/>
          <w:sz w:val="20"/>
          <w:szCs w:val="18"/>
        </w:rPr>
        <w:t xml:space="preserve"> 2023, επηρεασμένος θετικά από </w:t>
      </w:r>
      <w:r>
        <w:rPr>
          <w:color w:val="231F20"/>
          <w:sz w:val="20"/>
          <w:szCs w:val="18"/>
        </w:rPr>
        <w:t xml:space="preserve">τον αυξημένο </w:t>
      </w:r>
      <w:r w:rsidRPr="00F52FEC">
        <w:rPr>
          <w:color w:val="231F20"/>
          <w:sz w:val="20"/>
          <w:szCs w:val="18"/>
        </w:rPr>
        <w:t>όγκο πωλήσεων</w:t>
      </w:r>
      <w:r>
        <w:rPr>
          <w:color w:val="231F20"/>
          <w:sz w:val="20"/>
          <w:szCs w:val="18"/>
        </w:rPr>
        <w:t xml:space="preserve"> και τις ψηλές τιμές των μετάλλων.</w:t>
      </w:r>
      <w:r w:rsidRPr="00F52FEC">
        <w:rPr>
          <w:color w:val="231F20"/>
          <w:sz w:val="20"/>
          <w:szCs w:val="18"/>
        </w:rPr>
        <w:t xml:space="preserve"> </w:t>
      </w:r>
      <w:r>
        <w:rPr>
          <w:color w:val="231F20"/>
          <w:sz w:val="20"/>
          <w:szCs w:val="18"/>
        </w:rPr>
        <w:t>Στον αντίποδα επηρεάστηκε</w:t>
      </w:r>
      <w:r w:rsidRPr="00F52FEC">
        <w:rPr>
          <w:color w:val="231F20"/>
          <w:sz w:val="20"/>
          <w:szCs w:val="18"/>
        </w:rPr>
        <w:t xml:space="preserve"> αρνητικά από το προϊοντικό μίγμα πωλήσεων μεταξύ των δύο </w:t>
      </w:r>
      <w:r>
        <w:rPr>
          <w:color w:val="231F20"/>
          <w:sz w:val="20"/>
          <w:szCs w:val="18"/>
        </w:rPr>
        <w:t>Κ</w:t>
      </w:r>
      <w:r w:rsidRPr="00F52FEC">
        <w:rPr>
          <w:color w:val="231F20"/>
          <w:sz w:val="20"/>
          <w:szCs w:val="18"/>
        </w:rPr>
        <w:t>λάδων.</w:t>
      </w:r>
    </w:p>
    <w:p w14:paraId="5D066713" w14:textId="77777777" w:rsidR="00B73CCC" w:rsidRDefault="00B73CCC" w:rsidP="00B73CCC">
      <w:pPr>
        <w:jc w:val="both"/>
        <w:rPr>
          <w:color w:val="231F20"/>
          <w:sz w:val="20"/>
          <w:szCs w:val="18"/>
        </w:rPr>
      </w:pPr>
      <w:r w:rsidRPr="003A6F5B">
        <w:rPr>
          <w:color w:val="231F20"/>
          <w:sz w:val="20"/>
          <w:szCs w:val="18"/>
        </w:rPr>
        <w:t xml:space="preserve">Τα ενοποιημένα μικτά κέρδη </w:t>
      </w:r>
      <w:r>
        <w:rPr>
          <w:color w:val="231F20"/>
          <w:sz w:val="20"/>
          <w:szCs w:val="18"/>
        </w:rPr>
        <w:t xml:space="preserve">διαμορφώθηκαν </w:t>
      </w:r>
      <w:r w:rsidRPr="003A6F5B">
        <w:rPr>
          <w:color w:val="231F20"/>
          <w:sz w:val="20"/>
          <w:szCs w:val="18"/>
        </w:rPr>
        <w:t>στα 2</w:t>
      </w:r>
      <w:r>
        <w:rPr>
          <w:color w:val="231F20"/>
          <w:sz w:val="20"/>
          <w:szCs w:val="18"/>
        </w:rPr>
        <w:t>8</w:t>
      </w:r>
      <w:r w:rsidRPr="007875E9">
        <w:rPr>
          <w:color w:val="231F20"/>
          <w:sz w:val="20"/>
          <w:szCs w:val="18"/>
        </w:rPr>
        <w:t>3</w:t>
      </w:r>
      <w:r w:rsidRPr="003A6F5B">
        <w:rPr>
          <w:color w:val="231F20"/>
          <w:sz w:val="20"/>
          <w:szCs w:val="18"/>
        </w:rPr>
        <w:t>,</w:t>
      </w:r>
      <w:r w:rsidRPr="00881462">
        <w:rPr>
          <w:color w:val="231F20"/>
          <w:sz w:val="20"/>
          <w:szCs w:val="18"/>
        </w:rPr>
        <w:t>9</w:t>
      </w:r>
      <w:r w:rsidRPr="003A6F5B">
        <w:rPr>
          <w:color w:val="231F20"/>
          <w:sz w:val="20"/>
          <w:szCs w:val="18"/>
        </w:rPr>
        <w:t xml:space="preserve"> </w:t>
      </w:r>
      <w:r>
        <w:rPr>
          <w:color w:val="231F20"/>
          <w:sz w:val="20"/>
          <w:szCs w:val="18"/>
        </w:rPr>
        <w:t>εκατ.</w:t>
      </w:r>
      <w:r w:rsidRPr="003A6F5B">
        <w:rPr>
          <w:color w:val="231F20"/>
          <w:sz w:val="20"/>
          <w:szCs w:val="18"/>
        </w:rPr>
        <w:t xml:space="preserve"> ευρώ το 2024, έναντι </w:t>
      </w:r>
      <w:r>
        <w:rPr>
          <w:color w:val="231F20"/>
          <w:sz w:val="20"/>
          <w:szCs w:val="18"/>
        </w:rPr>
        <w:t>213</w:t>
      </w:r>
      <w:r w:rsidRPr="003A6F5B">
        <w:rPr>
          <w:color w:val="231F20"/>
          <w:sz w:val="20"/>
          <w:szCs w:val="18"/>
        </w:rPr>
        <w:t>,</w:t>
      </w:r>
      <w:r>
        <w:rPr>
          <w:color w:val="231F20"/>
          <w:sz w:val="20"/>
          <w:szCs w:val="18"/>
        </w:rPr>
        <w:t>3</w:t>
      </w:r>
      <w:r w:rsidRPr="003A6F5B">
        <w:rPr>
          <w:color w:val="231F20"/>
          <w:sz w:val="20"/>
          <w:szCs w:val="18"/>
        </w:rPr>
        <w:t xml:space="preserve"> </w:t>
      </w:r>
      <w:r>
        <w:rPr>
          <w:color w:val="231F20"/>
          <w:sz w:val="20"/>
          <w:szCs w:val="18"/>
        </w:rPr>
        <w:t>εκατ.</w:t>
      </w:r>
      <w:r w:rsidRPr="003A6F5B">
        <w:rPr>
          <w:color w:val="231F20"/>
          <w:sz w:val="20"/>
          <w:szCs w:val="18"/>
        </w:rPr>
        <w:t xml:space="preserve"> ευρώ την αντίστοιχη περσινή </w:t>
      </w:r>
      <w:r>
        <w:rPr>
          <w:color w:val="231F20"/>
          <w:sz w:val="20"/>
          <w:szCs w:val="18"/>
        </w:rPr>
        <w:t xml:space="preserve">χρήση. Τα </w:t>
      </w:r>
      <w:r w:rsidRPr="003A6F5B">
        <w:rPr>
          <w:color w:val="231F20"/>
          <w:sz w:val="20"/>
          <w:szCs w:val="20"/>
        </w:rPr>
        <w:t>ενοποιημένα κέρδη πριν από φόρους, τόκους</w:t>
      </w:r>
      <w:r>
        <w:rPr>
          <w:color w:val="231F20"/>
          <w:sz w:val="20"/>
          <w:szCs w:val="20"/>
        </w:rPr>
        <w:t xml:space="preserve"> και</w:t>
      </w:r>
      <w:r w:rsidRPr="003A6F5B">
        <w:rPr>
          <w:color w:val="231F20"/>
          <w:sz w:val="20"/>
          <w:szCs w:val="20"/>
        </w:rPr>
        <w:t xml:space="preserve"> αποσβέσεις</w:t>
      </w:r>
      <w:r>
        <w:rPr>
          <w:color w:val="231F20"/>
          <w:sz w:val="20"/>
          <w:szCs w:val="20"/>
        </w:rPr>
        <w:t xml:space="preserve"> </w:t>
      </w:r>
      <w:r w:rsidRPr="003A6F5B">
        <w:rPr>
          <w:color w:val="231F20"/>
          <w:sz w:val="20"/>
          <w:szCs w:val="18"/>
        </w:rPr>
        <w:t xml:space="preserve">ανήλθαν </w:t>
      </w:r>
      <w:r>
        <w:rPr>
          <w:color w:val="231F20"/>
          <w:sz w:val="20"/>
          <w:szCs w:val="18"/>
        </w:rPr>
        <w:t>στα 242,7 εκατ. ευρώ έναντι 176,4 εκατ. ευρώ το 2023, επηρεαζόμενα από τα αποτελέσματα μετάλλου τα οποία διαμορφώθηκαν σε κέρδη 6,2 εκατ. ευρώ για το 2024 έναντι ζημίας 47,4 εκατ. ευρώ για το 2023</w:t>
      </w:r>
      <w:r w:rsidRPr="003A6F5B">
        <w:rPr>
          <w:color w:val="231F20"/>
          <w:sz w:val="20"/>
          <w:szCs w:val="18"/>
        </w:rPr>
        <w:t>.</w:t>
      </w:r>
      <w:r>
        <w:rPr>
          <w:color w:val="231F20"/>
          <w:sz w:val="20"/>
          <w:szCs w:val="18"/>
        </w:rPr>
        <w:t xml:space="preserve"> </w:t>
      </w:r>
    </w:p>
    <w:p w14:paraId="59AD3066" w14:textId="77777777" w:rsidR="00B73CCC" w:rsidRDefault="00B73CCC" w:rsidP="00B73CCC">
      <w:pPr>
        <w:jc w:val="both"/>
        <w:rPr>
          <w:color w:val="231F20"/>
          <w:sz w:val="20"/>
          <w:szCs w:val="18"/>
        </w:rPr>
      </w:pPr>
    </w:p>
    <w:p w14:paraId="6426937E" w14:textId="77777777" w:rsidR="00B73CCC" w:rsidRPr="003A6F5B" w:rsidRDefault="00B73CCC" w:rsidP="00B73CCC">
      <w:pPr>
        <w:jc w:val="both"/>
        <w:rPr>
          <w:color w:val="231F20"/>
          <w:sz w:val="20"/>
          <w:szCs w:val="18"/>
        </w:rPr>
      </w:pPr>
      <w:r w:rsidRPr="003A6F5B">
        <w:rPr>
          <w:color w:val="231F20"/>
          <w:sz w:val="20"/>
          <w:szCs w:val="18"/>
        </w:rPr>
        <w:t xml:space="preserve">Τα αναπροσαρμοσμένα ενοποιημένα κέρδη πριν από φόρους, τόκους, αποσβέσεις, αποτέλεσμα μετάλλου και λοιπά έκτακτα έσοδα και έξοδα (a-EBITDA), τα οποία απεικονίζουν καλύτερα την οργανική κερδοφορία του Ομίλου, </w:t>
      </w:r>
      <w:r>
        <w:rPr>
          <w:color w:val="231F20"/>
          <w:sz w:val="20"/>
          <w:szCs w:val="18"/>
        </w:rPr>
        <w:t>παρουσίασαν οριακή μείωση</w:t>
      </w:r>
      <w:r w:rsidRPr="003A6F5B">
        <w:rPr>
          <w:color w:val="231F20"/>
          <w:sz w:val="20"/>
          <w:szCs w:val="18"/>
        </w:rPr>
        <w:t xml:space="preserve"> κατά </w:t>
      </w:r>
      <w:r>
        <w:rPr>
          <w:color w:val="231F20"/>
          <w:sz w:val="20"/>
          <w:szCs w:val="18"/>
        </w:rPr>
        <w:t>0</w:t>
      </w:r>
      <w:r w:rsidRPr="003A6F5B">
        <w:rPr>
          <w:color w:val="231F20"/>
          <w:sz w:val="20"/>
          <w:szCs w:val="18"/>
        </w:rPr>
        <w:t>,</w:t>
      </w:r>
      <w:r>
        <w:rPr>
          <w:color w:val="231F20"/>
          <w:sz w:val="20"/>
          <w:szCs w:val="18"/>
        </w:rPr>
        <w:t>8</w:t>
      </w:r>
      <w:r w:rsidRPr="003A6F5B">
        <w:rPr>
          <w:color w:val="231F20"/>
          <w:sz w:val="20"/>
          <w:szCs w:val="18"/>
        </w:rPr>
        <w:t xml:space="preserve">% και διαμορφώθηκαν στα </w:t>
      </w:r>
      <w:r>
        <w:rPr>
          <w:color w:val="231F20"/>
          <w:sz w:val="20"/>
          <w:szCs w:val="18"/>
        </w:rPr>
        <w:t>237</w:t>
      </w:r>
      <w:r w:rsidRPr="003A6F5B">
        <w:rPr>
          <w:color w:val="231F20"/>
          <w:sz w:val="20"/>
          <w:szCs w:val="18"/>
        </w:rPr>
        <w:t>,</w:t>
      </w:r>
      <w:r>
        <w:rPr>
          <w:color w:val="231F20"/>
          <w:sz w:val="20"/>
          <w:szCs w:val="18"/>
        </w:rPr>
        <w:t>5</w:t>
      </w:r>
      <w:r w:rsidRPr="003A6F5B">
        <w:rPr>
          <w:color w:val="231F20"/>
          <w:sz w:val="20"/>
          <w:szCs w:val="18"/>
        </w:rPr>
        <w:t xml:space="preserve"> </w:t>
      </w:r>
      <w:r>
        <w:rPr>
          <w:color w:val="231F20"/>
          <w:sz w:val="20"/>
          <w:szCs w:val="18"/>
        </w:rPr>
        <w:t>εκατ.</w:t>
      </w:r>
      <w:r w:rsidRPr="003A6F5B">
        <w:rPr>
          <w:color w:val="231F20"/>
          <w:sz w:val="20"/>
          <w:szCs w:val="18"/>
        </w:rPr>
        <w:t xml:space="preserve"> ευρώ το 2024 έναντι </w:t>
      </w:r>
      <w:r>
        <w:rPr>
          <w:color w:val="231F20"/>
          <w:sz w:val="20"/>
          <w:szCs w:val="18"/>
        </w:rPr>
        <w:t>239</w:t>
      </w:r>
      <w:r w:rsidRPr="003A6F5B">
        <w:rPr>
          <w:color w:val="231F20"/>
          <w:sz w:val="20"/>
          <w:szCs w:val="18"/>
        </w:rPr>
        <w:t>,</w:t>
      </w:r>
      <w:r>
        <w:rPr>
          <w:color w:val="231F20"/>
          <w:sz w:val="20"/>
          <w:szCs w:val="18"/>
        </w:rPr>
        <w:t>3</w:t>
      </w:r>
      <w:r w:rsidRPr="003A6F5B">
        <w:rPr>
          <w:color w:val="231F20"/>
          <w:sz w:val="20"/>
          <w:szCs w:val="18"/>
        </w:rPr>
        <w:t xml:space="preserve"> </w:t>
      </w:r>
      <w:r>
        <w:rPr>
          <w:color w:val="231F20"/>
          <w:sz w:val="20"/>
          <w:szCs w:val="18"/>
        </w:rPr>
        <w:t>εκατ.</w:t>
      </w:r>
      <w:r w:rsidRPr="003A6F5B">
        <w:rPr>
          <w:color w:val="231F20"/>
          <w:sz w:val="20"/>
          <w:szCs w:val="18"/>
        </w:rPr>
        <w:t xml:space="preserve"> ευρώ </w:t>
      </w:r>
      <w:r>
        <w:rPr>
          <w:color w:val="231F20"/>
          <w:sz w:val="20"/>
          <w:szCs w:val="18"/>
        </w:rPr>
        <w:t>το προηγούμενο έτος</w:t>
      </w:r>
      <w:r w:rsidRPr="003A6F5B">
        <w:rPr>
          <w:color w:val="231F20"/>
          <w:sz w:val="20"/>
          <w:szCs w:val="18"/>
        </w:rPr>
        <w:t>.</w:t>
      </w:r>
    </w:p>
    <w:bookmarkEnd w:id="1"/>
    <w:p w14:paraId="36F52BD4" w14:textId="77777777" w:rsidR="00B73CCC" w:rsidRPr="00243848" w:rsidRDefault="00B73CCC" w:rsidP="00B73CCC">
      <w:pPr>
        <w:jc w:val="both"/>
        <w:rPr>
          <w:color w:val="231F20"/>
          <w:sz w:val="20"/>
          <w:szCs w:val="18"/>
        </w:rPr>
      </w:pPr>
    </w:p>
    <w:p w14:paraId="7B22E0C4" w14:textId="77777777" w:rsidR="00B73CCC" w:rsidRDefault="00B73CCC" w:rsidP="00B73CCC">
      <w:pPr>
        <w:jc w:val="both"/>
        <w:rPr>
          <w:color w:val="231F20"/>
          <w:sz w:val="20"/>
          <w:szCs w:val="18"/>
        </w:rPr>
      </w:pPr>
    </w:p>
    <w:p w14:paraId="4E68CC77" w14:textId="77777777" w:rsidR="00B73CCC" w:rsidRDefault="00B73CCC" w:rsidP="00B73CCC">
      <w:pPr>
        <w:jc w:val="both"/>
        <w:rPr>
          <w:color w:val="231F20"/>
          <w:sz w:val="20"/>
          <w:szCs w:val="18"/>
        </w:rPr>
      </w:pPr>
    </w:p>
    <w:p w14:paraId="769F42CC" w14:textId="1F961A26" w:rsidR="00B73CCC" w:rsidRPr="00400EE3" w:rsidRDefault="00B73CCC" w:rsidP="00B73CCC">
      <w:pPr>
        <w:jc w:val="both"/>
        <w:rPr>
          <w:color w:val="231F20"/>
          <w:sz w:val="20"/>
          <w:szCs w:val="18"/>
        </w:rPr>
      </w:pPr>
      <w:r w:rsidRPr="003A6F5B">
        <w:rPr>
          <w:color w:val="231F20"/>
          <w:sz w:val="20"/>
          <w:szCs w:val="18"/>
        </w:rPr>
        <w:lastRenderedPageBreak/>
        <w:t xml:space="preserve">Το ενοποιημένο καθαρό χρηματοοικονομικό αποτέλεσμα (κόστος) </w:t>
      </w:r>
      <w:r>
        <w:rPr>
          <w:color w:val="231F20"/>
          <w:sz w:val="20"/>
          <w:szCs w:val="18"/>
        </w:rPr>
        <w:t>κατά τη διάρκεια του έτους</w:t>
      </w:r>
      <w:r w:rsidRPr="003A6F5B">
        <w:rPr>
          <w:color w:val="231F20"/>
          <w:sz w:val="20"/>
          <w:szCs w:val="18"/>
        </w:rPr>
        <w:t xml:space="preserve">, βελτιώθηκε </w:t>
      </w:r>
      <w:r>
        <w:rPr>
          <w:color w:val="231F20"/>
          <w:sz w:val="20"/>
          <w:szCs w:val="18"/>
        </w:rPr>
        <w:t xml:space="preserve">σημαντικά </w:t>
      </w:r>
      <w:r w:rsidRPr="003A6F5B">
        <w:rPr>
          <w:color w:val="231F20"/>
          <w:sz w:val="20"/>
          <w:szCs w:val="18"/>
        </w:rPr>
        <w:t>κατά 1</w:t>
      </w:r>
      <w:r>
        <w:rPr>
          <w:color w:val="231F20"/>
          <w:sz w:val="20"/>
          <w:szCs w:val="18"/>
        </w:rPr>
        <w:t>7</w:t>
      </w:r>
      <w:r w:rsidRPr="003A6F5B">
        <w:rPr>
          <w:color w:val="231F20"/>
          <w:sz w:val="20"/>
          <w:szCs w:val="18"/>
        </w:rPr>
        <w:t>,</w:t>
      </w:r>
      <w:r>
        <w:rPr>
          <w:color w:val="231F20"/>
          <w:sz w:val="20"/>
          <w:szCs w:val="18"/>
        </w:rPr>
        <w:t>0</w:t>
      </w:r>
      <w:r w:rsidRPr="003A6F5B">
        <w:rPr>
          <w:color w:val="231F20"/>
          <w:sz w:val="20"/>
          <w:szCs w:val="18"/>
        </w:rPr>
        <w:t xml:space="preserve">% </w:t>
      </w:r>
      <w:r w:rsidRPr="00B97793">
        <w:rPr>
          <w:color w:val="231F20"/>
          <w:sz w:val="20"/>
          <w:szCs w:val="18"/>
        </w:rPr>
        <w:t xml:space="preserve">στα 44,9 </w:t>
      </w:r>
      <w:r>
        <w:rPr>
          <w:color w:val="231F20"/>
          <w:sz w:val="20"/>
          <w:szCs w:val="18"/>
        </w:rPr>
        <w:t>εκατ.</w:t>
      </w:r>
      <w:r w:rsidRPr="00B97793">
        <w:rPr>
          <w:color w:val="231F20"/>
          <w:sz w:val="20"/>
          <w:szCs w:val="18"/>
        </w:rPr>
        <w:t xml:space="preserve"> ευρώ από 53,1</w:t>
      </w:r>
      <w:r w:rsidRPr="003A6F5B">
        <w:rPr>
          <w:color w:val="231F20"/>
          <w:sz w:val="20"/>
          <w:szCs w:val="18"/>
        </w:rPr>
        <w:t xml:space="preserve"> </w:t>
      </w:r>
      <w:r>
        <w:rPr>
          <w:color w:val="231F20"/>
          <w:sz w:val="20"/>
          <w:szCs w:val="18"/>
        </w:rPr>
        <w:t>εκατ.</w:t>
      </w:r>
      <w:r w:rsidRPr="003A6F5B">
        <w:rPr>
          <w:color w:val="231F20"/>
          <w:sz w:val="20"/>
          <w:szCs w:val="18"/>
        </w:rPr>
        <w:t xml:space="preserve"> ευρώ. Η μεταβολή αυτή οφείλεται στη σημαντική μείωση του καθαρού δανεισμού κατά 1</w:t>
      </w:r>
      <w:r>
        <w:rPr>
          <w:color w:val="231F20"/>
          <w:sz w:val="20"/>
          <w:szCs w:val="18"/>
        </w:rPr>
        <w:t>69</w:t>
      </w:r>
      <w:r w:rsidRPr="003A6F5B">
        <w:rPr>
          <w:color w:val="231F20"/>
          <w:sz w:val="20"/>
          <w:szCs w:val="18"/>
        </w:rPr>
        <w:t>,</w:t>
      </w:r>
      <w:r>
        <w:rPr>
          <w:color w:val="231F20"/>
          <w:sz w:val="20"/>
          <w:szCs w:val="18"/>
        </w:rPr>
        <w:t>9</w:t>
      </w:r>
      <w:r w:rsidRPr="003A6F5B">
        <w:rPr>
          <w:color w:val="231F20"/>
          <w:sz w:val="20"/>
          <w:szCs w:val="18"/>
        </w:rPr>
        <w:t xml:space="preserve"> </w:t>
      </w:r>
      <w:r>
        <w:rPr>
          <w:color w:val="231F20"/>
          <w:sz w:val="20"/>
          <w:szCs w:val="18"/>
        </w:rPr>
        <w:t>εκατ.</w:t>
      </w:r>
      <w:r w:rsidRPr="003A6F5B">
        <w:rPr>
          <w:color w:val="231F20"/>
          <w:sz w:val="20"/>
          <w:szCs w:val="18"/>
        </w:rPr>
        <w:t xml:space="preserve"> ευρώ</w:t>
      </w:r>
      <w:r>
        <w:rPr>
          <w:color w:val="231F20"/>
          <w:sz w:val="20"/>
          <w:szCs w:val="18"/>
        </w:rPr>
        <w:t>,</w:t>
      </w:r>
      <w:r w:rsidRPr="003A6F5B">
        <w:rPr>
          <w:color w:val="231F20"/>
          <w:sz w:val="20"/>
          <w:szCs w:val="18"/>
        </w:rPr>
        <w:t xml:space="preserve"> ως επακόλουθο των ενισχυμένων ελεύθερων ταμειακών ροών του Ομίλου που προήλθαν</w:t>
      </w:r>
      <w:r>
        <w:rPr>
          <w:color w:val="231F20"/>
          <w:sz w:val="20"/>
          <w:szCs w:val="18"/>
        </w:rPr>
        <w:t>, αφενός,</w:t>
      </w:r>
      <w:r w:rsidRPr="003A6F5B">
        <w:rPr>
          <w:color w:val="231F20"/>
          <w:sz w:val="20"/>
          <w:szCs w:val="18"/>
        </w:rPr>
        <w:t xml:space="preserve"> από την επιτυχή διαχείριση του κεφαλαίου κίνησης και την επιβράδυνση των επενδύσεων, μετά και την ολοκλήρωση των μεγάλων επενδυτικών προγραμμάτων του Κλάδου Αλουμινίου</w:t>
      </w:r>
      <w:r>
        <w:rPr>
          <w:color w:val="231F20"/>
          <w:sz w:val="20"/>
          <w:szCs w:val="18"/>
        </w:rPr>
        <w:t xml:space="preserve"> και, αφετέρου, τη μείωση των επιτοκίων αναφοράς</w:t>
      </w:r>
      <w:r w:rsidR="009C0324">
        <w:rPr>
          <w:color w:val="231F20"/>
          <w:sz w:val="20"/>
          <w:szCs w:val="18"/>
        </w:rPr>
        <w:t>.</w:t>
      </w:r>
      <w:r w:rsidRPr="0078559C">
        <w:t xml:space="preserve"> </w:t>
      </w:r>
      <w:r w:rsidRPr="0078559C">
        <w:rPr>
          <w:color w:val="231F20"/>
          <w:sz w:val="20"/>
          <w:szCs w:val="18"/>
        </w:rPr>
        <w:t>Επιπρόσθετα, ο Όμιλος έχει προχωρήσει και στις απαραίτητες ενέργειες για τη μείωση της έκθεσ</w:t>
      </w:r>
      <w:r>
        <w:rPr>
          <w:color w:val="231F20"/>
          <w:sz w:val="20"/>
          <w:szCs w:val="18"/>
        </w:rPr>
        <w:t>ή</w:t>
      </w:r>
      <w:r w:rsidRPr="0078559C">
        <w:rPr>
          <w:color w:val="231F20"/>
          <w:sz w:val="20"/>
          <w:szCs w:val="18"/>
        </w:rPr>
        <w:t>ς του στις στα υψηλά επιτόκια αναφοράς, επιτυγχάνοντας, στο τέλος της χρήσης, το 66% του συνολικού δανεισμού να είναι με σταθερό επιτόκιο.</w:t>
      </w:r>
    </w:p>
    <w:p w14:paraId="56D283B2" w14:textId="77777777" w:rsidR="00B73CCC" w:rsidRPr="00243848" w:rsidRDefault="00B73CCC" w:rsidP="00B73CCC">
      <w:pPr>
        <w:jc w:val="both"/>
        <w:rPr>
          <w:color w:val="231F20"/>
          <w:sz w:val="20"/>
          <w:szCs w:val="18"/>
        </w:rPr>
      </w:pPr>
    </w:p>
    <w:p w14:paraId="6513199B" w14:textId="77777777" w:rsidR="00B73CCC" w:rsidRPr="003A6F5B" w:rsidRDefault="00B73CCC" w:rsidP="00B73CCC">
      <w:pPr>
        <w:jc w:val="both"/>
        <w:rPr>
          <w:color w:val="231F20"/>
          <w:sz w:val="20"/>
          <w:szCs w:val="18"/>
        </w:rPr>
      </w:pPr>
      <w:r w:rsidRPr="003A6F5B">
        <w:rPr>
          <w:color w:val="231F20"/>
          <w:sz w:val="20"/>
          <w:szCs w:val="18"/>
        </w:rPr>
        <w:t xml:space="preserve">Τα ενοποιημένα κέρδη πριν από φόρους ανήλθαν στα </w:t>
      </w:r>
      <w:r>
        <w:rPr>
          <w:color w:val="231F20"/>
          <w:sz w:val="20"/>
          <w:szCs w:val="18"/>
        </w:rPr>
        <w:t>12</w:t>
      </w:r>
      <w:r w:rsidRPr="00FB492E">
        <w:rPr>
          <w:color w:val="231F20"/>
          <w:sz w:val="20"/>
          <w:szCs w:val="18"/>
        </w:rPr>
        <w:t>6</w:t>
      </w:r>
      <w:r w:rsidRPr="003A6F5B">
        <w:rPr>
          <w:color w:val="231F20"/>
          <w:sz w:val="20"/>
          <w:szCs w:val="18"/>
        </w:rPr>
        <w:t>,</w:t>
      </w:r>
      <w:r>
        <w:rPr>
          <w:color w:val="231F20"/>
          <w:sz w:val="20"/>
          <w:szCs w:val="18"/>
        </w:rPr>
        <w:t>0</w:t>
      </w:r>
      <w:r w:rsidRPr="003A6F5B">
        <w:rPr>
          <w:color w:val="231F20"/>
          <w:sz w:val="20"/>
          <w:szCs w:val="18"/>
        </w:rPr>
        <w:t xml:space="preserve"> </w:t>
      </w:r>
      <w:r>
        <w:rPr>
          <w:color w:val="231F20"/>
          <w:sz w:val="20"/>
          <w:szCs w:val="18"/>
        </w:rPr>
        <w:t>εκατ.</w:t>
      </w:r>
      <w:r w:rsidRPr="003A6F5B">
        <w:rPr>
          <w:color w:val="231F20"/>
          <w:sz w:val="20"/>
          <w:szCs w:val="18"/>
        </w:rPr>
        <w:t xml:space="preserve"> ευρώ </w:t>
      </w:r>
      <w:r w:rsidRPr="003A6F5B">
        <w:rPr>
          <w:color w:val="231F20"/>
          <w:sz w:val="20"/>
          <w:szCs w:val="20"/>
        </w:rPr>
        <w:t xml:space="preserve">το </w:t>
      </w:r>
      <w:r w:rsidRPr="003A6F5B">
        <w:rPr>
          <w:color w:val="231F20"/>
          <w:sz w:val="20"/>
          <w:szCs w:val="18"/>
        </w:rPr>
        <w:t xml:space="preserve">2024, έναντι </w:t>
      </w:r>
      <w:r>
        <w:rPr>
          <w:color w:val="231F20"/>
          <w:sz w:val="20"/>
          <w:szCs w:val="18"/>
        </w:rPr>
        <w:t>43</w:t>
      </w:r>
      <w:r w:rsidRPr="003A6F5B">
        <w:rPr>
          <w:color w:val="231F20"/>
          <w:sz w:val="20"/>
          <w:szCs w:val="18"/>
        </w:rPr>
        <w:t>,</w:t>
      </w:r>
      <w:r>
        <w:rPr>
          <w:color w:val="231F20"/>
          <w:sz w:val="20"/>
          <w:szCs w:val="18"/>
        </w:rPr>
        <w:t>0</w:t>
      </w:r>
      <w:r w:rsidRPr="003A6F5B">
        <w:rPr>
          <w:color w:val="231F20"/>
          <w:sz w:val="20"/>
          <w:szCs w:val="18"/>
        </w:rPr>
        <w:t xml:space="preserve"> </w:t>
      </w:r>
      <w:r>
        <w:rPr>
          <w:color w:val="231F20"/>
          <w:sz w:val="20"/>
          <w:szCs w:val="18"/>
        </w:rPr>
        <w:t>εκατ.</w:t>
      </w:r>
      <w:r w:rsidRPr="003A6F5B">
        <w:rPr>
          <w:color w:val="231F20"/>
          <w:sz w:val="20"/>
          <w:szCs w:val="18"/>
        </w:rPr>
        <w:t xml:space="preserve"> ευρώ </w:t>
      </w:r>
      <w:r w:rsidRPr="003A6F5B">
        <w:rPr>
          <w:color w:val="231F20"/>
          <w:sz w:val="20"/>
          <w:szCs w:val="20"/>
        </w:rPr>
        <w:t xml:space="preserve">το </w:t>
      </w:r>
      <w:r w:rsidRPr="003A6F5B">
        <w:rPr>
          <w:color w:val="231F20"/>
          <w:sz w:val="20"/>
          <w:szCs w:val="18"/>
        </w:rPr>
        <w:t xml:space="preserve">2023, ενώ τα ενοποιημένα κέρδη μετά από φόρους και δικαιώματα μειοψηφίας ανήλθαν σε </w:t>
      </w:r>
      <w:r>
        <w:rPr>
          <w:color w:val="231F20"/>
          <w:sz w:val="20"/>
          <w:szCs w:val="18"/>
        </w:rPr>
        <w:t>10</w:t>
      </w:r>
      <w:r w:rsidRPr="00FB492E">
        <w:rPr>
          <w:color w:val="231F20"/>
          <w:sz w:val="20"/>
          <w:szCs w:val="18"/>
        </w:rPr>
        <w:t>3</w:t>
      </w:r>
      <w:r w:rsidRPr="003A6F5B">
        <w:rPr>
          <w:color w:val="231F20"/>
          <w:sz w:val="20"/>
          <w:szCs w:val="18"/>
        </w:rPr>
        <w:t>,</w:t>
      </w:r>
      <w:r>
        <w:rPr>
          <w:color w:val="231F20"/>
          <w:sz w:val="20"/>
          <w:szCs w:val="18"/>
        </w:rPr>
        <w:t>2</w:t>
      </w:r>
      <w:r w:rsidRPr="003A6F5B">
        <w:rPr>
          <w:color w:val="231F20"/>
          <w:sz w:val="20"/>
          <w:szCs w:val="18"/>
        </w:rPr>
        <w:t xml:space="preserve"> </w:t>
      </w:r>
      <w:r>
        <w:rPr>
          <w:color w:val="231F20"/>
          <w:sz w:val="20"/>
          <w:szCs w:val="18"/>
        </w:rPr>
        <w:t>εκατ.</w:t>
      </w:r>
      <w:r w:rsidRPr="003A6F5B">
        <w:rPr>
          <w:color w:val="231F20"/>
          <w:sz w:val="20"/>
          <w:szCs w:val="18"/>
        </w:rPr>
        <w:t xml:space="preserve"> ευρώ για την </w:t>
      </w:r>
      <w:r>
        <w:rPr>
          <w:color w:val="231F20"/>
          <w:sz w:val="20"/>
          <w:szCs w:val="18"/>
        </w:rPr>
        <w:t>κλεισμένη χρήση</w:t>
      </w:r>
      <w:r w:rsidRPr="003A6F5B">
        <w:rPr>
          <w:color w:val="231F20"/>
          <w:sz w:val="20"/>
          <w:szCs w:val="18"/>
        </w:rPr>
        <w:t xml:space="preserve"> (ή </w:t>
      </w:r>
      <w:r w:rsidRPr="00E42037">
        <w:rPr>
          <w:color w:val="231F20"/>
          <w:sz w:val="20"/>
          <w:szCs w:val="18"/>
        </w:rPr>
        <w:t>0,275</w:t>
      </w:r>
      <w:r>
        <w:rPr>
          <w:color w:val="231F20"/>
          <w:sz w:val="20"/>
          <w:szCs w:val="18"/>
        </w:rPr>
        <w:t>22</w:t>
      </w:r>
      <w:r w:rsidRPr="003A6F5B">
        <w:rPr>
          <w:color w:val="231F20"/>
          <w:sz w:val="20"/>
          <w:szCs w:val="18"/>
        </w:rPr>
        <w:t xml:space="preserve"> ευρώ ανά μετοχή) από </w:t>
      </w:r>
      <w:r>
        <w:rPr>
          <w:color w:val="231F20"/>
          <w:sz w:val="20"/>
          <w:szCs w:val="18"/>
        </w:rPr>
        <w:t>28</w:t>
      </w:r>
      <w:r w:rsidRPr="003A6F5B">
        <w:rPr>
          <w:color w:val="231F20"/>
          <w:sz w:val="20"/>
          <w:szCs w:val="18"/>
        </w:rPr>
        <w:t>,</w:t>
      </w:r>
      <w:r>
        <w:rPr>
          <w:color w:val="231F20"/>
          <w:sz w:val="20"/>
          <w:szCs w:val="18"/>
        </w:rPr>
        <w:t>5</w:t>
      </w:r>
      <w:r w:rsidRPr="003A6F5B">
        <w:rPr>
          <w:color w:val="231F20"/>
          <w:sz w:val="20"/>
          <w:szCs w:val="18"/>
        </w:rPr>
        <w:t xml:space="preserve"> </w:t>
      </w:r>
      <w:r>
        <w:rPr>
          <w:color w:val="231F20"/>
          <w:sz w:val="20"/>
          <w:szCs w:val="18"/>
        </w:rPr>
        <w:t>εκατ.</w:t>
      </w:r>
      <w:r w:rsidRPr="003A6F5B">
        <w:rPr>
          <w:color w:val="231F20"/>
          <w:sz w:val="20"/>
          <w:szCs w:val="18"/>
        </w:rPr>
        <w:t xml:space="preserve"> ευρώ για την αντίστοιχη </w:t>
      </w:r>
      <w:r>
        <w:rPr>
          <w:color w:val="231F20"/>
          <w:sz w:val="20"/>
          <w:szCs w:val="18"/>
        </w:rPr>
        <w:t>χρήση</w:t>
      </w:r>
      <w:r w:rsidRPr="003A6F5B">
        <w:rPr>
          <w:color w:val="231F20"/>
          <w:sz w:val="20"/>
          <w:szCs w:val="18"/>
        </w:rPr>
        <w:t xml:space="preserve"> του 2023 (ή </w:t>
      </w:r>
      <w:r w:rsidRPr="00E42037">
        <w:rPr>
          <w:color w:val="231F20"/>
          <w:sz w:val="20"/>
          <w:szCs w:val="18"/>
        </w:rPr>
        <w:t>0,</w:t>
      </w:r>
      <w:r>
        <w:rPr>
          <w:color w:val="231F20"/>
          <w:sz w:val="20"/>
          <w:szCs w:val="18"/>
        </w:rPr>
        <w:t>07595</w:t>
      </w:r>
      <w:r w:rsidRPr="00E42037">
        <w:rPr>
          <w:color w:val="231F20"/>
          <w:sz w:val="20"/>
          <w:szCs w:val="18"/>
        </w:rPr>
        <w:t xml:space="preserve"> </w:t>
      </w:r>
      <w:r w:rsidRPr="003A6F5B">
        <w:rPr>
          <w:color w:val="231F20"/>
          <w:sz w:val="20"/>
          <w:szCs w:val="18"/>
        </w:rPr>
        <w:t>ευρώ ανά μετοχή).</w:t>
      </w:r>
    </w:p>
    <w:p w14:paraId="28CA3643" w14:textId="77777777" w:rsidR="00B73CCC" w:rsidRPr="003A6F5B" w:rsidRDefault="00B73CCC" w:rsidP="00B73CCC">
      <w:pPr>
        <w:spacing w:before="29"/>
        <w:rPr>
          <w:b/>
          <w:color w:val="A6A6A6" w:themeColor="background1" w:themeShade="A6"/>
          <w:spacing w:val="7"/>
          <w:sz w:val="24"/>
          <w:szCs w:val="24"/>
        </w:rPr>
      </w:pPr>
    </w:p>
    <w:p w14:paraId="709071D8" w14:textId="77777777" w:rsidR="00B73CCC" w:rsidRDefault="00B73CCC" w:rsidP="00B73CCC">
      <w:pPr>
        <w:spacing w:before="29"/>
        <w:rPr>
          <w:color w:val="231F20"/>
          <w:sz w:val="20"/>
          <w:szCs w:val="18"/>
        </w:rPr>
      </w:pPr>
      <w:r w:rsidRPr="00B10D67">
        <w:rPr>
          <w:color w:val="231F20"/>
          <w:sz w:val="20"/>
          <w:szCs w:val="18"/>
        </w:rPr>
        <w:t>Το Διοικητικό Συμβούλιο θα προτείνει προς την Τακτική Γενική Συνέλευση των μετόχων, τη διανομή μερίσματος μικτού ποσού 0,09 ευρώ ανά μετοχή.</w:t>
      </w:r>
      <w:r w:rsidRPr="000E681C">
        <w:rPr>
          <w:color w:val="231F20"/>
          <w:sz w:val="20"/>
          <w:szCs w:val="18"/>
        </w:rPr>
        <w:t xml:space="preserve"> </w:t>
      </w:r>
    </w:p>
    <w:p w14:paraId="706C4C93" w14:textId="77777777" w:rsidR="00B73CCC" w:rsidRPr="003A6F5B" w:rsidRDefault="00B73CCC" w:rsidP="00B73CCC">
      <w:pPr>
        <w:spacing w:before="29"/>
        <w:rPr>
          <w:b/>
          <w:bCs/>
          <w:color w:val="A6A6A6" w:themeColor="background1" w:themeShade="A6"/>
          <w:spacing w:val="7"/>
          <w:sz w:val="24"/>
          <w:szCs w:val="24"/>
        </w:rPr>
      </w:pPr>
    </w:p>
    <w:p w14:paraId="05C28CD5" w14:textId="77777777" w:rsidR="00B73CCC" w:rsidRPr="003A6F5B" w:rsidRDefault="00B73CCC" w:rsidP="00B73CCC">
      <w:pPr>
        <w:spacing w:before="29"/>
        <w:rPr>
          <w:b/>
          <w:bCs/>
          <w:color w:val="A6A6A6" w:themeColor="background1" w:themeShade="A6"/>
          <w:spacing w:val="7"/>
          <w:sz w:val="24"/>
          <w:szCs w:val="24"/>
        </w:rPr>
      </w:pPr>
      <w:r>
        <w:rPr>
          <w:b/>
          <w:bCs/>
          <w:color w:val="A6A6A6" w:themeColor="background1" w:themeShade="A6"/>
          <w:spacing w:val="7"/>
          <w:sz w:val="24"/>
          <w:szCs w:val="24"/>
        </w:rPr>
        <w:t xml:space="preserve">Κύρια </w:t>
      </w:r>
      <w:r w:rsidRPr="003A6F5B">
        <w:rPr>
          <w:b/>
          <w:bCs/>
          <w:color w:val="A6A6A6" w:themeColor="background1" w:themeShade="A6"/>
          <w:spacing w:val="7"/>
          <w:sz w:val="24"/>
          <w:szCs w:val="24"/>
        </w:rPr>
        <w:t>Οικονομικά Μεγέθη</w:t>
      </w:r>
    </w:p>
    <w:p w14:paraId="13A16A60" w14:textId="77777777" w:rsidR="00B73CCC" w:rsidRPr="003A6F5B" w:rsidRDefault="00B73CCC" w:rsidP="00B73CCC">
      <w:pPr>
        <w:jc w:val="both"/>
        <w:rPr>
          <w:color w:val="231F20"/>
          <w:sz w:val="20"/>
          <w:szCs w:val="18"/>
        </w:rPr>
      </w:pPr>
    </w:p>
    <w:tbl>
      <w:tblPr>
        <w:tblW w:w="9584" w:type="dxa"/>
        <w:tblInd w:w="-5" w:type="dxa"/>
        <w:tblLook w:val="04A0" w:firstRow="1" w:lastRow="0" w:firstColumn="1" w:lastColumn="0" w:noHBand="0" w:noVBand="1"/>
      </w:tblPr>
      <w:tblGrid>
        <w:gridCol w:w="5308"/>
        <w:gridCol w:w="2183"/>
        <w:gridCol w:w="2093"/>
      </w:tblGrid>
      <w:tr w:rsidR="00B73CCC" w:rsidRPr="003A6F5B" w14:paraId="113BCD46" w14:textId="77777777" w:rsidTr="00A959DB">
        <w:trPr>
          <w:trHeight w:val="207"/>
        </w:trPr>
        <w:tc>
          <w:tcPr>
            <w:tcW w:w="5308" w:type="dxa"/>
            <w:tcBorders>
              <w:top w:val="single" w:sz="4" w:space="0" w:color="4F81BD"/>
              <w:left w:val="single" w:sz="4" w:space="0" w:color="4F81BD"/>
              <w:bottom w:val="nil"/>
              <w:right w:val="nil"/>
            </w:tcBorders>
            <w:shd w:val="clear" w:color="000000" w:fill="4F81BD"/>
            <w:vAlign w:val="center"/>
            <w:hideMark/>
          </w:tcPr>
          <w:p w14:paraId="327A91AF" w14:textId="77777777" w:rsidR="00B73CCC" w:rsidRPr="000B2727" w:rsidRDefault="00B73CCC" w:rsidP="00A959DB">
            <w:pPr>
              <w:widowControl/>
              <w:autoSpaceDE/>
              <w:autoSpaceDN/>
              <w:jc w:val="center"/>
              <w:rPr>
                <w:rFonts w:eastAsia="Times New Roman" w:cs="Calibri"/>
                <w:b/>
                <w:bCs/>
                <w:color w:val="FFFFFF"/>
                <w:sz w:val="20"/>
                <w:szCs w:val="20"/>
              </w:rPr>
            </w:pPr>
            <w:r w:rsidRPr="003A6F5B">
              <w:rPr>
                <w:rFonts w:eastAsia="Times New Roman" w:cs="Calibri"/>
                <w:b/>
                <w:bCs/>
                <w:color w:val="FFFFFF"/>
                <w:sz w:val="20"/>
                <w:szCs w:val="20"/>
                <w:lang w:val="en-US"/>
              </w:rPr>
              <w:t> </w:t>
            </w:r>
          </w:p>
        </w:tc>
        <w:tc>
          <w:tcPr>
            <w:tcW w:w="4276" w:type="dxa"/>
            <w:gridSpan w:val="2"/>
            <w:tcBorders>
              <w:top w:val="single" w:sz="4" w:space="0" w:color="4F81BD"/>
              <w:left w:val="nil"/>
              <w:bottom w:val="nil"/>
              <w:right w:val="single" w:sz="4" w:space="0" w:color="4F81BD"/>
            </w:tcBorders>
            <w:shd w:val="clear" w:color="000000" w:fill="4F81BD"/>
            <w:vAlign w:val="center"/>
            <w:hideMark/>
          </w:tcPr>
          <w:p w14:paraId="2333B1E1" w14:textId="77777777" w:rsidR="00B73CCC" w:rsidRPr="003A6F5B" w:rsidRDefault="00B73CCC" w:rsidP="00A959DB">
            <w:pPr>
              <w:widowControl/>
              <w:autoSpaceDE/>
              <w:autoSpaceDN/>
              <w:jc w:val="center"/>
              <w:rPr>
                <w:rFonts w:eastAsia="Times New Roman" w:cs="Calibri"/>
                <w:b/>
                <w:bCs/>
                <w:color w:val="FFFFFF"/>
                <w:sz w:val="20"/>
                <w:szCs w:val="20"/>
                <w:lang w:val="en-US"/>
              </w:rPr>
            </w:pPr>
            <w:r w:rsidRPr="003A6F5B">
              <w:rPr>
                <w:rFonts w:eastAsia="Times New Roman" w:cs="Calibri"/>
                <w:b/>
                <w:bCs/>
                <w:color w:val="FFFFFF"/>
                <w:sz w:val="20"/>
                <w:szCs w:val="20"/>
                <w:lang w:val="en-US"/>
              </w:rPr>
              <w:t>Όμιλος</w:t>
            </w:r>
          </w:p>
        </w:tc>
      </w:tr>
      <w:tr w:rsidR="00B73CCC" w:rsidRPr="003A6F5B" w14:paraId="4A203B4A" w14:textId="77777777" w:rsidTr="00A959DB">
        <w:trPr>
          <w:trHeight w:val="263"/>
        </w:trPr>
        <w:tc>
          <w:tcPr>
            <w:tcW w:w="5308" w:type="dxa"/>
            <w:tcBorders>
              <w:top w:val="nil"/>
              <w:left w:val="single" w:sz="4" w:space="0" w:color="4F81BD"/>
              <w:bottom w:val="nil"/>
              <w:right w:val="nil"/>
            </w:tcBorders>
            <w:shd w:val="clear" w:color="000000" w:fill="4F81BD"/>
            <w:vAlign w:val="center"/>
            <w:hideMark/>
          </w:tcPr>
          <w:p w14:paraId="3E3EA350" w14:textId="77777777" w:rsidR="00B73CCC" w:rsidRPr="003A6F5B" w:rsidRDefault="00B73CCC" w:rsidP="00A959DB">
            <w:pPr>
              <w:widowControl/>
              <w:autoSpaceDE/>
              <w:autoSpaceDN/>
              <w:jc w:val="center"/>
              <w:rPr>
                <w:rFonts w:eastAsia="Times New Roman" w:cs="Calibri"/>
                <w:b/>
                <w:bCs/>
                <w:color w:val="FFFFFF"/>
                <w:sz w:val="20"/>
                <w:szCs w:val="20"/>
                <w:lang w:val="en-US"/>
              </w:rPr>
            </w:pPr>
            <w:r w:rsidRPr="003A6F5B">
              <w:rPr>
                <w:rFonts w:eastAsia="Times New Roman" w:cs="Calibri"/>
                <w:b/>
                <w:bCs/>
                <w:color w:val="FFFFFF"/>
                <w:sz w:val="20"/>
                <w:szCs w:val="20"/>
                <w:lang w:val="en-US"/>
              </w:rPr>
              <w:t>Ποσά  σε €’ 000</w:t>
            </w:r>
          </w:p>
        </w:tc>
        <w:tc>
          <w:tcPr>
            <w:tcW w:w="2183" w:type="dxa"/>
            <w:tcBorders>
              <w:top w:val="nil"/>
              <w:left w:val="nil"/>
              <w:bottom w:val="single" w:sz="8" w:space="0" w:color="4F81BD"/>
              <w:right w:val="nil"/>
            </w:tcBorders>
            <w:shd w:val="clear" w:color="000000" w:fill="4F81BD"/>
            <w:vAlign w:val="center"/>
            <w:hideMark/>
          </w:tcPr>
          <w:p w14:paraId="040C0656" w14:textId="77777777" w:rsidR="00B73CCC" w:rsidRPr="003A6F5B" w:rsidRDefault="00B73CCC" w:rsidP="00A959DB">
            <w:pPr>
              <w:widowControl/>
              <w:autoSpaceDE/>
              <w:autoSpaceDN/>
              <w:jc w:val="center"/>
              <w:rPr>
                <w:rFonts w:eastAsia="Times New Roman" w:cs="Calibri"/>
                <w:b/>
                <w:bCs/>
                <w:color w:val="FFFFFF"/>
                <w:sz w:val="20"/>
                <w:szCs w:val="20"/>
              </w:rPr>
            </w:pPr>
            <w:r>
              <w:rPr>
                <w:rFonts w:eastAsia="Times New Roman" w:cs="Calibri"/>
                <w:b/>
                <w:bCs/>
                <w:color w:val="FFFFFF"/>
                <w:sz w:val="20"/>
                <w:szCs w:val="20"/>
              </w:rPr>
              <w:t>2024</w:t>
            </w:r>
          </w:p>
        </w:tc>
        <w:tc>
          <w:tcPr>
            <w:tcW w:w="2093" w:type="dxa"/>
            <w:tcBorders>
              <w:top w:val="nil"/>
              <w:left w:val="nil"/>
              <w:bottom w:val="single" w:sz="8" w:space="0" w:color="4F81BD"/>
              <w:right w:val="single" w:sz="4" w:space="0" w:color="4F81BD"/>
            </w:tcBorders>
            <w:shd w:val="clear" w:color="000000" w:fill="4F81BD"/>
            <w:vAlign w:val="center"/>
            <w:hideMark/>
          </w:tcPr>
          <w:p w14:paraId="5C5BD5A6" w14:textId="77777777" w:rsidR="00B73CCC" w:rsidRPr="003A6F5B" w:rsidRDefault="00B73CCC" w:rsidP="00A959DB">
            <w:pPr>
              <w:widowControl/>
              <w:autoSpaceDE/>
              <w:autoSpaceDN/>
              <w:jc w:val="center"/>
              <w:rPr>
                <w:rFonts w:eastAsia="Times New Roman" w:cs="Calibri"/>
                <w:b/>
                <w:bCs/>
                <w:color w:val="FFFFFF"/>
                <w:sz w:val="20"/>
                <w:szCs w:val="20"/>
              </w:rPr>
            </w:pPr>
            <w:r>
              <w:rPr>
                <w:rFonts w:eastAsia="Times New Roman" w:cs="Calibri"/>
                <w:b/>
                <w:bCs/>
                <w:color w:val="FFFFFF"/>
                <w:sz w:val="20"/>
                <w:szCs w:val="20"/>
              </w:rPr>
              <w:t>2023</w:t>
            </w:r>
          </w:p>
        </w:tc>
      </w:tr>
      <w:tr w:rsidR="00B73CCC" w:rsidRPr="003A6F5B" w14:paraId="1A1F4435" w14:textId="77777777" w:rsidTr="00A959DB">
        <w:trPr>
          <w:trHeight w:val="266"/>
        </w:trPr>
        <w:tc>
          <w:tcPr>
            <w:tcW w:w="5308" w:type="dxa"/>
            <w:tcBorders>
              <w:top w:val="nil"/>
              <w:left w:val="single" w:sz="4" w:space="0" w:color="4F81BD"/>
              <w:bottom w:val="nil"/>
              <w:right w:val="nil"/>
            </w:tcBorders>
            <w:shd w:val="clear" w:color="auto" w:fill="auto"/>
            <w:vAlign w:val="center"/>
            <w:hideMark/>
          </w:tcPr>
          <w:p w14:paraId="518F54A2"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Πωλήσεις</w:t>
            </w:r>
          </w:p>
        </w:tc>
        <w:tc>
          <w:tcPr>
            <w:tcW w:w="2183" w:type="dxa"/>
            <w:tcBorders>
              <w:top w:val="nil"/>
              <w:left w:val="nil"/>
              <w:bottom w:val="nil"/>
              <w:right w:val="nil"/>
            </w:tcBorders>
            <w:shd w:val="clear" w:color="000000" w:fill="C5D9F1"/>
            <w:noWrap/>
            <w:vAlign w:val="center"/>
            <w:hideMark/>
          </w:tcPr>
          <w:p w14:paraId="02AEA106"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3.438.452</w:t>
            </w:r>
          </w:p>
        </w:tc>
        <w:tc>
          <w:tcPr>
            <w:tcW w:w="2093" w:type="dxa"/>
            <w:tcBorders>
              <w:top w:val="nil"/>
              <w:left w:val="nil"/>
              <w:bottom w:val="nil"/>
              <w:right w:val="single" w:sz="4" w:space="0" w:color="4F81BD"/>
            </w:tcBorders>
            <w:shd w:val="clear" w:color="auto" w:fill="auto"/>
            <w:noWrap/>
            <w:vAlign w:val="center"/>
            <w:hideMark/>
          </w:tcPr>
          <w:p w14:paraId="00641250"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3.293.421</w:t>
            </w:r>
          </w:p>
        </w:tc>
      </w:tr>
      <w:tr w:rsidR="00B73CCC" w:rsidRPr="003A6F5B" w14:paraId="4FADC9EB" w14:textId="77777777" w:rsidTr="00A959DB">
        <w:trPr>
          <w:trHeight w:val="256"/>
        </w:trPr>
        <w:tc>
          <w:tcPr>
            <w:tcW w:w="5308" w:type="dxa"/>
            <w:tcBorders>
              <w:top w:val="nil"/>
              <w:left w:val="single" w:sz="4" w:space="0" w:color="4F81BD"/>
              <w:bottom w:val="nil"/>
              <w:right w:val="nil"/>
            </w:tcBorders>
            <w:shd w:val="clear" w:color="auto" w:fill="auto"/>
            <w:vAlign w:val="center"/>
            <w:hideMark/>
          </w:tcPr>
          <w:p w14:paraId="3C88781F"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 xml:space="preserve">Μικτό </w:t>
            </w:r>
            <w:r w:rsidRPr="003A6F5B">
              <w:rPr>
                <w:rFonts w:eastAsia="Times New Roman" w:cs="Calibri"/>
                <w:color w:val="000000"/>
                <w:sz w:val="20"/>
                <w:szCs w:val="20"/>
              </w:rPr>
              <w:t>κ</w:t>
            </w:r>
            <w:r w:rsidRPr="003A6F5B">
              <w:rPr>
                <w:rFonts w:eastAsia="Times New Roman" w:cs="Calibri"/>
                <w:color w:val="000000"/>
                <w:sz w:val="20"/>
                <w:szCs w:val="20"/>
                <w:lang w:val="en-US"/>
              </w:rPr>
              <w:t>έρδος</w:t>
            </w:r>
          </w:p>
        </w:tc>
        <w:tc>
          <w:tcPr>
            <w:tcW w:w="2183" w:type="dxa"/>
            <w:tcBorders>
              <w:top w:val="nil"/>
              <w:left w:val="nil"/>
              <w:bottom w:val="nil"/>
              <w:right w:val="nil"/>
            </w:tcBorders>
            <w:shd w:val="clear" w:color="000000" w:fill="C5D9F1"/>
            <w:noWrap/>
            <w:vAlign w:val="center"/>
            <w:hideMark/>
          </w:tcPr>
          <w:p w14:paraId="5A7502CB"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283.893</w:t>
            </w:r>
          </w:p>
        </w:tc>
        <w:tc>
          <w:tcPr>
            <w:tcW w:w="2093" w:type="dxa"/>
            <w:tcBorders>
              <w:top w:val="nil"/>
              <w:left w:val="nil"/>
              <w:bottom w:val="nil"/>
              <w:right w:val="single" w:sz="4" w:space="0" w:color="4F81BD"/>
            </w:tcBorders>
            <w:shd w:val="clear" w:color="auto" w:fill="auto"/>
            <w:noWrap/>
            <w:vAlign w:val="center"/>
            <w:hideMark/>
          </w:tcPr>
          <w:p w14:paraId="55F9152A"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213.309</w:t>
            </w:r>
          </w:p>
        </w:tc>
      </w:tr>
      <w:tr w:rsidR="00B73CCC" w:rsidRPr="003A6F5B" w14:paraId="11920001" w14:textId="77777777" w:rsidTr="00A959DB">
        <w:trPr>
          <w:trHeight w:val="266"/>
        </w:trPr>
        <w:tc>
          <w:tcPr>
            <w:tcW w:w="5308" w:type="dxa"/>
            <w:tcBorders>
              <w:top w:val="nil"/>
              <w:left w:val="single" w:sz="4" w:space="0" w:color="4F81BD"/>
              <w:bottom w:val="nil"/>
              <w:right w:val="nil"/>
            </w:tcBorders>
            <w:shd w:val="clear" w:color="auto" w:fill="auto"/>
            <w:vAlign w:val="center"/>
            <w:hideMark/>
          </w:tcPr>
          <w:p w14:paraId="59281828"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EBITDA</w:t>
            </w:r>
          </w:p>
        </w:tc>
        <w:tc>
          <w:tcPr>
            <w:tcW w:w="2183" w:type="dxa"/>
            <w:tcBorders>
              <w:top w:val="nil"/>
              <w:left w:val="nil"/>
              <w:bottom w:val="nil"/>
              <w:right w:val="nil"/>
            </w:tcBorders>
            <w:shd w:val="clear" w:color="000000" w:fill="C5D9F1"/>
            <w:noWrap/>
            <w:vAlign w:val="center"/>
            <w:hideMark/>
          </w:tcPr>
          <w:p w14:paraId="7233A3EC"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242.675</w:t>
            </w:r>
          </w:p>
        </w:tc>
        <w:tc>
          <w:tcPr>
            <w:tcW w:w="2093" w:type="dxa"/>
            <w:tcBorders>
              <w:top w:val="nil"/>
              <w:left w:val="nil"/>
              <w:bottom w:val="nil"/>
              <w:right w:val="single" w:sz="4" w:space="0" w:color="4F81BD"/>
            </w:tcBorders>
            <w:shd w:val="clear" w:color="auto" w:fill="auto"/>
            <w:noWrap/>
            <w:vAlign w:val="center"/>
            <w:hideMark/>
          </w:tcPr>
          <w:p w14:paraId="42249C6E"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176.390</w:t>
            </w:r>
          </w:p>
        </w:tc>
      </w:tr>
      <w:tr w:rsidR="00B73CCC" w:rsidRPr="003A6F5B" w14:paraId="704D1134" w14:textId="77777777" w:rsidTr="00A959DB">
        <w:trPr>
          <w:trHeight w:val="256"/>
        </w:trPr>
        <w:tc>
          <w:tcPr>
            <w:tcW w:w="5308" w:type="dxa"/>
            <w:tcBorders>
              <w:top w:val="nil"/>
              <w:left w:val="single" w:sz="4" w:space="0" w:color="4F81BD"/>
              <w:bottom w:val="nil"/>
              <w:right w:val="nil"/>
            </w:tcBorders>
            <w:shd w:val="clear" w:color="auto" w:fill="auto"/>
            <w:vAlign w:val="center"/>
            <w:hideMark/>
          </w:tcPr>
          <w:p w14:paraId="2916EA40"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a-EBITDA**</w:t>
            </w:r>
          </w:p>
        </w:tc>
        <w:tc>
          <w:tcPr>
            <w:tcW w:w="2183" w:type="dxa"/>
            <w:tcBorders>
              <w:top w:val="nil"/>
              <w:left w:val="nil"/>
              <w:bottom w:val="nil"/>
              <w:right w:val="nil"/>
            </w:tcBorders>
            <w:shd w:val="clear" w:color="000000" w:fill="C5D9F1"/>
            <w:noWrap/>
            <w:vAlign w:val="center"/>
            <w:hideMark/>
          </w:tcPr>
          <w:p w14:paraId="6F256274"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237.463</w:t>
            </w:r>
          </w:p>
        </w:tc>
        <w:tc>
          <w:tcPr>
            <w:tcW w:w="2093" w:type="dxa"/>
            <w:tcBorders>
              <w:top w:val="nil"/>
              <w:left w:val="nil"/>
              <w:bottom w:val="nil"/>
              <w:right w:val="single" w:sz="4" w:space="0" w:color="4F81BD"/>
            </w:tcBorders>
            <w:shd w:val="clear" w:color="auto" w:fill="auto"/>
            <w:noWrap/>
            <w:vAlign w:val="center"/>
            <w:hideMark/>
          </w:tcPr>
          <w:p w14:paraId="083EE7BE"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239.330</w:t>
            </w:r>
          </w:p>
        </w:tc>
      </w:tr>
      <w:tr w:rsidR="00B73CCC" w:rsidRPr="003A6F5B" w14:paraId="337F26FC" w14:textId="77777777" w:rsidTr="00A959DB">
        <w:trPr>
          <w:trHeight w:val="266"/>
        </w:trPr>
        <w:tc>
          <w:tcPr>
            <w:tcW w:w="5308" w:type="dxa"/>
            <w:tcBorders>
              <w:top w:val="nil"/>
              <w:left w:val="single" w:sz="4" w:space="0" w:color="4F81BD"/>
              <w:bottom w:val="nil"/>
              <w:right w:val="nil"/>
            </w:tcBorders>
            <w:shd w:val="clear" w:color="auto" w:fill="auto"/>
            <w:vAlign w:val="center"/>
            <w:hideMark/>
          </w:tcPr>
          <w:p w14:paraId="5799E609"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 xml:space="preserve">Λειτουργικό </w:t>
            </w:r>
            <w:r w:rsidRPr="003A6F5B">
              <w:rPr>
                <w:rFonts w:eastAsia="Times New Roman" w:cs="Calibri"/>
                <w:color w:val="000000"/>
                <w:sz w:val="20"/>
                <w:szCs w:val="20"/>
              </w:rPr>
              <w:t>α</w:t>
            </w:r>
            <w:r w:rsidRPr="003A6F5B">
              <w:rPr>
                <w:rFonts w:eastAsia="Times New Roman" w:cs="Calibri"/>
                <w:color w:val="000000"/>
                <w:sz w:val="20"/>
                <w:szCs w:val="20"/>
                <w:lang w:val="en-US"/>
              </w:rPr>
              <w:t>ποτέλεσμα (ΕΒΙΤ)</w:t>
            </w:r>
          </w:p>
        </w:tc>
        <w:tc>
          <w:tcPr>
            <w:tcW w:w="2183" w:type="dxa"/>
            <w:tcBorders>
              <w:top w:val="nil"/>
              <w:left w:val="nil"/>
              <w:bottom w:val="nil"/>
              <w:right w:val="nil"/>
            </w:tcBorders>
            <w:shd w:val="clear" w:color="000000" w:fill="C5D9F1"/>
            <w:noWrap/>
            <w:vAlign w:val="center"/>
            <w:hideMark/>
          </w:tcPr>
          <w:p w14:paraId="461AC1B5"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176.595</w:t>
            </w:r>
          </w:p>
        </w:tc>
        <w:tc>
          <w:tcPr>
            <w:tcW w:w="2093" w:type="dxa"/>
            <w:tcBorders>
              <w:top w:val="nil"/>
              <w:left w:val="nil"/>
              <w:bottom w:val="nil"/>
              <w:right w:val="single" w:sz="4" w:space="0" w:color="4F81BD"/>
            </w:tcBorders>
            <w:shd w:val="clear" w:color="auto" w:fill="auto"/>
            <w:noWrap/>
            <w:vAlign w:val="center"/>
            <w:hideMark/>
          </w:tcPr>
          <w:p w14:paraId="0B861FD0"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103.090</w:t>
            </w:r>
          </w:p>
        </w:tc>
      </w:tr>
      <w:tr w:rsidR="00B73CCC" w:rsidRPr="003A6F5B" w14:paraId="3D88A537" w14:textId="77777777" w:rsidTr="00A959DB">
        <w:trPr>
          <w:trHeight w:val="256"/>
        </w:trPr>
        <w:tc>
          <w:tcPr>
            <w:tcW w:w="5308" w:type="dxa"/>
            <w:tcBorders>
              <w:top w:val="nil"/>
              <w:left w:val="single" w:sz="4" w:space="0" w:color="4F81BD"/>
              <w:bottom w:val="nil"/>
              <w:right w:val="nil"/>
            </w:tcBorders>
            <w:shd w:val="clear" w:color="auto" w:fill="auto"/>
            <w:vAlign w:val="center"/>
            <w:hideMark/>
          </w:tcPr>
          <w:p w14:paraId="300762C5"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a-EBIT*</w:t>
            </w:r>
          </w:p>
        </w:tc>
        <w:tc>
          <w:tcPr>
            <w:tcW w:w="2183" w:type="dxa"/>
            <w:tcBorders>
              <w:top w:val="nil"/>
              <w:left w:val="nil"/>
              <w:bottom w:val="nil"/>
              <w:right w:val="nil"/>
            </w:tcBorders>
            <w:shd w:val="clear" w:color="000000" w:fill="C5D9F1"/>
            <w:noWrap/>
            <w:vAlign w:val="center"/>
            <w:hideMark/>
          </w:tcPr>
          <w:p w14:paraId="2664F583"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171.382</w:t>
            </w:r>
          </w:p>
        </w:tc>
        <w:tc>
          <w:tcPr>
            <w:tcW w:w="2093" w:type="dxa"/>
            <w:tcBorders>
              <w:top w:val="nil"/>
              <w:left w:val="nil"/>
              <w:bottom w:val="nil"/>
              <w:right w:val="single" w:sz="4" w:space="0" w:color="4F81BD"/>
            </w:tcBorders>
            <w:shd w:val="clear" w:color="auto" w:fill="auto"/>
            <w:noWrap/>
            <w:vAlign w:val="center"/>
            <w:hideMark/>
          </w:tcPr>
          <w:p w14:paraId="0A2B632F"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166.030</w:t>
            </w:r>
          </w:p>
        </w:tc>
      </w:tr>
      <w:tr w:rsidR="00B73CCC" w:rsidRPr="003A6F5B" w14:paraId="6924DB5E" w14:textId="77777777" w:rsidTr="00A959DB">
        <w:trPr>
          <w:trHeight w:val="266"/>
        </w:trPr>
        <w:tc>
          <w:tcPr>
            <w:tcW w:w="5308" w:type="dxa"/>
            <w:tcBorders>
              <w:top w:val="nil"/>
              <w:left w:val="single" w:sz="4" w:space="0" w:color="4F81BD"/>
              <w:bottom w:val="nil"/>
              <w:right w:val="nil"/>
            </w:tcBorders>
            <w:shd w:val="clear" w:color="auto" w:fill="auto"/>
            <w:vAlign w:val="center"/>
            <w:hideMark/>
          </w:tcPr>
          <w:p w14:paraId="3E371017"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 xml:space="preserve">Καθαρό </w:t>
            </w:r>
            <w:r w:rsidRPr="003A6F5B">
              <w:rPr>
                <w:rFonts w:eastAsia="Times New Roman" w:cs="Calibri"/>
                <w:color w:val="000000"/>
                <w:sz w:val="20"/>
                <w:szCs w:val="20"/>
              </w:rPr>
              <w:t>χ</w:t>
            </w:r>
            <w:r w:rsidRPr="003A6F5B">
              <w:rPr>
                <w:rFonts w:eastAsia="Times New Roman" w:cs="Calibri"/>
                <w:color w:val="000000"/>
                <w:sz w:val="20"/>
                <w:szCs w:val="20"/>
                <w:lang w:val="en-US"/>
              </w:rPr>
              <w:t>ρηματοοικονομικό αποτέλεσμα</w:t>
            </w:r>
          </w:p>
        </w:tc>
        <w:tc>
          <w:tcPr>
            <w:tcW w:w="2183" w:type="dxa"/>
            <w:tcBorders>
              <w:top w:val="nil"/>
              <w:left w:val="nil"/>
              <w:bottom w:val="nil"/>
              <w:right w:val="nil"/>
            </w:tcBorders>
            <w:shd w:val="clear" w:color="000000" w:fill="C5D9F1"/>
            <w:noWrap/>
            <w:vAlign w:val="center"/>
            <w:hideMark/>
          </w:tcPr>
          <w:p w14:paraId="6171056A"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highlight w:val="yellow"/>
                <w:lang w:val="en-US"/>
              </w:rPr>
            </w:pPr>
            <w:r>
              <w:rPr>
                <w:rFonts w:cs="Calibri"/>
                <w:color w:val="000000"/>
              </w:rPr>
              <w:t>(44.974)</w:t>
            </w:r>
          </w:p>
        </w:tc>
        <w:tc>
          <w:tcPr>
            <w:tcW w:w="2093" w:type="dxa"/>
            <w:tcBorders>
              <w:top w:val="nil"/>
              <w:left w:val="nil"/>
              <w:bottom w:val="nil"/>
              <w:right w:val="single" w:sz="4" w:space="0" w:color="4F81BD"/>
            </w:tcBorders>
            <w:shd w:val="clear" w:color="auto" w:fill="auto"/>
            <w:noWrap/>
            <w:vAlign w:val="center"/>
            <w:hideMark/>
          </w:tcPr>
          <w:p w14:paraId="47E9A327"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highlight w:val="yellow"/>
              </w:rPr>
            </w:pPr>
            <w:r>
              <w:rPr>
                <w:rFonts w:cs="Calibri"/>
                <w:color w:val="000000"/>
              </w:rPr>
              <w:t>(53.121)</w:t>
            </w:r>
          </w:p>
        </w:tc>
      </w:tr>
      <w:tr w:rsidR="00B73CCC" w:rsidRPr="003A6F5B" w14:paraId="6C1D3A2C" w14:textId="77777777" w:rsidTr="00A959DB">
        <w:trPr>
          <w:trHeight w:val="266"/>
        </w:trPr>
        <w:tc>
          <w:tcPr>
            <w:tcW w:w="5308" w:type="dxa"/>
            <w:tcBorders>
              <w:top w:val="nil"/>
              <w:left w:val="single" w:sz="4" w:space="0" w:color="4F81BD"/>
              <w:bottom w:val="nil"/>
              <w:right w:val="nil"/>
            </w:tcBorders>
            <w:shd w:val="clear" w:color="auto" w:fill="auto"/>
            <w:vAlign w:val="center"/>
            <w:hideMark/>
          </w:tcPr>
          <w:p w14:paraId="46009AF0"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Κέρδη πριν από φόρους</w:t>
            </w:r>
          </w:p>
        </w:tc>
        <w:tc>
          <w:tcPr>
            <w:tcW w:w="2183" w:type="dxa"/>
            <w:tcBorders>
              <w:top w:val="nil"/>
              <w:left w:val="nil"/>
              <w:bottom w:val="nil"/>
              <w:right w:val="nil"/>
            </w:tcBorders>
            <w:shd w:val="clear" w:color="000000" w:fill="C5D9F1"/>
            <w:noWrap/>
            <w:vAlign w:val="center"/>
            <w:hideMark/>
          </w:tcPr>
          <w:p w14:paraId="2044B159"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125.997</w:t>
            </w:r>
          </w:p>
        </w:tc>
        <w:tc>
          <w:tcPr>
            <w:tcW w:w="2093" w:type="dxa"/>
            <w:tcBorders>
              <w:top w:val="nil"/>
              <w:left w:val="nil"/>
              <w:bottom w:val="nil"/>
              <w:right w:val="single" w:sz="4" w:space="0" w:color="4F81BD"/>
            </w:tcBorders>
            <w:shd w:val="clear" w:color="auto" w:fill="auto"/>
            <w:noWrap/>
            <w:vAlign w:val="center"/>
            <w:hideMark/>
          </w:tcPr>
          <w:p w14:paraId="065453BD"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42.958</w:t>
            </w:r>
          </w:p>
        </w:tc>
      </w:tr>
      <w:tr w:rsidR="00B73CCC" w:rsidRPr="003A6F5B" w14:paraId="20819F7B" w14:textId="77777777" w:rsidTr="00A959DB">
        <w:trPr>
          <w:trHeight w:val="256"/>
        </w:trPr>
        <w:tc>
          <w:tcPr>
            <w:tcW w:w="5308" w:type="dxa"/>
            <w:tcBorders>
              <w:top w:val="nil"/>
              <w:left w:val="single" w:sz="4" w:space="0" w:color="4F81BD"/>
              <w:bottom w:val="nil"/>
              <w:right w:val="nil"/>
            </w:tcBorders>
            <w:shd w:val="clear" w:color="auto" w:fill="auto"/>
            <w:vAlign w:val="center"/>
            <w:hideMark/>
          </w:tcPr>
          <w:p w14:paraId="384D92E3"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Κέρδη μετά από φόρους</w:t>
            </w:r>
          </w:p>
        </w:tc>
        <w:tc>
          <w:tcPr>
            <w:tcW w:w="2183" w:type="dxa"/>
            <w:tcBorders>
              <w:top w:val="nil"/>
              <w:left w:val="nil"/>
              <w:bottom w:val="nil"/>
              <w:right w:val="nil"/>
            </w:tcBorders>
            <w:shd w:val="clear" w:color="000000" w:fill="C5D9F1"/>
            <w:noWrap/>
            <w:vAlign w:val="center"/>
            <w:hideMark/>
          </w:tcPr>
          <w:p w14:paraId="1308CD55"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109.542</w:t>
            </w:r>
          </w:p>
        </w:tc>
        <w:tc>
          <w:tcPr>
            <w:tcW w:w="2093" w:type="dxa"/>
            <w:tcBorders>
              <w:top w:val="nil"/>
              <w:left w:val="nil"/>
              <w:bottom w:val="nil"/>
              <w:right w:val="single" w:sz="4" w:space="0" w:color="4F81BD"/>
            </w:tcBorders>
            <w:shd w:val="clear" w:color="auto" w:fill="auto"/>
            <w:noWrap/>
            <w:vAlign w:val="center"/>
            <w:hideMark/>
          </w:tcPr>
          <w:p w14:paraId="53B9F890"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32.846</w:t>
            </w:r>
          </w:p>
        </w:tc>
      </w:tr>
      <w:tr w:rsidR="00B73CCC" w:rsidRPr="003A6F5B" w14:paraId="07C8E069" w14:textId="77777777" w:rsidTr="00A959DB">
        <w:trPr>
          <w:trHeight w:val="266"/>
        </w:trPr>
        <w:tc>
          <w:tcPr>
            <w:tcW w:w="5308" w:type="dxa"/>
            <w:tcBorders>
              <w:top w:val="nil"/>
              <w:left w:val="single" w:sz="4" w:space="0" w:color="4F81BD"/>
              <w:bottom w:val="nil"/>
              <w:right w:val="nil"/>
            </w:tcBorders>
            <w:shd w:val="clear" w:color="auto" w:fill="auto"/>
            <w:vAlign w:val="center"/>
            <w:hideMark/>
          </w:tcPr>
          <w:p w14:paraId="27CFEC21"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rPr>
            </w:pPr>
            <w:r w:rsidRPr="003A6F5B">
              <w:rPr>
                <w:rFonts w:eastAsia="Times New Roman" w:cs="Calibri"/>
                <w:color w:val="000000"/>
                <w:sz w:val="20"/>
                <w:szCs w:val="20"/>
              </w:rPr>
              <w:t>Κέρδη μετά από φόρους &amp; δικαιώματα μειοψηφίας</w:t>
            </w:r>
          </w:p>
        </w:tc>
        <w:tc>
          <w:tcPr>
            <w:tcW w:w="2183" w:type="dxa"/>
            <w:tcBorders>
              <w:top w:val="nil"/>
              <w:left w:val="nil"/>
              <w:bottom w:val="nil"/>
              <w:right w:val="nil"/>
            </w:tcBorders>
            <w:shd w:val="clear" w:color="000000" w:fill="C5D9F1"/>
            <w:noWrap/>
            <w:vAlign w:val="center"/>
            <w:hideMark/>
          </w:tcPr>
          <w:p w14:paraId="6EA27B89"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103.209</w:t>
            </w:r>
          </w:p>
        </w:tc>
        <w:tc>
          <w:tcPr>
            <w:tcW w:w="2093" w:type="dxa"/>
            <w:tcBorders>
              <w:top w:val="nil"/>
              <w:left w:val="nil"/>
              <w:bottom w:val="nil"/>
              <w:right w:val="single" w:sz="4" w:space="0" w:color="4F81BD"/>
            </w:tcBorders>
            <w:shd w:val="clear" w:color="auto" w:fill="auto"/>
            <w:noWrap/>
            <w:vAlign w:val="center"/>
            <w:hideMark/>
          </w:tcPr>
          <w:p w14:paraId="6A6A36E5"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28.498</w:t>
            </w:r>
          </w:p>
        </w:tc>
      </w:tr>
      <w:tr w:rsidR="00B73CCC" w:rsidRPr="003A6F5B" w14:paraId="3D29215B" w14:textId="77777777" w:rsidTr="00A959DB">
        <w:trPr>
          <w:trHeight w:val="256"/>
        </w:trPr>
        <w:tc>
          <w:tcPr>
            <w:tcW w:w="5308" w:type="dxa"/>
            <w:tcBorders>
              <w:top w:val="nil"/>
              <w:left w:val="single" w:sz="4" w:space="0" w:color="4F81BD"/>
              <w:right w:val="nil"/>
            </w:tcBorders>
            <w:shd w:val="clear" w:color="auto" w:fill="auto"/>
            <w:vAlign w:val="center"/>
            <w:hideMark/>
          </w:tcPr>
          <w:p w14:paraId="4055E13B"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rPr>
            </w:pPr>
            <w:r w:rsidRPr="003A6F5B">
              <w:rPr>
                <w:rFonts w:eastAsia="Times New Roman" w:cs="Calibri"/>
                <w:color w:val="000000"/>
                <w:sz w:val="20"/>
                <w:szCs w:val="20"/>
                <w:lang w:val="en-US"/>
              </w:rPr>
              <w:t>Κέρδη ανά μετοχή (€)</w:t>
            </w:r>
            <w:r w:rsidRPr="003A6F5B">
              <w:rPr>
                <w:rFonts w:eastAsia="Times New Roman" w:cs="Calibri"/>
                <w:color w:val="000000"/>
                <w:sz w:val="20"/>
                <w:szCs w:val="20"/>
              </w:rPr>
              <w:t>***</w:t>
            </w:r>
          </w:p>
        </w:tc>
        <w:tc>
          <w:tcPr>
            <w:tcW w:w="2183" w:type="dxa"/>
            <w:tcBorders>
              <w:top w:val="nil"/>
              <w:left w:val="nil"/>
              <w:bottom w:val="nil"/>
              <w:right w:val="nil"/>
            </w:tcBorders>
            <w:shd w:val="clear" w:color="000000" w:fill="C5D9F1"/>
            <w:noWrap/>
            <w:vAlign w:val="center"/>
            <w:hideMark/>
          </w:tcPr>
          <w:p w14:paraId="39AE5A0B" w14:textId="77777777" w:rsidR="00B73CCC" w:rsidRPr="00B94204" w:rsidRDefault="00B73CCC" w:rsidP="00A959DB">
            <w:pPr>
              <w:widowControl/>
              <w:autoSpaceDE/>
              <w:autoSpaceDN/>
              <w:spacing w:before="100" w:beforeAutospacing="1" w:after="100" w:afterAutospacing="1" w:line="276" w:lineRule="auto"/>
              <w:jc w:val="center"/>
              <w:rPr>
                <w:rFonts w:cs="Calibri"/>
                <w:color w:val="000000"/>
                <w:sz w:val="20"/>
                <w:szCs w:val="20"/>
                <w:highlight w:val="yellow"/>
                <w:lang w:val="en-US"/>
              </w:rPr>
            </w:pPr>
            <w:r>
              <w:rPr>
                <w:rFonts w:cs="Calibri"/>
                <w:color w:val="000000"/>
              </w:rPr>
              <w:t>0,2752</w:t>
            </w:r>
          </w:p>
        </w:tc>
        <w:tc>
          <w:tcPr>
            <w:tcW w:w="2093" w:type="dxa"/>
            <w:tcBorders>
              <w:top w:val="nil"/>
              <w:left w:val="nil"/>
              <w:right w:val="single" w:sz="4" w:space="0" w:color="4F81BD"/>
            </w:tcBorders>
            <w:shd w:val="clear" w:color="auto" w:fill="auto"/>
            <w:noWrap/>
            <w:vAlign w:val="center"/>
            <w:hideMark/>
          </w:tcPr>
          <w:p w14:paraId="70C12804" w14:textId="77777777" w:rsidR="00B73CCC" w:rsidRPr="00B94204" w:rsidRDefault="00B73CCC" w:rsidP="00A959DB">
            <w:pPr>
              <w:widowControl/>
              <w:autoSpaceDE/>
              <w:autoSpaceDN/>
              <w:spacing w:before="100" w:beforeAutospacing="1" w:after="100" w:afterAutospacing="1" w:line="276" w:lineRule="auto"/>
              <w:jc w:val="center"/>
              <w:rPr>
                <w:rFonts w:cs="Calibri"/>
                <w:color w:val="000000"/>
                <w:sz w:val="20"/>
                <w:szCs w:val="20"/>
                <w:highlight w:val="yellow"/>
              </w:rPr>
            </w:pPr>
            <w:r>
              <w:rPr>
                <w:rFonts w:cs="Calibri"/>
                <w:color w:val="000000"/>
              </w:rPr>
              <w:t>0,0759</w:t>
            </w:r>
          </w:p>
        </w:tc>
      </w:tr>
      <w:tr w:rsidR="00B73CCC" w:rsidRPr="003A6F5B" w14:paraId="4D421352" w14:textId="77777777" w:rsidTr="00A959DB">
        <w:trPr>
          <w:trHeight w:val="256"/>
        </w:trPr>
        <w:tc>
          <w:tcPr>
            <w:tcW w:w="5308" w:type="dxa"/>
            <w:tcBorders>
              <w:top w:val="nil"/>
              <w:left w:val="single" w:sz="4" w:space="0" w:color="4F81BD"/>
              <w:bottom w:val="single" w:sz="4" w:space="0" w:color="4F81BD"/>
              <w:right w:val="nil"/>
            </w:tcBorders>
            <w:shd w:val="clear" w:color="auto" w:fill="auto"/>
            <w:vAlign w:val="center"/>
          </w:tcPr>
          <w:p w14:paraId="6DF17C4B"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rPr>
            </w:pPr>
            <w:r w:rsidRPr="003A6F5B">
              <w:rPr>
                <w:rFonts w:eastAsia="Times New Roman" w:cs="Calibri"/>
                <w:color w:val="000000"/>
                <w:sz w:val="20"/>
                <w:szCs w:val="20"/>
              </w:rPr>
              <w:t>Καθαρός Δανεισμός</w:t>
            </w:r>
          </w:p>
        </w:tc>
        <w:tc>
          <w:tcPr>
            <w:tcW w:w="2183" w:type="dxa"/>
            <w:tcBorders>
              <w:top w:val="nil"/>
              <w:left w:val="nil"/>
              <w:bottom w:val="single" w:sz="4" w:space="0" w:color="4F81BD"/>
              <w:right w:val="nil"/>
            </w:tcBorders>
            <w:shd w:val="clear" w:color="000000" w:fill="C5D9F1"/>
            <w:noWrap/>
            <w:vAlign w:val="center"/>
          </w:tcPr>
          <w:p w14:paraId="643A3A16" w14:textId="77777777" w:rsidR="00B73CCC" w:rsidRPr="00250B78" w:rsidRDefault="00B73CCC" w:rsidP="00A959DB">
            <w:pPr>
              <w:widowControl/>
              <w:autoSpaceDE/>
              <w:autoSpaceDN/>
              <w:spacing w:before="100" w:beforeAutospacing="1" w:after="100" w:afterAutospacing="1" w:line="276" w:lineRule="auto"/>
              <w:jc w:val="center"/>
              <w:rPr>
                <w:sz w:val="20"/>
                <w:szCs w:val="20"/>
              </w:rPr>
            </w:pPr>
            <w:r>
              <w:rPr>
                <w:rFonts w:cs="Calibri"/>
                <w:color w:val="000000"/>
              </w:rPr>
              <w:t>643.435</w:t>
            </w:r>
          </w:p>
        </w:tc>
        <w:tc>
          <w:tcPr>
            <w:tcW w:w="2093" w:type="dxa"/>
            <w:tcBorders>
              <w:top w:val="nil"/>
              <w:left w:val="nil"/>
              <w:bottom w:val="single" w:sz="4" w:space="0" w:color="4F81BD"/>
              <w:right w:val="single" w:sz="4" w:space="0" w:color="4F81BD"/>
            </w:tcBorders>
            <w:shd w:val="clear" w:color="auto" w:fill="auto"/>
            <w:noWrap/>
            <w:vAlign w:val="center"/>
          </w:tcPr>
          <w:p w14:paraId="28D34D1D" w14:textId="77777777" w:rsidR="00B73CCC" w:rsidRPr="00250B78" w:rsidRDefault="00B73CCC" w:rsidP="00A959DB">
            <w:pPr>
              <w:jc w:val="center"/>
              <w:rPr>
                <w:rFonts w:eastAsia="Times New Roman" w:cs="Calibri"/>
                <w:color w:val="000000"/>
                <w:sz w:val="20"/>
                <w:szCs w:val="20"/>
                <w:lang w:val="en-US"/>
              </w:rPr>
            </w:pPr>
            <w:r>
              <w:rPr>
                <w:rFonts w:cs="Calibri"/>
                <w:color w:val="000000"/>
              </w:rPr>
              <w:t>813.350</w:t>
            </w:r>
          </w:p>
        </w:tc>
      </w:tr>
    </w:tbl>
    <w:p w14:paraId="4F23B458" w14:textId="77777777" w:rsidR="00B73CCC" w:rsidRDefault="00B73CCC" w:rsidP="00B73CCC">
      <w:pPr>
        <w:spacing w:before="29"/>
        <w:rPr>
          <w:b/>
          <w:bCs/>
          <w:color w:val="A6A6A6" w:themeColor="background1" w:themeShade="A6"/>
          <w:spacing w:val="7"/>
          <w:sz w:val="24"/>
          <w:szCs w:val="24"/>
        </w:rPr>
      </w:pPr>
    </w:p>
    <w:tbl>
      <w:tblPr>
        <w:tblW w:w="9595" w:type="dxa"/>
        <w:tblInd w:w="-5" w:type="dxa"/>
        <w:tblLook w:val="04A0" w:firstRow="1" w:lastRow="0" w:firstColumn="1" w:lastColumn="0" w:noHBand="0" w:noVBand="1"/>
      </w:tblPr>
      <w:tblGrid>
        <w:gridCol w:w="5314"/>
        <w:gridCol w:w="2185"/>
        <w:gridCol w:w="2096"/>
      </w:tblGrid>
      <w:tr w:rsidR="00B73CCC" w:rsidRPr="003A6F5B" w14:paraId="0E7EB7EA" w14:textId="77777777" w:rsidTr="00A959DB">
        <w:trPr>
          <w:trHeight w:val="207"/>
        </w:trPr>
        <w:tc>
          <w:tcPr>
            <w:tcW w:w="5314" w:type="dxa"/>
            <w:tcBorders>
              <w:top w:val="single" w:sz="4" w:space="0" w:color="4F81BD"/>
              <w:left w:val="single" w:sz="4" w:space="0" w:color="4F81BD"/>
              <w:bottom w:val="nil"/>
              <w:right w:val="nil"/>
            </w:tcBorders>
            <w:shd w:val="clear" w:color="000000" w:fill="4F81BD"/>
            <w:vAlign w:val="center"/>
            <w:hideMark/>
          </w:tcPr>
          <w:p w14:paraId="27CA8364" w14:textId="77777777" w:rsidR="00B73CCC" w:rsidRPr="003A6F5B" w:rsidRDefault="00B73CCC" w:rsidP="00A959DB">
            <w:pPr>
              <w:widowControl/>
              <w:autoSpaceDE/>
              <w:autoSpaceDN/>
              <w:jc w:val="center"/>
              <w:rPr>
                <w:rFonts w:eastAsia="Times New Roman" w:cs="Calibri"/>
                <w:b/>
                <w:bCs/>
                <w:color w:val="FFFFFF"/>
                <w:sz w:val="20"/>
                <w:szCs w:val="20"/>
                <w:lang w:val="en-US"/>
              </w:rPr>
            </w:pPr>
            <w:r w:rsidRPr="003A6F5B">
              <w:rPr>
                <w:rFonts w:eastAsia="Times New Roman" w:cs="Calibri"/>
                <w:b/>
                <w:bCs/>
                <w:color w:val="FFFFFF"/>
                <w:sz w:val="20"/>
                <w:szCs w:val="20"/>
                <w:lang w:val="en-US"/>
              </w:rPr>
              <w:t> </w:t>
            </w:r>
          </w:p>
        </w:tc>
        <w:tc>
          <w:tcPr>
            <w:tcW w:w="4281" w:type="dxa"/>
            <w:gridSpan w:val="2"/>
            <w:tcBorders>
              <w:top w:val="single" w:sz="4" w:space="0" w:color="4F81BD"/>
              <w:left w:val="nil"/>
              <w:bottom w:val="nil"/>
              <w:right w:val="single" w:sz="4" w:space="0" w:color="4F81BD"/>
            </w:tcBorders>
            <w:shd w:val="clear" w:color="000000" w:fill="4F81BD"/>
            <w:vAlign w:val="center"/>
            <w:hideMark/>
          </w:tcPr>
          <w:p w14:paraId="1F1F4AA1" w14:textId="77777777" w:rsidR="00B73CCC" w:rsidRPr="00BF6224" w:rsidRDefault="00B73CCC" w:rsidP="00A959DB">
            <w:pPr>
              <w:widowControl/>
              <w:autoSpaceDE/>
              <w:autoSpaceDN/>
              <w:jc w:val="center"/>
              <w:rPr>
                <w:rFonts w:eastAsia="Times New Roman" w:cs="Calibri"/>
                <w:b/>
                <w:bCs/>
                <w:color w:val="FFFFFF"/>
                <w:sz w:val="20"/>
                <w:szCs w:val="20"/>
              </w:rPr>
            </w:pPr>
            <w:r>
              <w:rPr>
                <w:rFonts w:eastAsia="Times New Roman" w:cs="Calibri"/>
                <w:b/>
                <w:bCs/>
                <w:color w:val="FFFFFF"/>
                <w:sz w:val="20"/>
                <w:szCs w:val="20"/>
              </w:rPr>
              <w:t>Εταιρεία</w:t>
            </w:r>
          </w:p>
        </w:tc>
      </w:tr>
      <w:tr w:rsidR="00B73CCC" w:rsidRPr="003A6F5B" w14:paraId="7FB31DF1" w14:textId="77777777" w:rsidTr="00A959DB">
        <w:trPr>
          <w:trHeight w:val="263"/>
        </w:trPr>
        <w:tc>
          <w:tcPr>
            <w:tcW w:w="5314" w:type="dxa"/>
            <w:tcBorders>
              <w:top w:val="nil"/>
              <w:left w:val="single" w:sz="4" w:space="0" w:color="4F81BD"/>
              <w:bottom w:val="nil"/>
              <w:right w:val="nil"/>
            </w:tcBorders>
            <w:shd w:val="clear" w:color="000000" w:fill="4F81BD"/>
            <w:vAlign w:val="center"/>
            <w:hideMark/>
          </w:tcPr>
          <w:p w14:paraId="2E62530B" w14:textId="77777777" w:rsidR="00B73CCC" w:rsidRPr="003A6F5B" w:rsidRDefault="00B73CCC" w:rsidP="00A959DB">
            <w:pPr>
              <w:widowControl/>
              <w:autoSpaceDE/>
              <w:autoSpaceDN/>
              <w:jc w:val="center"/>
              <w:rPr>
                <w:rFonts w:eastAsia="Times New Roman" w:cs="Calibri"/>
                <w:b/>
                <w:bCs/>
                <w:color w:val="FFFFFF"/>
                <w:sz w:val="20"/>
                <w:szCs w:val="20"/>
                <w:lang w:val="en-US"/>
              </w:rPr>
            </w:pPr>
            <w:r w:rsidRPr="003A6F5B">
              <w:rPr>
                <w:rFonts w:eastAsia="Times New Roman" w:cs="Calibri"/>
                <w:b/>
                <w:bCs/>
                <w:color w:val="FFFFFF"/>
                <w:sz w:val="20"/>
                <w:szCs w:val="20"/>
                <w:lang w:val="en-US"/>
              </w:rPr>
              <w:t>Ποσά  σε €’ 000</w:t>
            </w:r>
          </w:p>
        </w:tc>
        <w:tc>
          <w:tcPr>
            <w:tcW w:w="2185" w:type="dxa"/>
            <w:tcBorders>
              <w:top w:val="nil"/>
              <w:left w:val="nil"/>
              <w:bottom w:val="single" w:sz="8" w:space="0" w:color="4F81BD"/>
              <w:right w:val="nil"/>
            </w:tcBorders>
            <w:shd w:val="clear" w:color="000000" w:fill="4F81BD"/>
            <w:vAlign w:val="center"/>
            <w:hideMark/>
          </w:tcPr>
          <w:p w14:paraId="0D1887F8" w14:textId="77777777" w:rsidR="00B73CCC" w:rsidRPr="003A6F5B" w:rsidRDefault="00B73CCC" w:rsidP="00A959DB">
            <w:pPr>
              <w:widowControl/>
              <w:autoSpaceDE/>
              <w:autoSpaceDN/>
              <w:jc w:val="center"/>
              <w:rPr>
                <w:rFonts w:eastAsia="Times New Roman" w:cs="Calibri"/>
                <w:b/>
                <w:bCs/>
                <w:color w:val="FFFFFF"/>
                <w:sz w:val="20"/>
                <w:szCs w:val="20"/>
              </w:rPr>
            </w:pPr>
            <w:r>
              <w:rPr>
                <w:rFonts w:eastAsia="Times New Roman" w:cs="Calibri"/>
                <w:b/>
                <w:bCs/>
                <w:color w:val="FFFFFF"/>
                <w:sz w:val="20"/>
                <w:szCs w:val="20"/>
              </w:rPr>
              <w:t>2024</w:t>
            </w:r>
          </w:p>
        </w:tc>
        <w:tc>
          <w:tcPr>
            <w:tcW w:w="2096" w:type="dxa"/>
            <w:tcBorders>
              <w:top w:val="nil"/>
              <w:left w:val="nil"/>
              <w:bottom w:val="single" w:sz="8" w:space="0" w:color="4F81BD"/>
              <w:right w:val="single" w:sz="4" w:space="0" w:color="4F81BD"/>
            </w:tcBorders>
            <w:shd w:val="clear" w:color="000000" w:fill="4F81BD"/>
            <w:vAlign w:val="center"/>
            <w:hideMark/>
          </w:tcPr>
          <w:p w14:paraId="0124E6B3" w14:textId="77777777" w:rsidR="00B73CCC" w:rsidRPr="003A6F5B" w:rsidRDefault="00B73CCC" w:rsidP="00A959DB">
            <w:pPr>
              <w:widowControl/>
              <w:autoSpaceDE/>
              <w:autoSpaceDN/>
              <w:jc w:val="center"/>
              <w:rPr>
                <w:rFonts w:eastAsia="Times New Roman" w:cs="Calibri"/>
                <w:b/>
                <w:bCs/>
                <w:color w:val="FFFFFF"/>
                <w:sz w:val="20"/>
                <w:szCs w:val="20"/>
              </w:rPr>
            </w:pPr>
            <w:r>
              <w:rPr>
                <w:rFonts w:eastAsia="Times New Roman" w:cs="Calibri"/>
                <w:b/>
                <w:bCs/>
                <w:color w:val="FFFFFF"/>
                <w:sz w:val="20"/>
                <w:szCs w:val="20"/>
              </w:rPr>
              <w:t>2023</w:t>
            </w:r>
          </w:p>
        </w:tc>
      </w:tr>
      <w:tr w:rsidR="00B73CCC" w:rsidRPr="003A6F5B" w14:paraId="70EDA6AB" w14:textId="77777777" w:rsidTr="00A959DB">
        <w:trPr>
          <w:trHeight w:val="266"/>
        </w:trPr>
        <w:tc>
          <w:tcPr>
            <w:tcW w:w="5314" w:type="dxa"/>
            <w:tcBorders>
              <w:top w:val="nil"/>
              <w:left w:val="single" w:sz="4" w:space="0" w:color="4F81BD"/>
              <w:bottom w:val="nil"/>
              <w:right w:val="nil"/>
            </w:tcBorders>
            <w:shd w:val="clear" w:color="auto" w:fill="auto"/>
            <w:vAlign w:val="center"/>
            <w:hideMark/>
          </w:tcPr>
          <w:p w14:paraId="15909A3F"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Πωλήσεις</w:t>
            </w:r>
          </w:p>
        </w:tc>
        <w:tc>
          <w:tcPr>
            <w:tcW w:w="2185" w:type="dxa"/>
            <w:tcBorders>
              <w:top w:val="single" w:sz="8" w:space="0" w:color="4F81BD"/>
              <w:left w:val="nil"/>
              <w:bottom w:val="nil"/>
              <w:right w:val="nil"/>
            </w:tcBorders>
            <w:shd w:val="clear" w:color="000000" w:fill="C5D9F1"/>
            <w:noWrap/>
            <w:vAlign w:val="center"/>
            <w:hideMark/>
          </w:tcPr>
          <w:p w14:paraId="677A0CEB"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2.375.920</w:t>
            </w:r>
          </w:p>
        </w:tc>
        <w:tc>
          <w:tcPr>
            <w:tcW w:w="2096" w:type="dxa"/>
            <w:tcBorders>
              <w:top w:val="single" w:sz="8" w:space="0" w:color="4F81BD"/>
              <w:left w:val="nil"/>
              <w:bottom w:val="nil"/>
              <w:right w:val="single" w:sz="4" w:space="0" w:color="4F81BD"/>
            </w:tcBorders>
            <w:shd w:val="clear" w:color="auto" w:fill="auto"/>
            <w:noWrap/>
            <w:vAlign w:val="center"/>
            <w:hideMark/>
          </w:tcPr>
          <w:p w14:paraId="504E8FC0"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2.317.901</w:t>
            </w:r>
          </w:p>
        </w:tc>
      </w:tr>
      <w:tr w:rsidR="00B73CCC" w:rsidRPr="003A6F5B" w14:paraId="7B9207A5" w14:textId="77777777" w:rsidTr="00A959DB">
        <w:trPr>
          <w:trHeight w:val="256"/>
        </w:trPr>
        <w:tc>
          <w:tcPr>
            <w:tcW w:w="5314" w:type="dxa"/>
            <w:tcBorders>
              <w:top w:val="nil"/>
              <w:left w:val="single" w:sz="4" w:space="0" w:color="4F81BD"/>
              <w:bottom w:val="nil"/>
              <w:right w:val="nil"/>
            </w:tcBorders>
            <w:shd w:val="clear" w:color="auto" w:fill="auto"/>
            <w:vAlign w:val="center"/>
            <w:hideMark/>
          </w:tcPr>
          <w:p w14:paraId="681FD9DE"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 xml:space="preserve">Μικτό </w:t>
            </w:r>
            <w:r w:rsidRPr="003A6F5B">
              <w:rPr>
                <w:rFonts w:eastAsia="Times New Roman" w:cs="Calibri"/>
                <w:color w:val="000000"/>
                <w:sz w:val="20"/>
                <w:szCs w:val="20"/>
              </w:rPr>
              <w:t>κ</w:t>
            </w:r>
            <w:r w:rsidRPr="003A6F5B">
              <w:rPr>
                <w:rFonts w:eastAsia="Times New Roman" w:cs="Calibri"/>
                <w:color w:val="000000"/>
                <w:sz w:val="20"/>
                <w:szCs w:val="20"/>
                <w:lang w:val="en-US"/>
              </w:rPr>
              <w:t>έρδος</w:t>
            </w:r>
          </w:p>
        </w:tc>
        <w:tc>
          <w:tcPr>
            <w:tcW w:w="2185" w:type="dxa"/>
            <w:tcBorders>
              <w:top w:val="nil"/>
              <w:left w:val="nil"/>
              <w:bottom w:val="nil"/>
              <w:right w:val="nil"/>
            </w:tcBorders>
            <w:shd w:val="clear" w:color="000000" w:fill="C5D9F1"/>
            <w:noWrap/>
            <w:vAlign w:val="center"/>
            <w:hideMark/>
          </w:tcPr>
          <w:p w14:paraId="28F5FB48"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148.582</w:t>
            </w:r>
          </w:p>
        </w:tc>
        <w:tc>
          <w:tcPr>
            <w:tcW w:w="2096" w:type="dxa"/>
            <w:tcBorders>
              <w:top w:val="nil"/>
              <w:left w:val="nil"/>
              <w:bottom w:val="nil"/>
              <w:right w:val="single" w:sz="4" w:space="0" w:color="4F81BD"/>
            </w:tcBorders>
            <w:shd w:val="clear" w:color="auto" w:fill="auto"/>
            <w:noWrap/>
            <w:vAlign w:val="center"/>
            <w:hideMark/>
          </w:tcPr>
          <w:p w14:paraId="7FB5C6A1"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94.278</w:t>
            </w:r>
          </w:p>
        </w:tc>
      </w:tr>
      <w:tr w:rsidR="00B73CCC" w:rsidRPr="003A6F5B" w14:paraId="0F9F299D" w14:textId="77777777" w:rsidTr="00A959DB">
        <w:trPr>
          <w:trHeight w:val="266"/>
        </w:trPr>
        <w:tc>
          <w:tcPr>
            <w:tcW w:w="5314" w:type="dxa"/>
            <w:tcBorders>
              <w:top w:val="nil"/>
              <w:left w:val="single" w:sz="4" w:space="0" w:color="4F81BD"/>
              <w:bottom w:val="nil"/>
              <w:right w:val="nil"/>
            </w:tcBorders>
            <w:shd w:val="clear" w:color="auto" w:fill="auto"/>
            <w:vAlign w:val="center"/>
            <w:hideMark/>
          </w:tcPr>
          <w:p w14:paraId="2C3C3A35"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EBITDA</w:t>
            </w:r>
          </w:p>
        </w:tc>
        <w:tc>
          <w:tcPr>
            <w:tcW w:w="2185" w:type="dxa"/>
            <w:tcBorders>
              <w:top w:val="nil"/>
              <w:left w:val="nil"/>
              <w:bottom w:val="nil"/>
              <w:right w:val="nil"/>
            </w:tcBorders>
            <w:shd w:val="clear" w:color="000000" w:fill="C5D9F1"/>
            <w:noWrap/>
            <w:vAlign w:val="center"/>
            <w:hideMark/>
          </w:tcPr>
          <w:p w14:paraId="1D91C112"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133.363</w:t>
            </w:r>
          </w:p>
        </w:tc>
        <w:tc>
          <w:tcPr>
            <w:tcW w:w="2096" w:type="dxa"/>
            <w:tcBorders>
              <w:top w:val="nil"/>
              <w:left w:val="nil"/>
              <w:bottom w:val="nil"/>
              <w:right w:val="single" w:sz="4" w:space="0" w:color="4F81BD"/>
            </w:tcBorders>
            <w:shd w:val="clear" w:color="auto" w:fill="auto"/>
            <w:noWrap/>
            <w:vAlign w:val="center"/>
            <w:hideMark/>
          </w:tcPr>
          <w:p w14:paraId="7BA8A3C1"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77.320</w:t>
            </w:r>
          </w:p>
        </w:tc>
      </w:tr>
      <w:tr w:rsidR="00B73CCC" w:rsidRPr="003A6F5B" w14:paraId="4328B606" w14:textId="77777777" w:rsidTr="00A959DB">
        <w:trPr>
          <w:trHeight w:val="256"/>
        </w:trPr>
        <w:tc>
          <w:tcPr>
            <w:tcW w:w="5314" w:type="dxa"/>
            <w:tcBorders>
              <w:top w:val="nil"/>
              <w:left w:val="single" w:sz="4" w:space="0" w:color="4F81BD"/>
              <w:bottom w:val="nil"/>
              <w:right w:val="nil"/>
            </w:tcBorders>
            <w:shd w:val="clear" w:color="auto" w:fill="auto"/>
            <w:vAlign w:val="center"/>
            <w:hideMark/>
          </w:tcPr>
          <w:p w14:paraId="680C214F"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a-EBITDA**</w:t>
            </w:r>
          </w:p>
        </w:tc>
        <w:tc>
          <w:tcPr>
            <w:tcW w:w="2185" w:type="dxa"/>
            <w:tcBorders>
              <w:top w:val="nil"/>
              <w:left w:val="nil"/>
              <w:bottom w:val="nil"/>
              <w:right w:val="nil"/>
            </w:tcBorders>
            <w:shd w:val="clear" w:color="000000" w:fill="C5D9F1"/>
            <w:noWrap/>
            <w:vAlign w:val="center"/>
            <w:hideMark/>
          </w:tcPr>
          <w:p w14:paraId="3466B329"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133.849</w:t>
            </w:r>
          </w:p>
        </w:tc>
        <w:tc>
          <w:tcPr>
            <w:tcW w:w="2096" w:type="dxa"/>
            <w:tcBorders>
              <w:top w:val="nil"/>
              <w:left w:val="nil"/>
              <w:bottom w:val="nil"/>
              <w:right w:val="single" w:sz="4" w:space="0" w:color="4F81BD"/>
            </w:tcBorders>
            <w:shd w:val="clear" w:color="auto" w:fill="auto"/>
            <w:noWrap/>
            <w:vAlign w:val="center"/>
            <w:hideMark/>
          </w:tcPr>
          <w:p w14:paraId="62F3EF1A"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125.483</w:t>
            </w:r>
          </w:p>
        </w:tc>
      </w:tr>
      <w:tr w:rsidR="00B73CCC" w:rsidRPr="003A6F5B" w14:paraId="66A0664E" w14:textId="77777777" w:rsidTr="00A959DB">
        <w:trPr>
          <w:trHeight w:val="266"/>
        </w:trPr>
        <w:tc>
          <w:tcPr>
            <w:tcW w:w="5314" w:type="dxa"/>
            <w:tcBorders>
              <w:top w:val="nil"/>
              <w:left w:val="single" w:sz="4" w:space="0" w:color="4F81BD"/>
              <w:bottom w:val="nil"/>
              <w:right w:val="nil"/>
            </w:tcBorders>
            <w:shd w:val="clear" w:color="auto" w:fill="auto"/>
            <w:vAlign w:val="center"/>
            <w:hideMark/>
          </w:tcPr>
          <w:p w14:paraId="0BDBEE82"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 xml:space="preserve">Λειτουργικό </w:t>
            </w:r>
            <w:r w:rsidRPr="003A6F5B">
              <w:rPr>
                <w:rFonts w:eastAsia="Times New Roman" w:cs="Calibri"/>
                <w:color w:val="000000"/>
                <w:sz w:val="20"/>
                <w:szCs w:val="20"/>
              </w:rPr>
              <w:t>α</w:t>
            </w:r>
            <w:r w:rsidRPr="003A6F5B">
              <w:rPr>
                <w:rFonts w:eastAsia="Times New Roman" w:cs="Calibri"/>
                <w:color w:val="000000"/>
                <w:sz w:val="20"/>
                <w:szCs w:val="20"/>
                <w:lang w:val="en-US"/>
              </w:rPr>
              <w:t>ποτέλεσμα (ΕΒΙΤ)</w:t>
            </w:r>
          </w:p>
        </w:tc>
        <w:tc>
          <w:tcPr>
            <w:tcW w:w="2185" w:type="dxa"/>
            <w:tcBorders>
              <w:top w:val="nil"/>
              <w:left w:val="nil"/>
              <w:bottom w:val="nil"/>
              <w:right w:val="nil"/>
            </w:tcBorders>
            <w:shd w:val="clear" w:color="000000" w:fill="C5D9F1"/>
            <w:noWrap/>
            <w:vAlign w:val="center"/>
            <w:hideMark/>
          </w:tcPr>
          <w:p w14:paraId="0F599B0A"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84.663</w:t>
            </w:r>
          </w:p>
        </w:tc>
        <w:tc>
          <w:tcPr>
            <w:tcW w:w="2096" w:type="dxa"/>
            <w:tcBorders>
              <w:top w:val="nil"/>
              <w:left w:val="nil"/>
              <w:bottom w:val="nil"/>
              <w:right w:val="single" w:sz="4" w:space="0" w:color="4F81BD"/>
            </w:tcBorders>
            <w:shd w:val="clear" w:color="auto" w:fill="auto"/>
            <w:noWrap/>
            <w:vAlign w:val="center"/>
            <w:hideMark/>
          </w:tcPr>
          <w:p w14:paraId="7B9D8FBE"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25.926</w:t>
            </w:r>
          </w:p>
        </w:tc>
      </w:tr>
      <w:tr w:rsidR="00B73CCC" w:rsidRPr="003A6F5B" w14:paraId="7D7589E5" w14:textId="77777777" w:rsidTr="00A959DB">
        <w:trPr>
          <w:trHeight w:val="256"/>
        </w:trPr>
        <w:tc>
          <w:tcPr>
            <w:tcW w:w="5314" w:type="dxa"/>
            <w:tcBorders>
              <w:top w:val="nil"/>
              <w:left w:val="single" w:sz="4" w:space="0" w:color="4F81BD"/>
              <w:bottom w:val="nil"/>
              <w:right w:val="nil"/>
            </w:tcBorders>
            <w:shd w:val="clear" w:color="auto" w:fill="auto"/>
            <w:vAlign w:val="center"/>
            <w:hideMark/>
          </w:tcPr>
          <w:p w14:paraId="3281A8F6"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a-EBIT*</w:t>
            </w:r>
          </w:p>
        </w:tc>
        <w:tc>
          <w:tcPr>
            <w:tcW w:w="2185" w:type="dxa"/>
            <w:tcBorders>
              <w:top w:val="nil"/>
              <w:left w:val="nil"/>
              <w:bottom w:val="nil"/>
              <w:right w:val="nil"/>
            </w:tcBorders>
            <w:shd w:val="clear" w:color="000000" w:fill="C5D9F1"/>
            <w:noWrap/>
            <w:vAlign w:val="center"/>
            <w:hideMark/>
          </w:tcPr>
          <w:p w14:paraId="333BAB0D"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85.149</w:t>
            </w:r>
          </w:p>
        </w:tc>
        <w:tc>
          <w:tcPr>
            <w:tcW w:w="2096" w:type="dxa"/>
            <w:tcBorders>
              <w:top w:val="nil"/>
              <w:left w:val="nil"/>
              <w:bottom w:val="nil"/>
              <w:right w:val="single" w:sz="4" w:space="0" w:color="4F81BD"/>
            </w:tcBorders>
            <w:shd w:val="clear" w:color="auto" w:fill="auto"/>
            <w:noWrap/>
            <w:vAlign w:val="center"/>
            <w:hideMark/>
          </w:tcPr>
          <w:p w14:paraId="131DE8B8"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74.088</w:t>
            </w:r>
          </w:p>
        </w:tc>
      </w:tr>
      <w:tr w:rsidR="00B73CCC" w:rsidRPr="003A6F5B" w14:paraId="640544C3" w14:textId="77777777" w:rsidTr="00A959DB">
        <w:trPr>
          <w:trHeight w:val="266"/>
        </w:trPr>
        <w:tc>
          <w:tcPr>
            <w:tcW w:w="5314" w:type="dxa"/>
            <w:tcBorders>
              <w:top w:val="nil"/>
              <w:left w:val="single" w:sz="4" w:space="0" w:color="4F81BD"/>
              <w:bottom w:val="nil"/>
              <w:right w:val="nil"/>
            </w:tcBorders>
            <w:shd w:val="clear" w:color="auto" w:fill="auto"/>
            <w:vAlign w:val="center"/>
            <w:hideMark/>
          </w:tcPr>
          <w:p w14:paraId="21381918"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 xml:space="preserve">Καθαρό </w:t>
            </w:r>
            <w:r w:rsidRPr="003A6F5B">
              <w:rPr>
                <w:rFonts w:eastAsia="Times New Roman" w:cs="Calibri"/>
                <w:color w:val="000000"/>
                <w:sz w:val="20"/>
                <w:szCs w:val="20"/>
              </w:rPr>
              <w:t>χ</w:t>
            </w:r>
            <w:r w:rsidRPr="003A6F5B">
              <w:rPr>
                <w:rFonts w:eastAsia="Times New Roman" w:cs="Calibri"/>
                <w:color w:val="000000"/>
                <w:sz w:val="20"/>
                <w:szCs w:val="20"/>
                <w:lang w:val="en-US"/>
              </w:rPr>
              <w:t>ρηματοοικονομικό αποτέλεσμα</w:t>
            </w:r>
          </w:p>
        </w:tc>
        <w:tc>
          <w:tcPr>
            <w:tcW w:w="2185" w:type="dxa"/>
            <w:tcBorders>
              <w:top w:val="nil"/>
              <w:left w:val="nil"/>
              <w:bottom w:val="nil"/>
              <w:right w:val="nil"/>
            </w:tcBorders>
            <w:shd w:val="clear" w:color="000000" w:fill="C5D9F1"/>
            <w:noWrap/>
            <w:vAlign w:val="center"/>
            <w:hideMark/>
          </w:tcPr>
          <w:p w14:paraId="00276DC9"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highlight w:val="yellow"/>
                <w:lang w:val="en-US"/>
              </w:rPr>
            </w:pPr>
            <w:r>
              <w:rPr>
                <w:rFonts w:cs="Calibri"/>
                <w:color w:val="000000"/>
              </w:rPr>
              <w:t>(32.461)</w:t>
            </w:r>
          </w:p>
        </w:tc>
        <w:tc>
          <w:tcPr>
            <w:tcW w:w="2096" w:type="dxa"/>
            <w:tcBorders>
              <w:top w:val="nil"/>
              <w:left w:val="nil"/>
              <w:bottom w:val="nil"/>
              <w:right w:val="single" w:sz="4" w:space="0" w:color="4F81BD"/>
            </w:tcBorders>
            <w:shd w:val="clear" w:color="auto" w:fill="auto"/>
            <w:noWrap/>
            <w:vAlign w:val="center"/>
            <w:hideMark/>
          </w:tcPr>
          <w:p w14:paraId="03AB771D"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highlight w:val="yellow"/>
              </w:rPr>
            </w:pPr>
            <w:r>
              <w:rPr>
                <w:rFonts w:cs="Calibri"/>
                <w:color w:val="000000"/>
              </w:rPr>
              <w:t>(39.731)</w:t>
            </w:r>
          </w:p>
        </w:tc>
      </w:tr>
      <w:tr w:rsidR="00B73CCC" w:rsidRPr="003A6F5B" w14:paraId="3C18E64C" w14:textId="77777777" w:rsidTr="00A959DB">
        <w:trPr>
          <w:trHeight w:val="266"/>
        </w:trPr>
        <w:tc>
          <w:tcPr>
            <w:tcW w:w="5314" w:type="dxa"/>
            <w:tcBorders>
              <w:top w:val="nil"/>
              <w:left w:val="single" w:sz="4" w:space="0" w:color="4F81BD"/>
              <w:bottom w:val="nil"/>
              <w:right w:val="nil"/>
            </w:tcBorders>
            <w:shd w:val="clear" w:color="auto" w:fill="auto"/>
            <w:vAlign w:val="center"/>
            <w:hideMark/>
          </w:tcPr>
          <w:p w14:paraId="392BE204"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Κέρδη πριν από φόρους</w:t>
            </w:r>
          </w:p>
        </w:tc>
        <w:tc>
          <w:tcPr>
            <w:tcW w:w="2185" w:type="dxa"/>
            <w:tcBorders>
              <w:top w:val="nil"/>
              <w:left w:val="nil"/>
              <w:bottom w:val="nil"/>
              <w:right w:val="nil"/>
            </w:tcBorders>
            <w:shd w:val="clear" w:color="000000" w:fill="C5D9F1"/>
            <w:noWrap/>
            <w:vAlign w:val="center"/>
            <w:hideMark/>
          </w:tcPr>
          <w:p w14:paraId="638A79BC"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74.164</w:t>
            </w:r>
          </w:p>
        </w:tc>
        <w:tc>
          <w:tcPr>
            <w:tcW w:w="2096" w:type="dxa"/>
            <w:tcBorders>
              <w:top w:val="nil"/>
              <w:left w:val="nil"/>
              <w:bottom w:val="nil"/>
              <w:right w:val="single" w:sz="4" w:space="0" w:color="4F81BD"/>
            </w:tcBorders>
            <w:shd w:val="clear" w:color="auto" w:fill="auto"/>
            <w:noWrap/>
            <w:vAlign w:val="center"/>
            <w:hideMark/>
          </w:tcPr>
          <w:p w14:paraId="526D09AC"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(3.026)</w:t>
            </w:r>
          </w:p>
        </w:tc>
      </w:tr>
      <w:tr w:rsidR="00B73CCC" w:rsidRPr="003A6F5B" w14:paraId="26F6DC42" w14:textId="77777777" w:rsidTr="00A959DB">
        <w:trPr>
          <w:trHeight w:val="256"/>
        </w:trPr>
        <w:tc>
          <w:tcPr>
            <w:tcW w:w="5314" w:type="dxa"/>
            <w:tcBorders>
              <w:top w:val="nil"/>
              <w:left w:val="single" w:sz="4" w:space="0" w:color="4F81BD"/>
              <w:bottom w:val="nil"/>
              <w:right w:val="nil"/>
            </w:tcBorders>
            <w:shd w:val="clear" w:color="auto" w:fill="auto"/>
            <w:vAlign w:val="center"/>
            <w:hideMark/>
          </w:tcPr>
          <w:p w14:paraId="2247D125"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A6F5B">
              <w:rPr>
                <w:rFonts w:eastAsia="Times New Roman" w:cs="Calibri"/>
                <w:color w:val="000000"/>
                <w:sz w:val="20"/>
                <w:szCs w:val="20"/>
                <w:lang w:val="en-US"/>
              </w:rPr>
              <w:t>Κέρδη μετά από φόρους</w:t>
            </w:r>
          </w:p>
        </w:tc>
        <w:tc>
          <w:tcPr>
            <w:tcW w:w="2185" w:type="dxa"/>
            <w:tcBorders>
              <w:top w:val="nil"/>
              <w:left w:val="nil"/>
              <w:bottom w:val="nil"/>
              <w:right w:val="nil"/>
            </w:tcBorders>
            <w:shd w:val="clear" w:color="000000" w:fill="C5D9F1"/>
            <w:noWrap/>
            <w:vAlign w:val="center"/>
            <w:hideMark/>
          </w:tcPr>
          <w:p w14:paraId="382F429F"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69.886</w:t>
            </w:r>
          </w:p>
        </w:tc>
        <w:tc>
          <w:tcPr>
            <w:tcW w:w="2096" w:type="dxa"/>
            <w:tcBorders>
              <w:top w:val="nil"/>
              <w:left w:val="nil"/>
              <w:bottom w:val="nil"/>
              <w:right w:val="single" w:sz="4" w:space="0" w:color="4F81BD"/>
            </w:tcBorders>
            <w:shd w:val="clear" w:color="auto" w:fill="auto"/>
            <w:noWrap/>
            <w:vAlign w:val="center"/>
            <w:hideMark/>
          </w:tcPr>
          <w:p w14:paraId="081BA0DC"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2.524</w:t>
            </w:r>
          </w:p>
        </w:tc>
      </w:tr>
      <w:tr w:rsidR="00B73CCC" w:rsidRPr="003A6F5B" w14:paraId="3EC3B0FF" w14:textId="77777777" w:rsidTr="00A959DB">
        <w:trPr>
          <w:trHeight w:val="266"/>
        </w:trPr>
        <w:tc>
          <w:tcPr>
            <w:tcW w:w="5314" w:type="dxa"/>
            <w:tcBorders>
              <w:top w:val="nil"/>
              <w:left w:val="single" w:sz="4" w:space="0" w:color="4F81BD"/>
              <w:bottom w:val="nil"/>
              <w:right w:val="nil"/>
            </w:tcBorders>
            <w:shd w:val="clear" w:color="auto" w:fill="auto"/>
            <w:vAlign w:val="center"/>
            <w:hideMark/>
          </w:tcPr>
          <w:p w14:paraId="676C9CA0"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rPr>
            </w:pPr>
            <w:r w:rsidRPr="003A6F5B">
              <w:rPr>
                <w:rFonts w:eastAsia="Times New Roman" w:cs="Calibri"/>
                <w:color w:val="000000"/>
                <w:sz w:val="20"/>
                <w:szCs w:val="20"/>
              </w:rPr>
              <w:t>Κέρδη μετά από φόρους &amp; δικαιώματα μειοψηφίας</w:t>
            </w:r>
          </w:p>
        </w:tc>
        <w:tc>
          <w:tcPr>
            <w:tcW w:w="2185" w:type="dxa"/>
            <w:tcBorders>
              <w:top w:val="nil"/>
              <w:left w:val="nil"/>
              <w:right w:val="nil"/>
            </w:tcBorders>
            <w:shd w:val="clear" w:color="000000" w:fill="C5D9F1"/>
            <w:noWrap/>
            <w:vAlign w:val="center"/>
            <w:hideMark/>
          </w:tcPr>
          <w:p w14:paraId="4CC19F5C" w14:textId="77777777" w:rsidR="00B73CCC" w:rsidRPr="00250B78" w:rsidRDefault="00B73CCC" w:rsidP="00A959DB">
            <w:pPr>
              <w:widowControl/>
              <w:autoSpaceDE/>
              <w:autoSpaceDN/>
              <w:spacing w:before="100" w:beforeAutospacing="1" w:after="100" w:afterAutospacing="1" w:line="276" w:lineRule="auto"/>
              <w:jc w:val="center"/>
              <w:rPr>
                <w:rFonts w:eastAsia="Times New Roman" w:cs="Calibri"/>
                <w:color w:val="000000"/>
                <w:sz w:val="20"/>
                <w:szCs w:val="20"/>
                <w:lang w:val="en-US"/>
              </w:rPr>
            </w:pPr>
            <w:r>
              <w:rPr>
                <w:rFonts w:cs="Calibri"/>
                <w:color w:val="000000"/>
              </w:rPr>
              <w:t>69.886</w:t>
            </w:r>
          </w:p>
        </w:tc>
        <w:tc>
          <w:tcPr>
            <w:tcW w:w="2096" w:type="dxa"/>
            <w:tcBorders>
              <w:top w:val="nil"/>
              <w:left w:val="nil"/>
              <w:bottom w:val="nil"/>
              <w:right w:val="single" w:sz="4" w:space="0" w:color="4F81BD"/>
            </w:tcBorders>
            <w:shd w:val="clear" w:color="auto" w:fill="auto"/>
            <w:noWrap/>
            <w:vAlign w:val="center"/>
            <w:hideMark/>
          </w:tcPr>
          <w:p w14:paraId="3B0B6237"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2.524</w:t>
            </w:r>
          </w:p>
        </w:tc>
      </w:tr>
      <w:tr w:rsidR="00B73CCC" w:rsidRPr="003A6F5B" w14:paraId="250077D4" w14:textId="77777777" w:rsidTr="00A959DB">
        <w:trPr>
          <w:trHeight w:val="256"/>
        </w:trPr>
        <w:tc>
          <w:tcPr>
            <w:tcW w:w="5314" w:type="dxa"/>
            <w:tcBorders>
              <w:top w:val="nil"/>
              <w:left w:val="single" w:sz="4" w:space="0" w:color="4F81BD"/>
            </w:tcBorders>
            <w:shd w:val="clear" w:color="auto" w:fill="auto"/>
            <w:vAlign w:val="center"/>
            <w:hideMark/>
          </w:tcPr>
          <w:p w14:paraId="7469F861"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rPr>
            </w:pPr>
            <w:r w:rsidRPr="003A6F5B">
              <w:rPr>
                <w:rFonts w:eastAsia="Times New Roman" w:cs="Calibri"/>
                <w:color w:val="000000"/>
                <w:sz w:val="20"/>
                <w:szCs w:val="20"/>
                <w:lang w:val="en-US"/>
              </w:rPr>
              <w:t>Κέρδη ανά μετοχή (€)</w:t>
            </w:r>
            <w:r w:rsidRPr="003A6F5B">
              <w:rPr>
                <w:rFonts w:eastAsia="Times New Roman" w:cs="Calibri"/>
                <w:color w:val="000000"/>
                <w:sz w:val="20"/>
                <w:szCs w:val="20"/>
              </w:rPr>
              <w:t>***</w:t>
            </w:r>
          </w:p>
        </w:tc>
        <w:tc>
          <w:tcPr>
            <w:tcW w:w="2185" w:type="dxa"/>
            <w:tcBorders>
              <w:top w:val="nil"/>
              <w:bottom w:val="nil"/>
              <w:right w:val="nil"/>
            </w:tcBorders>
            <w:shd w:val="clear" w:color="000000" w:fill="C5D9F1"/>
            <w:noWrap/>
            <w:vAlign w:val="center"/>
            <w:hideMark/>
          </w:tcPr>
          <w:p w14:paraId="206AA7F6" w14:textId="77777777" w:rsidR="00B73CCC" w:rsidRPr="008750D5" w:rsidRDefault="00B73CCC" w:rsidP="00A959DB">
            <w:pPr>
              <w:widowControl/>
              <w:autoSpaceDE/>
              <w:autoSpaceDN/>
              <w:spacing w:before="100" w:beforeAutospacing="1" w:after="100" w:afterAutospacing="1" w:line="276" w:lineRule="auto"/>
              <w:jc w:val="center"/>
              <w:rPr>
                <w:rFonts w:cs="Calibri"/>
                <w:color w:val="000000"/>
                <w:sz w:val="20"/>
                <w:szCs w:val="20"/>
                <w:highlight w:val="yellow"/>
                <w:lang w:val="en-US"/>
              </w:rPr>
            </w:pPr>
            <w:r>
              <w:rPr>
                <w:rFonts w:cs="Calibri"/>
                <w:color w:val="000000"/>
              </w:rPr>
              <w:t>0,1864</w:t>
            </w:r>
          </w:p>
        </w:tc>
        <w:tc>
          <w:tcPr>
            <w:tcW w:w="2096" w:type="dxa"/>
            <w:tcBorders>
              <w:top w:val="nil"/>
              <w:left w:val="nil"/>
              <w:bottom w:val="nil"/>
              <w:right w:val="single" w:sz="4" w:space="0" w:color="4F81BD"/>
            </w:tcBorders>
            <w:shd w:val="clear" w:color="auto" w:fill="auto"/>
            <w:noWrap/>
            <w:vAlign w:val="center"/>
            <w:hideMark/>
          </w:tcPr>
          <w:p w14:paraId="36BA529F" w14:textId="77777777" w:rsidR="00B73CCC" w:rsidRPr="008750D5" w:rsidRDefault="00B73CCC" w:rsidP="00A959DB">
            <w:pPr>
              <w:widowControl/>
              <w:autoSpaceDE/>
              <w:autoSpaceDN/>
              <w:spacing w:before="100" w:beforeAutospacing="1" w:after="100" w:afterAutospacing="1" w:line="276" w:lineRule="auto"/>
              <w:jc w:val="center"/>
              <w:rPr>
                <w:rFonts w:cs="Calibri"/>
                <w:color w:val="000000"/>
                <w:sz w:val="20"/>
                <w:szCs w:val="20"/>
                <w:highlight w:val="yellow"/>
              </w:rPr>
            </w:pPr>
            <w:r>
              <w:rPr>
                <w:rFonts w:cs="Calibri"/>
                <w:color w:val="000000"/>
              </w:rPr>
              <w:t>0,0067</w:t>
            </w:r>
          </w:p>
        </w:tc>
      </w:tr>
      <w:tr w:rsidR="00B73CCC" w:rsidRPr="003A6F5B" w14:paraId="49F76F88" w14:textId="77777777" w:rsidTr="00A959DB">
        <w:trPr>
          <w:trHeight w:val="256"/>
        </w:trPr>
        <w:tc>
          <w:tcPr>
            <w:tcW w:w="5314" w:type="dxa"/>
            <w:tcBorders>
              <w:top w:val="nil"/>
              <w:left w:val="single" w:sz="4" w:space="0" w:color="4F81BD"/>
              <w:bottom w:val="single" w:sz="4" w:space="0" w:color="4F81BD"/>
              <w:right w:val="nil"/>
            </w:tcBorders>
            <w:shd w:val="clear" w:color="auto" w:fill="auto"/>
            <w:vAlign w:val="center"/>
          </w:tcPr>
          <w:p w14:paraId="1E01C03B" w14:textId="77777777" w:rsidR="00B73CCC" w:rsidRPr="003A6F5B" w:rsidRDefault="00B73CCC" w:rsidP="00A959DB">
            <w:pPr>
              <w:widowControl/>
              <w:autoSpaceDE/>
              <w:autoSpaceDN/>
              <w:spacing w:before="100" w:beforeAutospacing="1" w:after="100" w:afterAutospacing="1" w:line="276" w:lineRule="auto"/>
              <w:jc w:val="both"/>
              <w:rPr>
                <w:rFonts w:eastAsia="Times New Roman" w:cs="Calibri"/>
                <w:color w:val="000000"/>
                <w:sz w:val="20"/>
                <w:szCs w:val="20"/>
              </w:rPr>
            </w:pPr>
            <w:r w:rsidRPr="003A6F5B">
              <w:rPr>
                <w:rFonts w:eastAsia="Times New Roman" w:cs="Calibri"/>
                <w:color w:val="000000"/>
                <w:sz w:val="20"/>
                <w:szCs w:val="20"/>
              </w:rPr>
              <w:t>Καθαρός Δανεισμός</w:t>
            </w:r>
          </w:p>
        </w:tc>
        <w:tc>
          <w:tcPr>
            <w:tcW w:w="2185" w:type="dxa"/>
            <w:tcBorders>
              <w:top w:val="nil"/>
              <w:left w:val="nil"/>
              <w:bottom w:val="single" w:sz="4" w:space="0" w:color="4F81BD"/>
              <w:right w:val="nil"/>
            </w:tcBorders>
            <w:shd w:val="clear" w:color="000000" w:fill="C5D9F1"/>
            <w:noWrap/>
            <w:vAlign w:val="center"/>
          </w:tcPr>
          <w:p w14:paraId="44386476" w14:textId="77777777" w:rsidR="00B73CCC" w:rsidRPr="00250B78" w:rsidRDefault="00B73CCC" w:rsidP="00A959DB">
            <w:pPr>
              <w:widowControl/>
              <w:autoSpaceDE/>
              <w:autoSpaceDN/>
              <w:spacing w:before="100" w:beforeAutospacing="1" w:after="100" w:afterAutospacing="1" w:line="276" w:lineRule="auto"/>
              <w:jc w:val="center"/>
              <w:rPr>
                <w:sz w:val="20"/>
                <w:szCs w:val="20"/>
              </w:rPr>
            </w:pPr>
            <w:r>
              <w:rPr>
                <w:rFonts w:cs="Calibri"/>
                <w:color w:val="000000"/>
              </w:rPr>
              <w:t>571.146</w:t>
            </w:r>
          </w:p>
        </w:tc>
        <w:tc>
          <w:tcPr>
            <w:tcW w:w="2096" w:type="dxa"/>
            <w:tcBorders>
              <w:top w:val="nil"/>
              <w:left w:val="nil"/>
              <w:bottom w:val="single" w:sz="4" w:space="0" w:color="4F81BD"/>
              <w:right w:val="single" w:sz="4" w:space="0" w:color="4F81BD"/>
            </w:tcBorders>
            <w:shd w:val="clear" w:color="auto" w:fill="auto"/>
            <w:noWrap/>
            <w:vAlign w:val="center"/>
          </w:tcPr>
          <w:p w14:paraId="4272D237" w14:textId="77777777" w:rsidR="00B73CCC" w:rsidRPr="00250B78" w:rsidRDefault="00B73CCC" w:rsidP="00A959DB">
            <w:pPr>
              <w:widowControl/>
              <w:autoSpaceDE/>
              <w:autoSpaceDN/>
              <w:spacing w:before="100" w:beforeAutospacing="1" w:after="100" w:afterAutospacing="1" w:line="276" w:lineRule="auto"/>
              <w:jc w:val="center"/>
              <w:rPr>
                <w:rFonts w:cs="Calibri"/>
                <w:color w:val="000000"/>
                <w:sz w:val="20"/>
                <w:szCs w:val="20"/>
              </w:rPr>
            </w:pPr>
            <w:r>
              <w:rPr>
                <w:rFonts w:cs="Calibri"/>
                <w:color w:val="000000"/>
              </w:rPr>
              <w:t>701.335</w:t>
            </w:r>
          </w:p>
        </w:tc>
      </w:tr>
    </w:tbl>
    <w:p w14:paraId="764C16BF" w14:textId="77777777" w:rsidR="00B73CCC" w:rsidRDefault="00B73CCC" w:rsidP="00B73CCC">
      <w:pPr>
        <w:spacing w:before="29"/>
        <w:rPr>
          <w:b/>
          <w:bCs/>
          <w:color w:val="A6A6A6" w:themeColor="background1" w:themeShade="A6"/>
          <w:spacing w:val="7"/>
          <w:sz w:val="24"/>
          <w:szCs w:val="24"/>
        </w:rPr>
      </w:pPr>
    </w:p>
    <w:p w14:paraId="601189CE" w14:textId="77777777" w:rsidR="00B73CCC" w:rsidRDefault="00B73CCC" w:rsidP="00B73CCC">
      <w:pPr>
        <w:spacing w:before="31"/>
        <w:jc w:val="both"/>
        <w:rPr>
          <w:sz w:val="18"/>
          <w:szCs w:val="18"/>
          <w:lang w:val="it-IT"/>
        </w:rPr>
      </w:pPr>
      <w:r w:rsidRPr="003956EC">
        <w:rPr>
          <w:rStyle w:val="FootnoteReference"/>
          <w:sz w:val="18"/>
          <w:szCs w:val="18"/>
          <w:lang w:val="it-IT"/>
        </w:rPr>
        <w:t>*</w:t>
      </w:r>
      <w:r w:rsidRPr="003956EC">
        <w:rPr>
          <w:sz w:val="18"/>
          <w:szCs w:val="18"/>
          <w:lang w:val="it-IT"/>
        </w:rPr>
        <w:t xml:space="preserve"> </w:t>
      </w:r>
      <w:r w:rsidRPr="0050579D">
        <w:rPr>
          <w:b/>
          <w:bCs/>
          <w:sz w:val="18"/>
          <w:szCs w:val="18"/>
          <w:lang w:val="it-IT"/>
        </w:rPr>
        <w:t>a-EBIT</w:t>
      </w:r>
      <w:r w:rsidRPr="0050579D">
        <w:rPr>
          <w:sz w:val="18"/>
          <w:szCs w:val="18"/>
          <w:lang w:val="it-IT"/>
        </w:rPr>
        <w:t xml:space="preserve">= a-EBITDA – </w:t>
      </w:r>
      <w:r w:rsidRPr="00243848">
        <w:rPr>
          <w:sz w:val="18"/>
          <w:szCs w:val="18"/>
        </w:rPr>
        <w:t>Αποσβέσεις</w:t>
      </w:r>
      <w:r w:rsidRPr="0050579D">
        <w:rPr>
          <w:sz w:val="18"/>
          <w:szCs w:val="18"/>
          <w:lang w:val="it-IT"/>
        </w:rPr>
        <w:t>.</w:t>
      </w:r>
    </w:p>
    <w:p w14:paraId="1BE09DBF" w14:textId="77777777" w:rsidR="00B73CCC" w:rsidRPr="0050579D" w:rsidRDefault="00B73CCC" w:rsidP="00B73CCC">
      <w:pPr>
        <w:pStyle w:val="FootnoteText"/>
        <w:jc w:val="both"/>
        <w:rPr>
          <w:sz w:val="18"/>
          <w:szCs w:val="18"/>
        </w:rPr>
      </w:pPr>
      <w:r w:rsidRPr="003956EC">
        <w:rPr>
          <w:rStyle w:val="FootnoteReference"/>
          <w:sz w:val="18"/>
          <w:szCs w:val="18"/>
        </w:rPr>
        <w:t>**</w:t>
      </w:r>
      <w:r w:rsidRPr="003956EC">
        <w:rPr>
          <w:sz w:val="18"/>
          <w:szCs w:val="18"/>
        </w:rPr>
        <w:t xml:space="preserve"> </w:t>
      </w:r>
      <w:r w:rsidRPr="003956EC">
        <w:rPr>
          <w:b/>
          <w:bCs/>
          <w:sz w:val="18"/>
          <w:szCs w:val="18"/>
        </w:rPr>
        <w:t>a – EBITDA</w:t>
      </w:r>
      <w:r w:rsidRPr="003956EC">
        <w:rPr>
          <w:sz w:val="18"/>
          <w:szCs w:val="18"/>
        </w:rPr>
        <w:t xml:space="preserve"> = EBITDA πλέον αναμορφώσεις για + Ζημία / - Κέρδος από μέταλλο, Ζημία από διαγραφές ή απομειώσεις παγίων, - Κέρδος / + Ζημία από πώληση παγίων, + / - Λοιπά έκτακτα ανόργανα έσοδα / έξοδα</w:t>
      </w:r>
      <w:r>
        <w:rPr>
          <w:sz w:val="18"/>
          <w:szCs w:val="18"/>
        </w:rPr>
        <w:t>.</w:t>
      </w:r>
    </w:p>
    <w:p w14:paraId="78ABFBE8" w14:textId="2F0B796D" w:rsidR="00B73CCC" w:rsidRPr="00B73CCC" w:rsidRDefault="00B73CCC" w:rsidP="00B73CCC">
      <w:pPr>
        <w:pStyle w:val="FootnoteText"/>
        <w:jc w:val="both"/>
        <w:rPr>
          <w:sz w:val="18"/>
          <w:szCs w:val="18"/>
        </w:rPr>
      </w:pPr>
      <w:r w:rsidRPr="00F20393">
        <w:rPr>
          <w:b/>
          <w:bCs/>
          <w:sz w:val="18"/>
          <w:szCs w:val="18"/>
          <w:vertAlign w:val="superscript"/>
        </w:rPr>
        <w:t>***</w:t>
      </w:r>
      <w:r w:rsidRPr="003956EC">
        <w:rPr>
          <w:sz w:val="18"/>
          <w:szCs w:val="18"/>
        </w:rPr>
        <w:t>Τα κέρδη ανά μετοχή υπολογίζονται διαιρώντας τα κέρδη μετά φόρων που αναλογούν στους κοινούς μετόχους της μητρικής, με το μέσο σταθμισμένο αριθμό κοινών μετοχών, εξαιρώντας το μέσο αριθμό ιδίων μετοχών που είχε στην κατοχή του ο Όμιλος.</w:t>
      </w:r>
    </w:p>
    <w:p w14:paraId="78EBEEC3" w14:textId="77777777" w:rsidR="00B73CCC" w:rsidRPr="003A6F5B" w:rsidRDefault="00B73CCC" w:rsidP="00B73CCC">
      <w:pPr>
        <w:spacing w:before="29"/>
        <w:rPr>
          <w:b/>
          <w:bCs/>
          <w:color w:val="A6A6A6" w:themeColor="background1" w:themeShade="A6"/>
          <w:spacing w:val="7"/>
          <w:sz w:val="24"/>
          <w:szCs w:val="24"/>
        </w:rPr>
      </w:pPr>
      <w:r w:rsidRPr="003A6F5B">
        <w:rPr>
          <w:b/>
          <w:bCs/>
          <w:color w:val="A6A6A6" w:themeColor="background1" w:themeShade="A6"/>
          <w:spacing w:val="7"/>
          <w:sz w:val="24"/>
          <w:szCs w:val="24"/>
        </w:rPr>
        <w:lastRenderedPageBreak/>
        <w:t>Κύρια οικονομικά στοιχεία - ανά Κλάδο</w:t>
      </w:r>
    </w:p>
    <w:p w14:paraId="0E3395DF" w14:textId="77777777" w:rsidR="00B73CCC" w:rsidRPr="003A6F5B" w:rsidRDefault="00B73CCC" w:rsidP="00B73CCC">
      <w:pPr>
        <w:spacing w:before="3" w:line="170" w:lineRule="exact"/>
        <w:rPr>
          <w:rFonts w:asciiTheme="minorHAnsi" w:hAnsiTheme="minorHAnsi"/>
          <w:sz w:val="16"/>
          <w:szCs w:val="16"/>
        </w:rPr>
      </w:pPr>
    </w:p>
    <w:tbl>
      <w:tblPr>
        <w:tblW w:w="9691" w:type="dxa"/>
        <w:tblLook w:val="04A0" w:firstRow="1" w:lastRow="0" w:firstColumn="1" w:lastColumn="0" w:noHBand="0" w:noVBand="1"/>
      </w:tblPr>
      <w:tblGrid>
        <w:gridCol w:w="1125"/>
        <w:gridCol w:w="1547"/>
        <w:gridCol w:w="1159"/>
        <w:gridCol w:w="280"/>
        <w:gridCol w:w="1661"/>
        <w:gridCol w:w="1159"/>
        <w:gridCol w:w="255"/>
        <w:gridCol w:w="1346"/>
        <w:gridCol w:w="1159"/>
      </w:tblGrid>
      <w:tr w:rsidR="00B73CCC" w:rsidRPr="003A6F5B" w14:paraId="4375670A" w14:textId="77777777" w:rsidTr="00A959DB">
        <w:trPr>
          <w:trHeight w:val="358"/>
        </w:trPr>
        <w:tc>
          <w:tcPr>
            <w:tcW w:w="1125" w:type="dxa"/>
            <w:tcBorders>
              <w:top w:val="nil"/>
              <w:left w:val="nil"/>
              <w:bottom w:val="nil"/>
              <w:right w:val="nil"/>
            </w:tcBorders>
            <w:shd w:val="clear" w:color="auto" w:fill="auto"/>
            <w:noWrap/>
            <w:vAlign w:val="center"/>
            <w:hideMark/>
          </w:tcPr>
          <w:p w14:paraId="6C093632" w14:textId="77777777" w:rsidR="00B73CCC" w:rsidRPr="003A6F5B" w:rsidRDefault="00B73CCC" w:rsidP="00A959DB">
            <w:pPr>
              <w:widowControl/>
              <w:autoSpaceDE/>
              <w:autoSpaceDN/>
              <w:rPr>
                <w:rFonts w:ascii="Times New Roman" w:eastAsia="Times New Roman" w:hAnsi="Times New Roman" w:cs="Times New Roman"/>
                <w:sz w:val="24"/>
                <w:szCs w:val="24"/>
              </w:rPr>
            </w:pPr>
          </w:p>
        </w:tc>
        <w:tc>
          <w:tcPr>
            <w:tcW w:w="2706" w:type="dxa"/>
            <w:gridSpan w:val="2"/>
            <w:tcBorders>
              <w:top w:val="nil"/>
              <w:left w:val="nil"/>
              <w:bottom w:val="nil"/>
              <w:right w:val="nil"/>
            </w:tcBorders>
            <w:shd w:val="clear" w:color="000000" w:fill="4F81BD"/>
            <w:vAlign w:val="center"/>
            <w:hideMark/>
          </w:tcPr>
          <w:p w14:paraId="3871001F" w14:textId="77777777" w:rsidR="00B73CCC" w:rsidRPr="003A6F5B" w:rsidRDefault="00B73CCC" w:rsidP="00A959DB">
            <w:pPr>
              <w:widowControl/>
              <w:autoSpaceDE/>
              <w:autoSpaceDN/>
              <w:jc w:val="center"/>
              <w:rPr>
                <w:rFonts w:eastAsia="Times New Roman" w:cs="Calibri"/>
                <w:b/>
                <w:bCs/>
                <w:color w:val="FFFFFF"/>
                <w:sz w:val="16"/>
                <w:szCs w:val="16"/>
                <w:lang w:val="en-US"/>
              </w:rPr>
            </w:pPr>
            <w:r w:rsidRPr="003A6F5B">
              <w:rPr>
                <w:rFonts w:eastAsia="Times New Roman" w:cs="Calibri"/>
                <w:b/>
                <w:bCs/>
                <w:color w:val="FFFFFF"/>
                <w:sz w:val="16"/>
                <w:szCs w:val="16"/>
              </w:rPr>
              <w:t>Αλουμίνιο</w:t>
            </w:r>
          </w:p>
        </w:tc>
        <w:tc>
          <w:tcPr>
            <w:tcW w:w="280" w:type="dxa"/>
            <w:tcBorders>
              <w:top w:val="nil"/>
              <w:left w:val="nil"/>
              <w:bottom w:val="nil"/>
              <w:right w:val="nil"/>
            </w:tcBorders>
            <w:shd w:val="clear" w:color="auto" w:fill="auto"/>
            <w:noWrap/>
            <w:vAlign w:val="bottom"/>
            <w:hideMark/>
          </w:tcPr>
          <w:p w14:paraId="621E64B9" w14:textId="77777777" w:rsidR="00B73CCC" w:rsidRPr="003A6F5B" w:rsidRDefault="00B73CCC" w:rsidP="00A959DB">
            <w:pPr>
              <w:widowControl/>
              <w:autoSpaceDE/>
              <w:autoSpaceDN/>
              <w:jc w:val="center"/>
              <w:rPr>
                <w:rFonts w:eastAsia="Times New Roman" w:cs="Calibri"/>
                <w:b/>
                <w:bCs/>
                <w:color w:val="FFFFFF"/>
                <w:sz w:val="16"/>
                <w:szCs w:val="16"/>
                <w:lang w:val="en-US"/>
              </w:rPr>
            </w:pPr>
          </w:p>
        </w:tc>
        <w:tc>
          <w:tcPr>
            <w:tcW w:w="2820" w:type="dxa"/>
            <w:gridSpan w:val="2"/>
            <w:tcBorders>
              <w:top w:val="nil"/>
              <w:left w:val="nil"/>
              <w:bottom w:val="nil"/>
              <w:right w:val="nil"/>
            </w:tcBorders>
            <w:shd w:val="clear" w:color="000000" w:fill="4F81BD"/>
            <w:vAlign w:val="center"/>
            <w:hideMark/>
          </w:tcPr>
          <w:p w14:paraId="430B07A4" w14:textId="77777777" w:rsidR="00B73CCC" w:rsidRPr="003A6F5B" w:rsidRDefault="00B73CCC" w:rsidP="00A959DB">
            <w:pPr>
              <w:widowControl/>
              <w:autoSpaceDE/>
              <w:autoSpaceDN/>
              <w:jc w:val="center"/>
              <w:rPr>
                <w:rFonts w:eastAsia="Times New Roman" w:cs="Calibri"/>
                <w:b/>
                <w:bCs/>
                <w:color w:val="FFFFFF"/>
                <w:sz w:val="16"/>
                <w:szCs w:val="16"/>
                <w:lang w:val="en-US"/>
              </w:rPr>
            </w:pPr>
            <w:r w:rsidRPr="003A6F5B">
              <w:rPr>
                <w:rFonts w:eastAsia="Times New Roman" w:cs="Calibri"/>
                <w:b/>
                <w:bCs/>
                <w:color w:val="FFFFFF"/>
                <w:sz w:val="16"/>
                <w:szCs w:val="16"/>
              </w:rPr>
              <w:t>Χαλκός</w:t>
            </w:r>
          </w:p>
        </w:tc>
        <w:tc>
          <w:tcPr>
            <w:tcW w:w="255" w:type="dxa"/>
            <w:tcBorders>
              <w:top w:val="nil"/>
              <w:left w:val="nil"/>
              <w:bottom w:val="nil"/>
              <w:right w:val="nil"/>
            </w:tcBorders>
            <w:shd w:val="clear" w:color="auto" w:fill="auto"/>
            <w:noWrap/>
            <w:vAlign w:val="bottom"/>
            <w:hideMark/>
          </w:tcPr>
          <w:p w14:paraId="1930F0C7" w14:textId="77777777" w:rsidR="00B73CCC" w:rsidRPr="003A6F5B" w:rsidRDefault="00B73CCC" w:rsidP="00A959DB">
            <w:pPr>
              <w:widowControl/>
              <w:autoSpaceDE/>
              <w:autoSpaceDN/>
              <w:jc w:val="center"/>
              <w:rPr>
                <w:rFonts w:eastAsia="Times New Roman" w:cs="Calibri"/>
                <w:b/>
                <w:bCs/>
                <w:color w:val="FFFFFF"/>
                <w:sz w:val="16"/>
                <w:szCs w:val="16"/>
                <w:lang w:val="en-US"/>
              </w:rPr>
            </w:pPr>
          </w:p>
        </w:tc>
        <w:tc>
          <w:tcPr>
            <w:tcW w:w="2505" w:type="dxa"/>
            <w:gridSpan w:val="2"/>
            <w:tcBorders>
              <w:top w:val="nil"/>
              <w:left w:val="nil"/>
              <w:bottom w:val="nil"/>
              <w:right w:val="nil"/>
            </w:tcBorders>
            <w:shd w:val="clear" w:color="000000" w:fill="4F81BD"/>
            <w:vAlign w:val="center"/>
            <w:hideMark/>
          </w:tcPr>
          <w:p w14:paraId="0591BFBD" w14:textId="77777777" w:rsidR="00B73CCC" w:rsidRPr="003A6F5B" w:rsidRDefault="00B73CCC" w:rsidP="00A959DB">
            <w:pPr>
              <w:widowControl/>
              <w:autoSpaceDE/>
              <w:autoSpaceDN/>
              <w:jc w:val="center"/>
              <w:rPr>
                <w:rFonts w:eastAsia="Times New Roman" w:cs="Calibri"/>
                <w:b/>
                <w:bCs/>
                <w:color w:val="FFFFFF"/>
                <w:sz w:val="16"/>
                <w:szCs w:val="16"/>
                <w:lang w:val="en-US"/>
              </w:rPr>
            </w:pPr>
            <w:r w:rsidRPr="003A6F5B">
              <w:rPr>
                <w:rFonts w:eastAsia="Times New Roman" w:cs="Calibri"/>
                <w:b/>
                <w:bCs/>
                <w:color w:val="FFFFFF"/>
                <w:sz w:val="16"/>
                <w:szCs w:val="16"/>
              </w:rPr>
              <w:t>Σύνολο</w:t>
            </w:r>
          </w:p>
        </w:tc>
      </w:tr>
      <w:tr w:rsidR="00B73CCC" w:rsidRPr="003A6F5B" w14:paraId="260E373A" w14:textId="77777777" w:rsidTr="00A959DB">
        <w:trPr>
          <w:trHeight w:val="402"/>
        </w:trPr>
        <w:tc>
          <w:tcPr>
            <w:tcW w:w="1125" w:type="dxa"/>
            <w:tcBorders>
              <w:top w:val="nil"/>
              <w:left w:val="nil"/>
              <w:bottom w:val="nil"/>
              <w:right w:val="nil"/>
            </w:tcBorders>
            <w:shd w:val="clear" w:color="auto" w:fill="auto"/>
            <w:noWrap/>
            <w:vAlign w:val="center"/>
            <w:hideMark/>
          </w:tcPr>
          <w:p w14:paraId="09FEB903" w14:textId="77777777" w:rsidR="00B73CCC" w:rsidRPr="003A6F5B" w:rsidRDefault="00B73CCC" w:rsidP="00A959DB">
            <w:pPr>
              <w:widowControl/>
              <w:autoSpaceDE/>
              <w:autoSpaceDN/>
              <w:rPr>
                <w:rFonts w:eastAsia="Times New Roman" w:cs="Calibri"/>
                <w:b/>
                <w:bCs/>
                <w:color w:val="000000"/>
                <w:sz w:val="16"/>
                <w:szCs w:val="16"/>
                <w:lang w:val="en-US"/>
              </w:rPr>
            </w:pPr>
            <w:r w:rsidRPr="003A6F5B">
              <w:rPr>
                <w:rFonts w:eastAsia="Times New Roman" w:cs="Calibri"/>
                <w:b/>
                <w:bCs/>
                <w:color w:val="000000"/>
                <w:sz w:val="16"/>
                <w:szCs w:val="16"/>
              </w:rPr>
              <w:t>€’000</w:t>
            </w:r>
          </w:p>
        </w:tc>
        <w:tc>
          <w:tcPr>
            <w:tcW w:w="1547" w:type="dxa"/>
            <w:tcBorders>
              <w:top w:val="nil"/>
              <w:left w:val="dotted" w:sz="4" w:space="0" w:color="C4BD97"/>
              <w:bottom w:val="nil"/>
              <w:right w:val="nil"/>
            </w:tcBorders>
            <w:shd w:val="clear" w:color="auto" w:fill="auto"/>
            <w:vAlign w:val="center"/>
            <w:hideMark/>
          </w:tcPr>
          <w:p w14:paraId="0C0C5B6B" w14:textId="77777777" w:rsidR="00B73CCC" w:rsidRPr="003A6F5B" w:rsidRDefault="00B73CCC" w:rsidP="00A959DB">
            <w:pPr>
              <w:widowControl/>
              <w:autoSpaceDE/>
              <w:autoSpaceDN/>
              <w:jc w:val="center"/>
              <w:rPr>
                <w:rFonts w:eastAsia="Times New Roman" w:cs="Calibri"/>
                <w:b/>
                <w:bCs/>
                <w:color w:val="000000"/>
                <w:sz w:val="18"/>
                <w:szCs w:val="18"/>
                <w:lang w:val="en-US"/>
              </w:rPr>
            </w:pPr>
            <w:r>
              <w:rPr>
                <w:rFonts w:cs="Calibri"/>
                <w:b/>
                <w:bCs/>
                <w:color w:val="000000"/>
                <w:sz w:val="18"/>
                <w:szCs w:val="18"/>
              </w:rPr>
              <w:t>2024</w:t>
            </w:r>
          </w:p>
        </w:tc>
        <w:tc>
          <w:tcPr>
            <w:tcW w:w="1159" w:type="dxa"/>
            <w:tcBorders>
              <w:top w:val="nil"/>
              <w:left w:val="dotted" w:sz="4" w:space="0" w:color="C4BD97"/>
              <w:bottom w:val="nil"/>
              <w:right w:val="nil"/>
            </w:tcBorders>
            <w:shd w:val="clear" w:color="auto" w:fill="auto"/>
            <w:vAlign w:val="center"/>
            <w:hideMark/>
          </w:tcPr>
          <w:p w14:paraId="511BDB9B" w14:textId="77777777" w:rsidR="00B73CCC" w:rsidRPr="003A6F5B" w:rsidRDefault="00B73CCC" w:rsidP="00A959DB">
            <w:pPr>
              <w:widowControl/>
              <w:autoSpaceDE/>
              <w:autoSpaceDN/>
              <w:jc w:val="center"/>
              <w:rPr>
                <w:rFonts w:eastAsia="Times New Roman" w:cs="Calibri"/>
                <w:b/>
                <w:bCs/>
                <w:color w:val="000000"/>
                <w:sz w:val="18"/>
                <w:szCs w:val="18"/>
                <w:lang w:val="en-US"/>
              </w:rPr>
            </w:pPr>
            <w:r>
              <w:rPr>
                <w:rFonts w:cs="Calibri"/>
                <w:b/>
                <w:bCs/>
                <w:color w:val="000000"/>
                <w:sz w:val="18"/>
                <w:szCs w:val="18"/>
              </w:rPr>
              <w:t>2023</w:t>
            </w:r>
          </w:p>
        </w:tc>
        <w:tc>
          <w:tcPr>
            <w:tcW w:w="280" w:type="dxa"/>
            <w:tcBorders>
              <w:top w:val="nil"/>
              <w:left w:val="nil"/>
              <w:bottom w:val="nil"/>
              <w:right w:val="nil"/>
            </w:tcBorders>
            <w:shd w:val="clear" w:color="auto" w:fill="auto"/>
            <w:noWrap/>
            <w:vAlign w:val="bottom"/>
            <w:hideMark/>
          </w:tcPr>
          <w:p w14:paraId="34C4AAF1" w14:textId="77777777" w:rsidR="00B73CCC" w:rsidRPr="003A6F5B" w:rsidRDefault="00B73CCC" w:rsidP="00A959DB">
            <w:pPr>
              <w:widowControl/>
              <w:autoSpaceDE/>
              <w:autoSpaceDN/>
              <w:jc w:val="center"/>
              <w:rPr>
                <w:rFonts w:eastAsia="Times New Roman" w:cs="Calibri"/>
                <w:b/>
                <w:bCs/>
                <w:color w:val="000000"/>
                <w:sz w:val="18"/>
                <w:szCs w:val="18"/>
                <w:lang w:val="en-US"/>
              </w:rPr>
            </w:pPr>
          </w:p>
        </w:tc>
        <w:tc>
          <w:tcPr>
            <w:tcW w:w="1661" w:type="dxa"/>
            <w:tcBorders>
              <w:top w:val="nil"/>
              <w:left w:val="dotted" w:sz="4" w:space="0" w:color="C4BD97"/>
              <w:bottom w:val="nil"/>
              <w:right w:val="nil"/>
            </w:tcBorders>
            <w:shd w:val="clear" w:color="auto" w:fill="auto"/>
            <w:vAlign w:val="center"/>
            <w:hideMark/>
          </w:tcPr>
          <w:p w14:paraId="77DEAD06" w14:textId="77777777" w:rsidR="00B73CCC" w:rsidRPr="003A6F5B" w:rsidRDefault="00B73CCC" w:rsidP="00A959DB">
            <w:pPr>
              <w:widowControl/>
              <w:autoSpaceDE/>
              <w:autoSpaceDN/>
              <w:jc w:val="center"/>
              <w:rPr>
                <w:rFonts w:eastAsia="Times New Roman" w:cs="Calibri"/>
                <w:b/>
                <w:bCs/>
                <w:color w:val="000000"/>
                <w:sz w:val="18"/>
                <w:szCs w:val="18"/>
                <w:lang w:val="en-US"/>
              </w:rPr>
            </w:pPr>
            <w:r>
              <w:rPr>
                <w:rFonts w:cs="Calibri"/>
                <w:b/>
                <w:bCs/>
                <w:color w:val="000000"/>
                <w:sz w:val="18"/>
                <w:szCs w:val="18"/>
              </w:rPr>
              <w:t>2024</w:t>
            </w:r>
          </w:p>
        </w:tc>
        <w:tc>
          <w:tcPr>
            <w:tcW w:w="1159" w:type="dxa"/>
            <w:tcBorders>
              <w:top w:val="nil"/>
              <w:left w:val="dotted" w:sz="4" w:space="0" w:color="C4BD97"/>
              <w:bottom w:val="nil"/>
              <w:right w:val="nil"/>
            </w:tcBorders>
            <w:shd w:val="clear" w:color="auto" w:fill="auto"/>
            <w:vAlign w:val="center"/>
            <w:hideMark/>
          </w:tcPr>
          <w:p w14:paraId="34A0B857" w14:textId="77777777" w:rsidR="00B73CCC" w:rsidRPr="003A6F5B" w:rsidRDefault="00B73CCC" w:rsidP="00A959DB">
            <w:pPr>
              <w:widowControl/>
              <w:autoSpaceDE/>
              <w:autoSpaceDN/>
              <w:jc w:val="center"/>
              <w:rPr>
                <w:rFonts w:eastAsia="Times New Roman" w:cs="Calibri"/>
                <w:b/>
                <w:bCs/>
                <w:color w:val="000000"/>
                <w:sz w:val="18"/>
                <w:szCs w:val="18"/>
                <w:lang w:val="en-US"/>
              </w:rPr>
            </w:pPr>
            <w:r>
              <w:rPr>
                <w:rFonts w:cs="Calibri"/>
                <w:b/>
                <w:bCs/>
                <w:color w:val="000000"/>
                <w:sz w:val="18"/>
                <w:szCs w:val="18"/>
              </w:rPr>
              <w:t>2023</w:t>
            </w:r>
          </w:p>
        </w:tc>
        <w:tc>
          <w:tcPr>
            <w:tcW w:w="255" w:type="dxa"/>
            <w:tcBorders>
              <w:top w:val="nil"/>
              <w:left w:val="nil"/>
              <w:bottom w:val="nil"/>
              <w:right w:val="nil"/>
            </w:tcBorders>
            <w:shd w:val="clear" w:color="auto" w:fill="auto"/>
            <w:noWrap/>
            <w:vAlign w:val="bottom"/>
            <w:hideMark/>
          </w:tcPr>
          <w:p w14:paraId="14CCB082" w14:textId="77777777" w:rsidR="00B73CCC" w:rsidRPr="003A6F5B" w:rsidRDefault="00B73CCC" w:rsidP="00A959DB">
            <w:pPr>
              <w:widowControl/>
              <w:autoSpaceDE/>
              <w:autoSpaceDN/>
              <w:jc w:val="center"/>
              <w:rPr>
                <w:rFonts w:eastAsia="Times New Roman" w:cs="Calibri"/>
                <w:b/>
                <w:bCs/>
                <w:color w:val="000000"/>
                <w:sz w:val="18"/>
                <w:szCs w:val="18"/>
                <w:lang w:val="en-US"/>
              </w:rPr>
            </w:pPr>
          </w:p>
        </w:tc>
        <w:tc>
          <w:tcPr>
            <w:tcW w:w="1346" w:type="dxa"/>
            <w:tcBorders>
              <w:top w:val="nil"/>
              <w:left w:val="dotted" w:sz="4" w:space="0" w:color="C4BD97"/>
              <w:bottom w:val="nil"/>
              <w:right w:val="nil"/>
            </w:tcBorders>
            <w:shd w:val="clear" w:color="auto" w:fill="auto"/>
            <w:vAlign w:val="center"/>
            <w:hideMark/>
          </w:tcPr>
          <w:p w14:paraId="0B9C28F9" w14:textId="77777777" w:rsidR="00B73CCC" w:rsidRPr="003A6F5B" w:rsidRDefault="00B73CCC" w:rsidP="00A959DB">
            <w:pPr>
              <w:widowControl/>
              <w:autoSpaceDE/>
              <w:autoSpaceDN/>
              <w:jc w:val="center"/>
              <w:rPr>
                <w:rFonts w:eastAsia="Times New Roman" w:cs="Calibri"/>
                <w:b/>
                <w:bCs/>
                <w:color w:val="000000"/>
                <w:sz w:val="18"/>
                <w:szCs w:val="18"/>
                <w:lang w:val="en-US"/>
              </w:rPr>
            </w:pPr>
            <w:r>
              <w:rPr>
                <w:rFonts w:cs="Calibri"/>
                <w:b/>
                <w:bCs/>
                <w:color w:val="000000"/>
                <w:sz w:val="18"/>
                <w:szCs w:val="18"/>
              </w:rPr>
              <w:t>2024</w:t>
            </w:r>
          </w:p>
        </w:tc>
        <w:tc>
          <w:tcPr>
            <w:tcW w:w="1159" w:type="dxa"/>
            <w:tcBorders>
              <w:top w:val="nil"/>
              <w:left w:val="dotted" w:sz="4" w:space="0" w:color="C4BD97"/>
              <w:bottom w:val="nil"/>
              <w:right w:val="nil"/>
            </w:tcBorders>
            <w:shd w:val="clear" w:color="auto" w:fill="auto"/>
            <w:vAlign w:val="center"/>
            <w:hideMark/>
          </w:tcPr>
          <w:p w14:paraId="00DC7F59" w14:textId="77777777" w:rsidR="00B73CCC" w:rsidRPr="003A6F5B" w:rsidRDefault="00B73CCC" w:rsidP="00A959DB">
            <w:pPr>
              <w:widowControl/>
              <w:autoSpaceDE/>
              <w:autoSpaceDN/>
              <w:jc w:val="center"/>
              <w:rPr>
                <w:rFonts w:eastAsia="Times New Roman" w:cs="Calibri"/>
                <w:b/>
                <w:bCs/>
                <w:color w:val="000000"/>
                <w:sz w:val="18"/>
                <w:szCs w:val="18"/>
                <w:lang w:val="en-US"/>
              </w:rPr>
            </w:pPr>
            <w:r>
              <w:rPr>
                <w:rFonts w:cs="Calibri"/>
                <w:b/>
                <w:bCs/>
                <w:color w:val="000000"/>
                <w:sz w:val="18"/>
                <w:szCs w:val="18"/>
              </w:rPr>
              <w:t>2023</w:t>
            </w:r>
          </w:p>
        </w:tc>
      </w:tr>
      <w:tr w:rsidR="00B73CCC" w:rsidRPr="003A6F5B" w14:paraId="0AE2E566" w14:textId="77777777" w:rsidTr="00A959DB">
        <w:trPr>
          <w:trHeight w:val="324"/>
        </w:trPr>
        <w:tc>
          <w:tcPr>
            <w:tcW w:w="1125" w:type="dxa"/>
            <w:tcBorders>
              <w:top w:val="nil"/>
              <w:left w:val="nil"/>
              <w:bottom w:val="nil"/>
              <w:right w:val="nil"/>
            </w:tcBorders>
            <w:shd w:val="clear" w:color="auto" w:fill="auto"/>
            <w:noWrap/>
            <w:vAlign w:val="center"/>
            <w:hideMark/>
          </w:tcPr>
          <w:p w14:paraId="0A6960E6" w14:textId="77777777" w:rsidR="00B73CCC" w:rsidRPr="003A6F5B" w:rsidRDefault="00B73CCC" w:rsidP="00A959DB">
            <w:pPr>
              <w:widowControl/>
              <w:autoSpaceDE/>
              <w:autoSpaceDN/>
              <w:rPr>
                <w:rFonts w:eastAsia="Times New Roman" w:cs="Calibri"/>
                <w:color w:val="000000"/>
                <w:sz w:val="16"/>
                <w:szCs w:val="16"/>
                <w:lang w:val="en-US"/>
              </w:rPr>
            </w:pPr>
            <w:r w:rsidRPr="003A6F5B">
              <w:rPr>
                <w:rFonts w:eastAsia="Times New Roman" w:cs="Calibri"/>
                <w:color w:val="000000"/>
                <w:sz w:val="16"/>
                <w:szCs w:val="16"/>
              </w:rPr>
              <w:t>Πωλήσεις</w:t>
            </w:r>
          </w:p>
        </w:tc>
        <w:tc>
          <w:tcPr>
            <w:tcW w:w="1547" w:type="dxa"/>
            <w:tcBorders>
              <w:top w:val="nil"/>
              <w:left w:val="nil"/>
              <w:bottom w:val="nil"/>
              <w:right w:val="nil"/>
            </w:tcBorders>
            <w:shd w:val="clear" w:color="000000" w:fill="C5D9F1"/>
            <w:noWrap/>
            <w:vAlign w:val="center"/>
            <w:hideMark/>
          </w:tcPr>
          <w:p w14:paraId="07B718B5"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1.730.911</w:t>
            </w:r>
          </w:p>
        </w:tc>
        <w:tc>
          <w:tcPr>
            <w:tcW w:w="1159" w:type="dxa"/>
            <w:tcBorders>
              <w:top w:val="nil"/>
              <w:left w:val="nil"/>
              <w:bottom w:val="nil"/>
              <w:right w:val="nil"/>
            </w:tcBorders>
            <w:shd w:val="clear" w:color="auto" w:fill="auto"/>
            <w:noWrap/>
            <w:vAlign w:val="center"/>
            <w:hideMark/>
          </w:tcPr>
          <w:p w14:paraId="163B9BFB"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1.624.562</w:t>
            </w:r>
          </w:p>
        </w:tc>
        <w:tc>
          <w:tcPr>
            <w:tcW w:w="280" w:type="dxa"/>
            <w:tcBorders>
              <w:top w:val="nil"/>
              <w:left w:val="nil"/>
              <w:bottom w:val="nil"/>
              <w:right w:val="nil"/>
            </w:tcBorders>
            <w:shd w:val="clear" w:color="auto" w:fill="auto"/>
            <w:noWrap/>
            <w:vAlign w:val="bottom"/>
            <w:hideMark/>
          </w:tcPr>
          <w:p w14:paraId="07DB9B34"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0EDDDFC4"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1.707.541</w:t>
            </w:r>
          </w:p>
        </w:tc>
        <w:tc>
          <w:tcPr>
            <w:tcW w:w="1159" w:type="dxa"/>
            <w:tcBorders>
              <w:top w:val="nil"/>
              <w:left w:val="nil"/>
              <w:bottom w:val="nil"/>
              <w:right w:val="nil"/>
            </w:tcBorders>
            <w:shd w:val="clear" w:color="auto" w:fill="auto"/>
            <w:noWrap/>
            <w:vAlign w:val="center"/>
            <w:hideMark/>
          </w:tcPr>
          <w:p w14:paraId="70DE1111"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1.668.858</w:t>
            </w:r>
          </w:p>
        </w:tc>
        <w:tc>
          <w:tcPr>
            <w:tcW w:w="255" w:type="dxa"/>
            <w:tcBorders>
              <w:top w:val="nil"/>
              <w:left w:val="nil"/>
              <w:bottom w:val="nil"/>
              <w:right w:val="nil"/>
            </w:tcBorders>
            <w:shd w:val="clear" w:color="auto" w:fill="auto"/>
            <w:noWrap/>
            <w:vAlign w:val="bottom"/>
            <w:hideMark/>
          </w:tcPr>
          <w:p w14:paraId="1241BDD7"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7F1C9853"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3.438.452</w:t>
            </w:r>
          </w:p>
        </w:tc>
        <w:tc>
          <w:tcPr>
            <w:tcW w:w="1159" w:type="dxa"/>
            <w:tcBorders>
              <w:top w:val="nil"/>
              <w:left w:val="nil"/>
              <w:bottom w:val="nil"/>
              <w:right w:val="nil"/>
            </w:tcBorders>
            <w:shd w:val="clear" w:color="auto" w:fill="auto"/>
            <w:noWrap/>
            <w:vAlign w:val="center"/>
            <w:hideMark/>
          </w:tcPr>
          <w:p w14:paraId="070CA357"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3.293.421</w:t>
            </w:r>
          </w:p>
        </w:tc>
      </w:tr>
      <w:tr w:rsidR="00B73CCC" w:rsidRPr="003A6F5B" w14:paraId="643DDE0B" w14:textId="77777777" w:rsidTr="00A959DB">
        <w:trPr>
          <w:trHeight w:val="341"/>
        </w:trPr>
        <w:tc>
          <w:tcPr>
            <w:tcW w:w="1125" w:type="dxa"/>
            <w:tcBorders>
              <w:top w:val="nil"/>
              <w:left w:val="nil"/>
              <w:bottom w:val="nil"/>
              <w:right w:val="nil"/>
            </w:tcBorders>
            <w:shd w:val="clear" w:color="auto" w:fill="auto"/>
            <w:noWrap/>
            <w:vAlign w:val="center"/>
            <w:hideMark/>
          </w:tcPr>
          <w:p w14:paraId="3D8734A6" w14:textId="77777777" w:rsidR="00B73CCC" w:rsidRPr="003A6F5B" w:rsidRDefault="00B73CCC" w:rsidP="00A959DB">
            <w:pPr>
              <w:widowControl/>
              <w:autoSpaceDE/>
              <w:autoSpaceDN/>
              <w:rPr>
                <w:rFonts w:eastAsia="Times New Roman" w:cs="Calibri"/>
                <w:color w:val="000000"/>
                <w:sz w:val="16"/>
                <w:szCs w:val="16"/>
                <w:lang w:val="en-US"/>
              </w:rPr>
            </w:pPr>
            <w:r w:rsidRPr="003A6F5B">
              <w:rPr>
                <w:rFonts w:eastAsia="Times New Roman" w:cs="Calibri"/>
                <w:color w:val="000000"/>
                <w:sz w:val="16"/>
                <w:szCs w:val="16"/>
              </w:rPr>
              <w:t>EBITDA</w:t>
            </w:r>
          </w:p>
        </w:tc>
        <w:tc>
          <w:tcPr>
            <w:tcW w:w="1547" w:type="dxa"/>
            <w:tcBorders>
              <w:top w:val="nil"/>
              <w:left w:val="nil"/>
              <w:bottom w:val="nil"/>
              <w:right w:val="nil"/>
            </w:tcBorders>
            <w:shd w:val="clear" w:color="000000" w:fill="C5D9F1"/>
            <w:noWrap/>
            <w:vAlign w:val="center"/>
            <w:hideMark/>
          </w:tcPr>
          <w:p w14:paraId="06FB9FCC"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139.832</w:t>
            </w:r>
          </w:p>
        </w:tc>
        <w:tc>
          <w:tcPr>
            <w:tcW w:w="1159" w:type="dxa"/>
            <w:tcBorders>
              <w:top w:val="nil"/>
              <w:left w:val="nil"/>
              <w:bottom w:val="nil"/>
              <w:right w:val="nil"/>
            </w:tcBorders>
            <w:shd w:val="clear" w:color="auto" w:fill="auto"/>
            <w:noWrap/>
            <w:vAlign w:val="center"/>
            <w:hideMark/>
          </w:tcPr>
          <w:p w14:paraId="7E2E0044"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95.802</w:t>
            </w:r>
          </w:p>
        </w:tc>
        <w:tc>
          <w:tcPr>
            <w:tcW w:w="280" w:type="dxa"/>
            <w:tcBorders>
              <w:top w:val="nil"/>
              <w:left w:val="nil"/>
              <w:bottom w:val="nil"/>
              <w:right w:val="nil"/>
            </w:tcBorders>
            <w:shd w:val="clear" w:color="auto" w:fill="auto"/>
            <w:noWrap/>
            <w:vAlign w:val="bottom"/>
            <w:hideMark/>
          </w:tcPr>
          <w:p w14:paraId="45CD2285"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69B21EDB"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102.843</w:t>
            </w:r>
          </w:p>
        </w:tc>
        <w:tc>
          <w:tcPr>
            <w:tcW w:w="1159" w:type="dxa"/>
            <w:tcBorders>
              <w:top w:val="nil"/>
              <w:left w:val="nil"/>
              <w:bottom w:val="nil"/>
              <w:right w:val="nil"/>
            </w:tcBorders>
            <w:shd w:val="clear" w:color="auto" w:fill="auto"/>
            <w:noWrap/>
            <w:vAlign w:val="center"/>
            <w:hideMark/>
          </w:tcPr>
          <w:p w14:paraId="7156AFE4"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80.588</w:t>
            </w:r>
          </w:p>
        </w:tc>
        <w:tc>
          <w:tcPr>
            <w:tcW w:w="255" w:type="dxa"/>
            <w:tcBorders>
              <w:top w:val="nil"/>
              <w:left w:val="nil"/>
              <w:bottom w:val="nil"/>
              <w:right w:val="nil"/>
            </w:tcBorders>
            <w:shd w:val="clear" w:color="auto" w:fill="auto"/>
            <w:noWrap/>
            <w:vAlign w:val="bottom"/>
            <w:hideMark/>
          </w:tcPr>
          <w:p w14:paraId="25A6B318"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07315D8A"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242.675</w:t>
            </w:r>
          </w:p>
        </w:tc>
        <w:tc>
          <w:tcPr>
            <w:tcW w:w="1159" w:type="dxa"/>
            <w:tcBorders>
              <w:top w:val="nil"/>
              <w:left w:val="nil"/>
              <w:bottom w:val="nil"/>
              <w:right w:val="nil"/>
            </w:tcBorders>
            <w:shd w:val="clear" w:color="auto" w:fill="auto"/>
            <w:noWrap/>
            <w:vAlign w:val="center"/>
            <w:hideMark/>
          </w:tcPr>
          <w:p w14:paraId="0BDE24FE"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176.390</w:t>
            </w:r>
          </w:p>
        </w:tc>
      </w:tr>
      <w:tr w:rsidR="00B73CCC" w:rsidRPr="003A6F5B" w14:paraId="64A53D1A" w14:textId="77777777" w:rsidTr="00A959DB">
        <w:trPr>
          <w:trHeight w:val="324"/>
        </w:trPr>
        <w:tc>
          <w:tcPr>
            <w:tcW w:w="1125" w:type="dxa"/>
            <w:tcBorders>
              <w:top w:val="nil"/>
              <w:left w:val="nil"/>
              <w:bottom w:val="nil"/>
              <w:right w:val="nil"/>
            </w:tcBorders>
            <w:shd w:val="clear" w:color="auto" w:fill="auto"/>
            <w:noWrap/>
            <w:vAlign w:val="center"/>
            <w:hideMark/>
          </w:tcPr>
          <w:p w14:paraId="347C278F" w14:textId="77777777" w:rsidR="00B73CCC" w:rsidRPr="003A6F5B" w:rsidRDefault="00B73CCC" w:rsidP="00A959DB">
            <w:pPr>
              <w:widowControl/>
              <w:autoSpaceDE/>
              <w:autoSpaceDN/>
              <w:rPr>
                <w:rFonts w:eastAsia="Times New Roman" w:cs="Calibri"/>
                <w:color w:val="000000"/>
                <w:sz w:val="16"/>
                <w:szCs w:val="16"/>
                <w:lang w:val="en-US"/>
              </w:rPr>
            </w:pPr>
            <w:r w:rsidRPr="003A6F5B">
              <w:rPr>
                <w:rFonts w:eastAsia="Times New Roman" w:cs="Calibri"/>
                <w:color w:val="000000"/>
                <w:sz w:val="16"/>
                <w:szCs w:val="16"/>
              </w:rPr>
              <w:footnoteReference w:customMarkFollows="1" w:id="1"/>
              <w:t>a-EBITDA**</w:t>
            </w:r>
          </w:p>
        </w:tc>
        <w:tc>
          <w:tcPr>
            <w:tcW w:w="1547" w:type="dxa"/>
            <w:tcBorders>
              <w:top w:val="nil"/>
              <w:left w:val="nil"/>
              <w:bottom w:val="nil"/>
              <w:right w:val="nil"/>
            </w:tcBorders>
            <w:shd w:val="clear" w:color="000000" w:fill="C5D9F1"/>
            <w:noWrap/>
            <w:vAlign w:val="center"/>
            <w:hideMark/>
          </w:tcPr>
          <w:p w14:paraId="1A067171"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138.754</w:t>
            </w:r>
          </w:p>
        </w:tc>
        <w:tc>
          <w:tcPr>
            <w:tcW w:w="1159" w:type="dxa"/>
            <w:tcBorders>
              <w:top w:val="nil"/>
              <w:left w:val="nil"/>
              <w:bottom w:val="nil"/>
              <w:right w:val="nil"/>
            </w:tcBorders>
            <w:shd w:val="clear" w:color="auto" w:fill="auto"/>
            <w:noWrap/>
            <w:vAlign w:val="center"/>
            <w:hideMark/>
          </w:tcPr>
          <w:p w14:paraId="043AC363"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143.516</w:t>
            </w:r>
          </w:p>
        </w:tc>
        <w:tc>
          <w:tcPr>
            <w:tcW w:w="280" w:type="dxa"/>
            <w:tcBorders>
              <w:top w:val="nil"/>
              <w:left w:val="nil"/>
              <w:bottom w:val="nil"/>
              <w:right w:val="nil"/>
            </w:tcBorders>
            <w:shd w:val="clear" w:color="auto" w:fill="auto"/>
            <w:noWrap/>
            <w:vAlign w:val="bottom"/>
            <w:hideMark/>
          </w:tcPr>
          <w:p w14:paraId="5D665D71"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3B1BA5E5"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98.708</w:t>
            </w:r>
          </w:p>
        </w:tc>
        <w:tc>
          <w:tcPr>
            <w:tcW w:w="1159" w:type="dxa"/>
            <w:tcBorders>
              <w:top w:val="nil"/>
              <w:left w:val="nil"/>
              <w:bottom w:val="nil"/>
              <w:right w:val="nil"/>
            </w:tcBorders>
            <w:shd w:val="clear" w:color="auto" w:fill="auto"/>
            <w:noWrap/>
            <w:vAlign w:val="center"/>
            <w:hideMark/>
          </w:tcPr>
          <w:p w14:paraId="2EB826F9"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95.814</w:t>
            </w:r>
          </w:p>
        </w:tc>
        <w:tc>
          <w:tcPr>
            <w:tcW w:w="255" w:type="dxa"/>
            <w:tcBorders>
              <w:top w:val="nil"/>
              <w:left w:val="nil"/>
              <w:bottom w:val="nil"/>
              <w:right w:val="nil"/>
            </w:tcBorders>
            <w:shd w:val="clear" w:color="auto" w:fill="auto"/>
            <w:noWrap/>
            <w:vAlign w:val="bottom"/>
            <w:hideMark/>
          </w:tcPr>
          <w:p w14:paraId="69BBDDB2"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6734DB31"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237.463</w:t>
            </w:r>
          </w:p>
        </w:tc>
        <w:tc>
          <w:tcPr>
            <w:tcW w:w="1159" w:type="dxa"/>
            <w:tcBorders>
              <w:top w:val="nil"/>
              <w:left w:val="nil"/>
              <w:bottom w:val="nil"/>
              <w:right w:val="nil"/>
            </w:tcBorders>
            <w:shd w:val="clear" w:color="auto" w:fill="auto"/>
            <w:noWrap/>
            <w:vAlign w:val="center"/>
            <w:hideMark/>
          </w:tcPr>
          <w:p w14:paraId="71C9C55C"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239.330</w:t>
            </w:r>
          </w:p>
        </w:tc>
      </w:tr>
      <w:tr w:rsidR="00B73CCC" w:rsidRPr="003A6F5B" w14:paraId="1264E6D3" w14:textId="77777777" w:rsidTr="00A959DB">
        <w:trPr>
          <w:trHeight w:val="324"/>
        </w:trPr>
        <w:tc>
          <w:tcPr>
            <w:tcW w:w="1125" w:type="dxa"/>
            <w:tcBorders>
              <w:top w:val="nil"/>
              <w:left w:val="nil"/>
              <w:bottom w:val="nil"/>
              <w:right w:val="nil"/>
            </w:tcBorders>
            <w:shd w:val="clear" w:color="auto" w:fill="auto"/>
            <w:noWrap/>
            <w:vAlign w:val="center"/>
            <w:hideMark/>
          </w:tcPr>
          <w:p w14:paraId="3225F0D4" w14:textId="77777777" w:rsidR="00B73CCC" w:rsidRPr="003A6F5B" w:rsidRDefault="00B73CCC" w:rsidP="00A959DB">
            <w:pPr>
              <w:widowControl/>
              <w:autoSpaceDE/>
              <w:autoSpaceDN/>
              <w:rPr>
                <w:rFonts w:eastAsia="Times New Roman" w:cs="Calibri"/>
                <w:color w:val="000000"/>
                <w:sz w:val="16"/>
                <w:szCs w:val="16"/>
                <w:lang w:val="en-US"/>
              </w:rPr>
            </w:pPr>
            <w:r w:rsidRPr="003A6F5B">
              <w:rPr>
                <w:rFonts w:eastAsia="Times New Roman" w:cs="Calibri"/>
                <w:color w:val="000000"/>
                <w:sz w:val="16"/>
                <w:szCs w:val="16"/>
              </w:rPr>
              <w:t>EBIT</w:t>
            </w:r>
          </w:p>
        </w:tc>
        <w:tc>
          <w:tcPr>
            <w:tcW w:w="1547" w:type="dxa"/>
            <w:tcBorders>
              <w:top w:val="nil"/>
              <w:left w:val="nil"/>
              <w:bottom w:val="nil"/>
              <w:right w:val="nil"/>
            </w:tcBorders>
            <w:shd w:val="clear" w:color="000000" w:fill="C5D9F1"/>
            <w:noWrap/>
            <w:vAlign w:val="center"/>
            <w:hideMark/>
          </w:tcPr>
          <w:p w14:paraId="7494BB72"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93.431</w:t>
            </w:r>
          </w:p>
        </w:tc>
        <w:tc>
          <w:tcPr>
            <w:tcW w:w="1159" w:type="dxa"/>
            <w:tcBorders>
              <w:top w:val="nil"/>
              <w:left w:val="nil"/>
              <w:bottom w:val="nil"/>
              <w:right w:val="nil"/>
            </w:tcBorders>
            <w:shd w:val="clear" w:color="auto" w:fill="auto"/>
            <w:noWrap/>
            <w:vAlign w:val="center"/>
            <w:hideMark/>
          </w:tcPr>
          <w:p w14:paraId="08E7FABB"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45.886</w:t>
            </w:r>
          </w:p>
        </w:tc>
        <w:tc>
          <w:tcPr>
            <w:tcW w:w="280" w:type="dxa"/>
            <w:tcBorders>
              <w:top w:val="nil"/>
              <w:left w:val="nil"/>
              <w:bottom w:val="nil"/>
              <w:right w:val="nil"/>
            </w:tcBorders>
            <w:shd w:val="clear" w:color="auto" w:fill="auto"/>
            <w:noWrap/>
            <w:vAlign w:val="bottom"/>
            <w:hideMark/>
          </w:tcPr>
          <w:p w14:paraId="468A8437"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4AFF193B"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83.163</w:t>
            </w:r>
          </w:p>
        </w:tc>
        <w:tc>
          <w:tcPr>
            <w:tcW w:w="1159" w:type="dxa"/>
            <w:tcBorders>
              <w:top w:val="nil"/>
              <w:left w:val="nil"/>
              <w:bottom w:val="nil"/>
              <w:right w:val="nil"/>
            </w:tcBorders>
            <w:shd w:val="clear" w:color="auto" w:fill="auto"/>
            <w:noWrap/>
            <w:vAlign w:val="center"/>
            <w:hideMark/>
          </w:tcPr>
          <w:p w14:paraId="3777D1D0"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57.204</w:t>
            </w:r>
          </w:p>
        </w:tc>
        <w:tc>
          <w:tcPr>
            <w:tcW w:w="255" w:type="dxa"/>
            <w:tcBorders>
              <w:top w:val="nil"/>
              <w:left w:val="nil"/>
              <w:bottom w:val="nil"/>
              <w:right w:val="nil"/>
            </w:tcBorders>
            <w:shd w:val="clear" w:color="auto" w:fill="auto"/>
            <w:noWrap/>
            <w:vAlign w:val="bottom"/>
            <w:hideMark/>
          </w:tcPr>
          <w:p w14:paraId="0AB8E930"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72D69AFE"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176.595</w:t>
            </w:r>
          </w:p>
        </w:tc>
        <w:tc>
          <w:tcPr>
            <w:tcW w:w="1159" w:type="dxa"/>
            <w:tcBorders>
              <w:top w:val="nil"/>
              <w:left w:val="nil"/>
              <w:bottom w:val="nil"/>
              <w:right w:val="nil"/>
            </w:tcBorders>
            <w:shd w:val="clear" w:color="auto" w:fill="auto"/>
            <w:noWrap/>
            <w:vAlign w:val="center"/>
            <w:hideMark/>
          </w:tcPr>
          <w:p w14:paraId="2E050A32"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103.090</w:t>
            </w:r>
          </w:p>
        </w:tc>
      </w:tr>
      <w:tr w:rsidR="00B73CCC" w:rsidRPr="003A6F5B" w14:paraId="42DD756A" w14:textId="77777777" w:rsidTr="00A959DB">
        <w:trPr>
          <w:trHeight w:val="324"/>
        </w:trPr>
        <w:tc>
          <w:tcPr>
            <w:tcW w:w="1125" w:type="dxa"/>
            <w:tcBorders>
              <w:top w:val="nil"/>
              <w:left w:val="nil"/>
              <w:bottom w:val="nil"/>
              <w:right w:val="nil"/>
            </w:tcBorders>
            <w:shd w:val="clear" w:color="auto" w:fill="auto"/>
            <w:noWrap/>
            <w:vAlign w:val="center"/>
            <w:hideMark/>
          </w:tcPr>
          <w:p w14:paraId="43F7EB25" w14:textId="77777777" w:rsidR="00B73CCC" w:rsidRPr="003A6F5B" w:rsidRDefault="00B73CCC" w:rsidP="00A959DB">
            <w:pPr>
              <w:widowControl/>
              <w:autoSpaceDE/>
              <w:autoSpaceDN/>
              <w:rPr>
                <w:rFonts w:eastAsia="Times New Roman" w:cs="Calibri"/>
                <w:color w:val="000000"/>
                <w:sz w:val="16"/>
                <w:szCs w:val="16"/>
                <w:lang w:val="en-US"/>
              </w:rPr>
            </w:pPr>
            <w:r w:rsidRPr="003A6F5B">
              <w:rPr>
                <w:rFonts w:eastAsia="Times New Roman" w:cs="Calibri"/>
                <w:color w:val="000000"/>
                <w:sz w:val="16"/>
                <w:szCs w:val="16"/>
              </w:rPr>
              <w:footnoteReference w:customMarkFollows="1" w:id="2"/>
              <w:t>a-EBIT*</w:t>
            </w:r>
          </w:p>
        </w:tc>
        <w:tc>
          <w:tcPr>
            <w:tcW w:w="1547" w:type="dxa"/>
            <w:tcBorders>
              <w:top w:val="nil"/>
              <w:left w:val="nil"/>
              <w:bottom w:val="nil"/>
              <w:right w:val="nil"/>
            </w:tcBorders>
            <w:shd w:val="clear" w:color="000000" w:fill="C5D9F1"/>
            <w:noWrap/>
            <w:vAlign w:val="center"/>
            <w:hideMark/>
          </w:tcPr>
          <w:p w14:paraId="1904B0A7"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92.353</w:t>
            </w:r>
          </w:p>
        </w:tc>
        <w:tc>
          <w:tcPr>
            <w:tcW w:w="1159" w:type="dxa"/>
            <w:tcBorders>
              <w:top w:val="nil"/>
              <w:left w:val="nil"/>
              <w:bottom w:val="nil"/>
              <w:right w:val="nil"/>
            </w:tcBorders>
            <w:shd w:val="clear" w:color="auto" w:fill="auto"/>
            <w:noWrap/>
            <w:vAlign w:val="center"/>
            <w:hideMark/>
          </w:tcPr>
          <w:p w14:paraId="63F9B1B6"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93.600</w:t>
            </w:r>
          </w:p>
        </w:tc>
        <w:tc>
          <w:tcPr>
            <w:tcW w:w="280" w:type="dxa"/>
            <w:tcBorders>
              <w:top w:val="nil"/>
              <w:left w:val="nil"/>
              <w:bottom w:val="nil"/>
              <w:right w:val="nil"/>
            </w:tcBorders>
            <w:shd w:val="clear" w:color="auto" w:fill="auto"/>
            <w:noWrap/>
            <w:vAlign w:val="bottom"/>
            <w:hideMark/>
          </w:tcPr>
          <w:p w14:paraId="7D23720C"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53DB3BE1"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79.029</w:t>
            </w:r>
          </w:p>
        </w:tc>
        <w:tc>
          <w:tcPr>
            <w:tcW w:w="1159" w:type="dxa"/>
            <w:tcBorders>
              <w:top w:val="nil"/>
              <w:left w:val="nil"/>
              <w:bottom w:val="nil"/>
              <w:right w:val="nil"/>
            </w:tcBorders>
            <w:shd w:val="clear" w:color="auto" w:fill="auto"/>
            <w:noWrap/>
            <w:vAlign w:val="center"/>
            <w:hideMark/>
          </w:tcPr>
          <w:p w14:paraId="1C951AF4"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72.430</w:t>
            </w:r>
          </w:p>
        </w:tc>
        <w:tc>
          <w:tcPr>
            <w:tcW w:w="255" w:type="dxa"/>
            <w:tcBorders>
              <w:top w:val="nil"/>
              <w:left w:val="nil"/>
              <w:bottom w:val="nil"/>
              <w:right w:val="nil"/>
            </w:tcBorders>
            <w:shd w:val="clear" w:color="auto" w:fill="auto"/>
            <w:noWrap/>
            <w:vAlign w:val="bottom"/>
            <w:hideMark/>
          </w:tcPr>
          <w:p w14:paraId="1F37D1EB"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3B7CDE97"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171.382</w:t>
            </w:r>
          </w:p>
        </w:tc>
        <w:tc>
          <w:tcPr>
            <w:tcW w:w="1159" w:type="dxa"/>
            <w:tcBorders>
              <w:top w:val="nil"/>
              <w:left w:val="nil"/>
              <w:bottom w:val="nil"/>
              <w:right w:val="nil"/>
            </w:tcBorders>
            <w:shd w:val="clear" w:color="auto" w:fill="auto"/>
            <w:noWrap/>
            <w:vAlign w:val="center"/>
            <w:hideMark/>
          </w:tcPr>
          <w:p w14:paraId="407425DD"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166.030</w:t>
            </w:r>
          </w:p>
        </w:tc>
      </w:tr>
      <w:tr w:rsidR="00B73CCC" w:rsidRPr="003A6F5B" w14:paraId="28D3FC02" w14:textId="77777777" w:rsidTr="00A959DB">
        <w:trPr>
          <w:trHeight w:val="341"/>
        </w:trPr>
        <w:tc>
          <w:tcPr>
            <w:tcW w:w="1125" w:type="dxa"/>
            <w:tcBorders>
              <w:top w:val="nil"/>
              <w:left w:val="nil"/>
              <w:bottom w:val="nil"/>
              <w:right w:val="nil"/>
            </w:tcBorders>
            <w:shd w:val="clear" w:color="auto" w:fill="auto"/>
            <w:noWrap/>
            <w:vAlign w:val="center"/>
            <w:hideMark/>
          </w:tcPr>
          <w:p w14:paraId="44EE2D16" w14:textId="77777777" w:rsidR="00B73CCC" w:rsidRPr="003A6F5B" w:rsidRDefault="00B73CCC" w:rsidP="00A959DB">
            <w:pPr>
              <w:widowControl/>
              <w:autoSpaceDE/>
              <w:autoSpaceDN/>
              <w:rPr>
                <w:rFonts w:eastAsia="Times New Roman" w:cs="Calibri"/>
                <w:color w:val="000000"/>
                <w:sz w:val="16"/>
                <w:szCs w:val="16"/>
                <w:lang w:val="en-US"/>
              </w:rPr>
            </w:pPr>
            <w:r w:rsidRPr="003A6F5B">
              <w:rPr>
                <w:rFonts w:eastAsia="Times New Roman" w:cs="Calibri"/>
                <w:color w:val="000000"/>
                <w:sz w:val="16"/>
                <w:szCs w:val="16"/>
              </w:rPr>
              <w:t>EBT</w:t>
            </w:r>
          </w:p>
        </w:tc>
        <w:tc>
          <w:tcPr>
            <w:tcW w:w="1547" w:type="dxa"/>
            <w:tcBorders>
              <w:top w:val="nil"/>
              <w:left w:val="nil"/>
              <w:bottom w:val="nil"/>
              <w:right w:val="nil"/>
            </w:tcBorders>
            <w:shd w:val="clear" w:color="000000" w:fill="C5D9F1"/>
            <w:noWrap/>
            <w:vAlign w:val="center"/>
            <w:hideMark/>
          </w:tcPr>
          <w:p w14:paraId="00448D12"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67.842</w:t>
            </w:r>
          </w:p>
        </w:tc>
        <w:tc>
          <w:tcPr>
            <w:tcW w:w="1159" w:type="dxa"/>
            <w:tcBorders>
              <w:top w:val="nil"/>
              <w:left w:val="nil"/>
              <w:bottom w:val="nil"/>
              <w:right w:val="nil"/>
            </w:tcBorders>
            <w:shd w:val="clear" w:color="auto" w:fill="auto"/>
            <w:noWrap/>
            <w:vAlign w:val="center"/>
            <w:hideMark/>
          </w:tcPr>
          <w:p w14:paraId="60E4AA7A"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15.782</w:t>
            </w:r>
          </w:p>
        </w:tc>
        <w:tc>
          <w:tcPr>
            <w:tcW w:w="280" w:type="dxa"/>
            <w:tcBorders>
              <w:top w:val="nil"/>
              <w:left w:val="nil"/>
              <w:bottom w:val="nil"/>
              <w:right w:val="nil"/>
            </w:tcBorders>
            <w:shd w:val="clear" w:color="auto" w:fill="auto"/>
            <w:noWrap/>
            <w:vAlign w:val="bottom"/>
            <w:hideMark/>
          </w:tcPr>
          <w:p w14:paraId="3F6CFA57"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52CCB2AC"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58.155</w:t>
            </w:r>
          </w:p>
        </w:tc>
        <w:tc>
          <w:tcPr>
            <w:tcW w:w="1159" w:type="dxa"/>
            <w:tcBorders>
              <w:top w:val="nil"/>
              <w:left w:val="nil"/>
              <w:bottom w:val="nil"/>
              <w:right w:val="nil"/>
            </w:tcBorders>
            <w:shd w:val="clear" w:color="auto" w:fill="auto"/>
            <w:noWrap/>
            <w:vAlign w:val="center"/>
            <w:hideMark/>
          </w:tcPr>
          <w:p w14:paraId="11EF4CE0" w14:textId="77777777" w:rsidR="00B73CCC" w:rsidRPr="003A6F5B" w:rsidRDefault="00B73CCC" w:rsidP="00A959DB">
            <w:pPr>
              <w:widowControl/>
              <w:autoSpaceDE/>
              <w:autoSpaceDN/>
              <w:jc w:val="center"/>
              <w:rPr>
                <w:rFonts w:eastAsia="Times New Roman" w:cs="Calibri"/>
                <w:color w:val="000000"/>
                <w:sz w:val="18"/>
                <w:szCs w:val="18"/>
                <w:lang w:val="en-US"/>
              </w:rPr>
            </w:pPr>
            <w:r>
              <w:rPr>
                <w:rFonts w:cs="Calibri"/>
                <w:color w:val="000000"/>
                <w:sz w:val="18"/>
                <w:szCs w:val="18"/>
              </w:rPr>
              <w:t>27.176</w:t>
            </w:r>
          </w:p>
        </w:tc>
        <w:tc>
          <w:tcPr>
            <w:tcW w:w="255" w:type="dxa"/>
            <w:tcBorders>
              <w:top w:val="nil"/>
              <w:left w:val="nil"/>
              <w:bottom w:val="nil"/>
              <w:right w:val="nil"/>
            </w:tcBorders>
            <w:shd w:val="clear" w:color="auto" w:fill="auto"/>
            <w:noWrap/>
            <w:vAlign w:val="bottom"/>
            <w:hideMark/>
          </w:tcPr>
          <w:p w14:paraId="2464DF6E" w14:textId="77777777" w:rsidR="00B73CCC" w:rsidRPr="003A6F5B" w:rsidRDefault="00B73CCC" w:rsidP="00A959DB">
            <w:pPr>
              <w:widowControl/>
              <w:autoSpaceDE/>
              <w:autoSpaceDN/>
              <w:jc w:val="center"/>
              <w:rPr>
                <w:rFonts w:eastAsia="Times New Roman"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4CDC3F53"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125.997</w:t>
            </w:r>
          </w:p>
        </w:tc>
        <w:tc>
          <w:tcPr>
            <w:tcW w:w="1159" w:type="dxa"/>
            <w:tcBorders>
              <w:top w:val="nil"/>
              <w:left w:val="nil"/>
              <w:bottom w:val="nil"/>
              <w:right w:val="nil"/>
            </w:tcBorders>
            <w:shd w:val="clear" w:color="auto" w:fill="auto"/>
            <w:noWrap/>
            <w:vAlign w:val="center"/>
            <w:hideMark/>
          </w:tcPr>
          <w:p w14:paraId="38762E1E" w14:textId="77777777" w:rsidR="00B73CCC" w:rsidRPr="003A6F5B" w:rsidRDefault="00B73CCC" w:rsidP="00A959DB">
            <w:pPr>
              <w:widowControl/>
              <w:autoSpaceDE/>
              <w:autoSpaceDN/>
              <w:jc w:val="center"/>
              <w:rPr>
                <w:rFonts w:eastAsia="Times New Roman" w:cs="Calibri"/>
                <w:color w:val="000000"/>
                <w:sz w:val="16"/>
                <w:szCs w:val="16"/>
                <w:lang w:val="en-US"/>
              </w:rPr>
            </w:pPr>
            <w:r>
              <w:rPr>
                <w:rFonts w:cs="Calibri"/>
                <w:color w:val="000000"/>
                <w:sz w:val="18"/>
                <w:szCs w:val="18"/>
              </w:rPr>
              <w:t>42.958</w:t>
            </w:r>
          </w:p>
        </w:tc>
      </w:tr>
    </w:tbl>
    <w:p w14:paraId="67779AA9" w14:textId="77777777" w:rsidR="00B73CCC" w:rsidRPr="003A6F5B" w:rsidRDefault="00B73CCC" w:rsidP="00B73CCC">
      <w:pPr>
        <w:spacing w:before="3" w:line="170" w:lineRule="exact"/>
        <w:rPr>
          <w:rFonts w:asciiTheme="minorHAnsi" w:hAnsiTheme="minorHAnsi"/>
          <w:sz w:val="16"/>
          <w:szCs w:val="16"/>
          <w:lang w:val="en-US"/>
        </w:rPr>
      </w:pPr>
    </w:p>
    <w:p w14:paraId="72753F9A" w14:textId="77777777" w:rsidR="00B73CCC" w:rsidRPr="003A6F5B" w:rsidRDefault="00B73CCC" w:rsidP="00B73CCC">
      <w:pPr>
        <w:spacing w:before="29"/>
        <w:rPr>
          <w:b/>
          <w:bCs/>
          <w:color w:val="A6A6A6" w:themeColor="background1" w:themeShade="A6"/>
          <w:spacing w:val="7"/>
          <w:sz w:val="24"/>
          <w:szCs w:val="24"/>
        </w:rPr>
        <w:sectPr w:rsidR="00B73CCC" w:rsidRPr="003A6F5B" w:rsidSect="00B73CCC">
          <w:pgSz w:w="11910" w:h="16840"/>
          <w:pgMar w:top="993" w:right="570" w:bottom="1440" w:left="709" w:header="0" w:footer="749" w:gutter="0"/>
          <w:pgBorders w:offsetFrom="page">
            <w:bottom w:val="single" w:sz="4" w:space="24" w:color="auto"/>
          </w:pgBorders>
          <w:cols w:space="720"/>
          <w:docGrid w:linePitch="299"/>
        </w:sectPr>
      </w:pPr>
    </w:p>
    <w:p w14:paraId="1715DA9A" w14:textId="77777777" w:rsidR="00B73CCC" w:rsidRPr="003A6F5B" w:rsidRDefault="00B73CCC" w:rsidP="00B73CCC">
      <w:pPr>
        <w:spacing w:before="29"/>
        <w:rPr>
          <w:b/>
          <w:bCs/>
          <w:color w:val="A6A6A6" w:themeColor="background1" w:themeShade="A6"/>
          <w:spacing w:val="7"/>
          <w:sz w:val="24"/>
          <w:szCs w:val="24"/>
        </w:rPr>
      </w:pPr>
      <w:r w:rsidRPr="003A6F5B">
        <w:rPr>
          <w:b/>
          <w:bCs/>
          <w:color w:val="A6A6A6" w:themeColor="background1" w:themeShade="A6"/>
          <w:spacing w:val="7"/>
          <w:sz w:val="24"/>
          <w:szCs w:val="24"/>
        </w:rPr>
        <w:lastRenderedPageBreak/>
        <w:t>Κλάδος Αλουμινίου</w:t>
      </w:r>
    </w:p>
    <w:p w14:paraId="3C700FE6" w14:textId="77777777" w:rsidR="00B73CCC" w:rsidRPr="003A6F5B" w:rsidRDefault="00B73CCC" w:rsidP="00B73CCC">
      <w:pPr>
        <w:spacing w:before="2" w:line="220" w:lineRule="exact"/>
        <w:rPr>
          <w:sz w:val="24"/>
        </w:rPr>
      </w:pPr>
    </w:p>
    <w:p w14:paraId="321ECF1C" w14:textId="12D8E271" w:rsidR="00B73CCC" w:rsidRPr="003076B3" w:rsidRDefault="00B73CCC" w:rsidP="00B73CCC">
      <w:pPr>
        <w:jc w:val="both"/>
        <w:rPr>
          <w:color w:val="231F20"/>
          <w:sz w:val="20"/>
          <w:szCs w:val="20"/>
          <w:highlight w:val="yellow"/>
        </w:rPr>
      </w:pPr>
      <w:r w:rsidRPr="00E636A0">
        <w:rPr>
          <w:color w:val="231F20"/>
          <w:sz w:val="20"/>
          <w:szCs w:val="20"/>
        </w:rPr>
        <w:t>Ο Κλάδος Αλουμινίου κατάφερε να επιτύχει αύξηση του όγκου πωλήσεων του μέσα σε ένα δυσμενές οικονομικό περιβάλλον</w:t>
      </w:r>
      <w:r>
        <w:rPr>
          <w:color w:val="231F20"/>
          <w:sz w:val="20"/>
          <w:szCs w:val="20"/>
        </w:rPr>
        <w:t>, π</w:t>
      </w:r>
      <w:r w:rsidRPr="00573AA5">
        <w:rPr>
          <w:color w:val="231F20"/>
          <w:sz w:val="20"/>
          <w:szCs w:val="20"/>
        </w:rPr>
        <w:t xml:space="preserve">αρά τις </w:t>
      </w:r>
      <w:r>
        <w:rPr>
          <w:color w:val="231F20"/>
          <w:sz w:val="20"/>
          <w:szCs w:val="20"/>
        </w:rPr>
        <w:t xml:space="preserve">δύσκολες </w:t>
      </w:r>
      <w:r w:rsidRPr="00573AA5">
        <w:rPr>
          <w:color w:val="231F20"/>
          <w:sz w:val="20"/>
          <w:szCs w:val="20"/>
        </w:rPr>
        <w:t>γεωπολιτικές και οικονομικές συνθήκες</w:t>
      </w:r>
      <w:r>
        <w:rPr>
          <w:color w:val="231F20"/>
          <w:sz w:val="20"/>
          <w:szCs w:val="20"/>
        </w:rPr>
        <w:t>,</w:t>
      </w:r>
      <w:r w:rsidRPr="00E636A0">
        <w:rPr>
          <w:color w:val="231F20"/>
          <w:sz w:val="20"/>
          <w:szCs w:val="20"/>
        </w:rPr>
        <w:t xml:space="preserve"> επιβεβαιώνοντας </w:t>
      </w:r>
      <w:r>
        <w:rPr>
          <w:color w:val="231F20"/>
          <w:sz w:val="20"/>
          <w:szCs w:val="20"/>
        </w:rPr>
        <w:t xml:space="preserve">την </w:t>
      </w:r>
      <w:r w:rsidRPr="00E636A0">
        <w:rPr>
          <w:color w:val="231F20"/>
          <w:sz w:val="20"/>
          <w:szCs w:val="20"/>
        </w:rPr>
        <w:t>ανοδική του πορεία</w:t>
      </w:r>
      <w:r>
        <w:rPr>
          <w:color w:val="231F20"/>
          <w:sz w:val="20"/>
          <w:szCs w:val="20"/>
        </w:rPr>
        <w:t xml:space="preserve"> για ένα ακόμη έτος.</w:t>
      </w:r>
      <w:r w:rsidRPr="00E636A0">
        <w:rPr>
          <w:color w:val="231F20"/>
          <w:sz w:val="20"/>
          <w:szCs w:val="20"/>
        </w:rPr>
        <w:t xml:space="preserve"> </w:t>
      </w:r>
      <w:r>
        <w:rPr>
          <w:color w:val="231F20"/>
          <w:sz w:val="20"/>
          <w:szCs w:val="20"/>
        </w:rPr>
        <w:t xml:space="preserve">Η αυξημένη ζήτηση για τα προϊόντα της εύκαμπτης συσκευασίας του Κλάδου, ιδιαίτερα μετά το αναιμικό πρώτο τρίμηνο του 2024, σε συνδυασμό με την αυξημένη παραγωγική δυναμικότητα </w:t>
      </w:r>
      <w:r w:rsidRPr="00E636A0">
        <w:rPr>
          <w:color w:val="231F20"/>
          <w:sz w:val="20"/>
          <w:szCs w:val="20"/>
        </w:rPr>
        <w:t xml:space="preserve">του Τομέα Έλασης Αλουμινίου, </w:t>
      </w:r>
      <w:r>
        <w:rPr>
          <w:color w:val="231F20"/>
          <w:sz w:val="20"/>
          <w:szCs w:val="20"/>
        </w:rPr>
        <w:t>συντέλεσαν στην</w:t>
      </w:r>
      <w:r w:rsidRPr="00E636A0">
        <w:rPr>
          <w:color w:val="231F20"/>
          <w:sz w:val="20"/>
          <w:szCs w:val="20"/>
        </w:rPr>
        <w:t xml:space="preserve"> αύξηση του όγκου πωλήσεων κατά 7,</w:t>
      </w:r>
      <w:r>
        <w:rPr>
          <w:color w:val="231F20"/>
          <w:sz w:val="20"/>
          <w:szCs w:val="20"/>
        </w:rPr>
        <w:t>3</w:t>
      </w:r>
      <w:r w:rsidRPr="00E636A0">
        <w:rPr>
          <w:color w:val="231F20"/>
          <w:sz w:val="20"/>
          <w:szCs w:val="20"/>
        </w:rPr>
        <w:t xml:space="preserve">% (ή κατά </w:t>
      </w:r>
      <w:r>
        <w:rPr>
          <w:color w:val="231F20"/>
          <w:sz w:val="20"/>
          <w:szCs w:val="20"/>
        </w:rPr>
        <w:t>7</w:t>
      </w:r>
      <w:r w:rsidRPr="00E636A0">
        <w:rPr>
          <w:color w:val="231F20"/>
          <w:sz w:val="20"/>
          <w:szCs w:val="20"/>
        </w:rPr>
        <w:t>,</w:t>
      </w:r>
      <w:r>
        <w:rPr>
          <w:color w:val="231F20"/>
          <w:sz w:val="20"/>
          <w:szCs w:val="20"/>
        </w:rPr>
        <w:t>9</w:t>
      </w:r>
      <w:r w:rsidRPr="00E636A0">
        <w:rPr>
          <w:color w:val="231F20"/>
          <w:sz w:val="20"/>
          <w:szCs w:val="20"/>
        </w:rPr>
        <w:t>% εξαιρώντας το αποτέλεσμα της απ</w:t>
      </w:r>
      <w:r>
        <w:rPr>
          <w:color w:val="231F20"/>
          <w:sz w:val="20"/>
          <w:szCs w:val="20"/>
        </w:rPr>
        <w:t>ο</w:t>
      </w:r>
      <w:r w:rsidRPr="00E636A0">
        <w:rPr>
          <w:color w:val="231F20"/>
          <w:sz w:val="20"/>
          <w:szCs w:val="20"/>
        </w:rPr>
        <w:t>-ενοποίησης της ΕΤΕΜ)</w:t>
      </w:r>
      <w:r>
        <w:rPr>
          <w:color w:val="231F20"/>
          <w:sz w:val="20"/>
          <w:szCs w:val="20"/>
        </w:rPr>
        <w:t>.</w:t>
      </w:r>
      <w:r w:rsidRPr="00E636A0">
        <w:rPr>
          <w:color w:val="231F20"/>
          <w:sz w:val="20"/>
          <w:szCs w:val="20"/>
        </w:rPr>
        <w:t xml:space="preserve"> </w:t>
      </w:r>
      <w:r>
        <w:rPr>
          <w:color w:val="231F20"/>
          <w:sz w:val="20"/>
          <w:szCs w:val="20"/>
        </w:rPr>
        <w:t xml:space="preserve">Πιο </w:t>
      </w:r>
      <w:r w:rsidRPr="002118F0">
        <w:rPr>
          <w:color w:val="231F20"/>
          <w:sz w:val="20"/>
          <w:szCs w:val="20"/>
        </w:rPr>
        <w:t>συγκεκριμένα τα προϊόντα που απευθύνονται</w:t>
      </w:r>
      <w:r>
        <w:rPr>
          <w:color w:val="231F20"/>
          <w:sz w:val="20"/>
          <w:szCs w:val="20"/>
        </w:rPr>
        <w:t xml:space="preserve"> στην άκαμπτη και εύκαμπτη</w:t>
      </w:r>
      <w:r w:rsidRPr="002118F0">
        <w:rPr>
          <w:color w:val="231F20"/>
          <w:sz w:val="20"/>
          <w:szCs w:val="20"/>
        </w:rPr>
        <w:t xml:space="preserve"> συσκευασία παρουσίασαν αύξηση 12,9%</w:t>
      </w:r>
      <w:r>
        <w:rPr>
          <w:color w:val="231F20"/>
          <w:sz w:val="20"/>
          <w:szCs w:val="20"/>
        </w:rPr>
        <w:t xml:space="preserve"> ενώ τα προϊόντα που απευθύνονται στον κλάδο των κατασκευών σημείωσαν αύξηση κατά 6,4%. </w:t>
      </w:r>
      <w:r w:rsidRPr="00F5581A">
        <w:rPr>
          <w:color w:val="231F20"/>
          <w:sz w:val="20"/>
          <w:szCs w:val="20"/>
        </w:rPr>
        <w:t xml:space="preserve">Η οργανική κερδοφορία του Κλάδου </w:t>
      </w:r>
      <w:r>
        <w:rPr>
          <w:color w:val="231F20"/>
          <w:sz w:val="20"/>
          <w:szCs w:val="20"/>
        </w:rPr>
        <w:t>(</w:t>
      </w:r>
      <w:r>
        <w:rPr>
          <w:color w:val="231F20"/>
          <w:sz w:val="20"/>
          <w:szCs w:val="20"/>
          <w:lang w:val="en-US"/>
        </w:rPr>
        <w:t>a</w:t>
      </w:r>
      <w:r w:rsidRPr="000B2727">
        <w:rPr>
          <w:color w:val="231F20"/>
          <w:sz w:val="20"/>
          <w:szCs w:val="20"/>
        </w:rPr>
        <w:t>-</w:t>
      </w:r>
      <w:r>
        <w:rPr>
          <w:color w:val="231F20"/>
          <w:sz w:val="20"/>
          <w:szCs w:val="20"/>
          <w:lang w:val="en-US"/>
        </w:rPr>
        <w:t>Ebitda</w:t>
      </w:r>
      <w:r w:rsidRPr="000B2727">
        <w:rPr>
          <w:color w:val="231F20"/>
          <w:sz w:val="20"/>
          <w:szCs w:val="20"/>
        </w:rPr>
        <w:t xml:space="preserve">) </w:t>
      </w:r>
      <w:r w:rsidRPr="00F5581A">
        <w:rPr>
          <w:color w:val="231F20"/>
          <w:sz w:val="20"/>
          <w:szCs w:val="20"/>
        </w:rPr>
        <w:t xml:space="preserve">παρουσίασε μείωση κατά </w:t>
      </w:r>
      <w:r>
        <w:rPr>
          <w:color w:val="231F20"/>
          <w:sz w:val="20"/>
          <w:szCs w:val="20"/>
        </w:rPr>
        <w:t>3</w:t>
      </w:r>
      <w:r w:rsidRPr="00F5581A">
        <w:rPr>
          <w:color w:val="231F20"/>
          <w:sz w:val="20"/>
          <w:szCs w:val="20"/>
        </w:rPr>
        <w:t>,3% στα 1</w:t>
      </w:r>
      <w:r>
        <w:rPr>
          <w:color w:val="231F20"/>
          <w:sz w:val="20"/>
          <w:szCs w:val="20"/>
        </w:rPr>
        <w:t>38</w:t>
      </w:r>
      <w:r w:rsidRPr="00F5581A">
        <w:rPr>
          <w:color w:val="231F20"/>
          <w:sz w:val="20"/>
          <w:szCs w:val="20"/>
        </w:rPr>
        <w:t>,</w:t>
      </w:r>
      <w:r>
        <w:rPr>
          <w:color w:val="231F20"/>
          <w:sz w:val="20"/>
          <w:szCs w:val="20"/>
        </w:rPr>
        <w:t>8</w:t>
      </w:r>
      <w:r w:rsidRPr="00F5581A">
        <w:rPr>
          <w:color w:val="231F20"/>
          <w:sz w:val="20"/>
          <w:szCs w:val="20"/>
        </w:rPr>
        <w:t xml:space="preserve"> </w:t>
      </w:r>
      <w:r>
        <w:rPr>
          <w:color w:val="231F20"/>
          <w:sz w:val="20"/>
          <w:szCs w:val="20"/>
        </w:rPr>
        <w:t>εκατ.</w:t>
      </w:r>
      <w:r w:rsidRPr="00F5581A">
        <w:rPr>
          <w:color w:val="231F20"/>
          <w:sz w:val="20"/>
          <w:szCs w:val="20"/>
        </w:rPr>
        <w:t xml:space="preserve"> ευρώ το 2024 έναντι </w:t>
      </w:r>
      <w:r>
        <w:rPr>
          <w:color w:val="231F20"/>
          <w:sz w:val="20"/>
          <w:szCs w:val="20"/>
        </w:rPr>
        <w:t>143</w:t>
      </w:r>
      <w:r w:rsidRPr="00F5581A">
        <w:rPr>
          <w:color w:val="231F20"/>
          <w:sz w:val="20"/>
          <w:szCs w:val="20"/>
        </w:rPr>
        <w:t>,</w:t>
      </w:r>
      <w:r>
        <w:rPr>
          <w:color w:val="231F20"/>
          <w:sz w:val="20"/>
          <w:szCs w:val="20"/>
        </w:rPr>
        <w:t>5</w:t>
      </w:r>
      <w:r w:rsidRPr="00F5581A">
        <w:rPr>
          <w:color w:val="231F20"/>
          <w:sz w:val="20"/>
          <w:szCs w:val="20"/>
        </w:rPr>
        <w:t xml:space="preserve"> </w:t>
      </w:r>
      <w:r>
        <w:rPr>
          <w:color w:val="231F20"/>
          <w:sz w:val="20"/>
          <w:szCs w:val="20"/>
        </w:rPr>
        <w:t>εκατ.</w:t>
      </w:r>
      <w:r w:rsidRPr="00F5581A">
        <w:rPr>
          <w:color w:val="231F20"/>
          <w:sz w:val="20"/>
          <w:szCs w:val="20"/>
        </w:rPr>
        <w:t xml:space="preserve"> ευρώ την αντίστοιχη </w:t>
      </w:r>
      <w:r>
        <w:rPr>
          <w:color w:val="231F20"/>
          <w:sz w:val="20"/>
          <w:szCs w:val="20"/>
        </w:rPr>
        <w:t xml:space="preserve">χρήση </w:t>
      </w:r>
      <w:r w:rsidRPr="00F5581A">
        <w:rPr>
          <w:color w:val="231F20"/>
          <w:sz w:val="20"/>
          <w:szCs w:val="20"/>
        </w:rPr>
        <w:t>το</w:t>
      </w:r>
      <w:r>
        <w:rPr>
          <w:color w:val="231F20"/>
          <w:sz w:val="20"/>
          <w:szCs w:val="20"/>
        </w:rPr>
        <w:t>υ</w:t>
      </w:r>
      <w:r w:rsidRPr="00F5581A">
        <w:rPr>
          <w:color w:val="231F20"/>
          <w:sz w:val="20"/>
          <w:szCs w:val="20"/>
        </w:rPr>
        <w:t xml:space="preserve"> 2023 αποδιδόμενο στις χαμηλές τιμές κατεργασίας</w:t>
      </w:r>
      <w:r>
        <w:rPr>
          <w:color w:val="231F20"/>
          <w:sz w:val="20"/>
          <w:szCs w:val="20"/>
        </w:rPr>
        <w:t xml:space="preserve"> και</w:t>
      </w:r>
      <w:r w:rsidRPr="00F5581A">
        <w:rPr>
          <w:color w:val="231F20"/>
          <w:sz w:val="20"/>
          <w:szCs w:val="20"/>
        </w:rPr>
        <w:t xml:space="preserve"> το μίγμα πωλήσεων</w:t>
      </w:r>
      <w:r>
        <w:rPr>
          <w:color w:val="231F20"/>
          <w:sz w:val="20"/>
          <w:szCs w:val="20"/>
        </w:rPr>
        <w:t xml:space="preserve">, που μερικώς αντισταθμίστηκαν από χαμηλότερο κόστος παραγωγής. </w:t>
      </w:r>
      <w:r w:rsidRPr="00F5581A">
        <w:rPr>
          <w:color w:val="231F20"/>
          <w:sz w:val="20"/>
          <w:szCs w:val="20"/>
        </w:rPr>
        <w:t xml:space="preserve">Τα κέρδη προ φόρων </w:t>
      </w:r>
      <w:r>
        <w:rPr>
          <w:color w:val="231F20"/>
          <w:sz w:val="20"/>
          <w:szCs w:val="20"/>
        </w:rPr>
        <w:t xml:space="preserve">και τόκων </w:t>
      </w:r>
      <w:r w:rsidRPr="00F5581A">
        <w:rPr>
          <w:color w:val="231F20"/>
          <w:sz w:val="20"/>
          <w:szCs w:val="20"/>
        </w:rPr>
        <w:t xml:space="preserve">του Κλάδου ανήλθαν </w:t>
      </w:r>
      <w:r w:rsidRPr="00726F14">
        <w:rPr>
          <w:color w:val="231F20"/>
          <w:sz w:val="20"/>
          <w:szCs w:val="20"/>
        </w:rPr>
        <w:t xml:space="preserve">σε </w:t>
      </w:r>
      <w:r w:rsidR="00A81698">
        <w:rPr>
          <w:color w:val="231F20"/>
          <w:sz w:val="20"/>
          <w:szCs w:val="20"/>
        </w:rPr>
        <w:t>93</w:t>
      </w:r>
      <w:r w:rsidRPr="00726F14">
        <w:rPr>
          <w:color w:val="231F20"/>
          <w:sz w:val="20"/>
          <w:szCs w:val="20"/>
        </w:rPr>
        <w:t>,</w:t>
      </w:r>
      <w:r w:rsidR="00A81698">
        <w:rPr>
          <w:color w:val="231F20"/>
          <w:sz w:val="20"/>
          <w:szCs w:val="20"/>
        </w:rPr>
        <w:t>4</w:t>
      </w:r>
      <w:r w:rsidRPr="00726F14">
        <w:rPr>
          <w:color w:val="231F20"/>
          <w:sz w:val="20"/>
          <w:szCs w:val="20"/>
        </w:rPr>
        <w:t xml:space="preserve"> εκατ</w:t>
      </w:r>
      <w:r>
        <w:rPr>
          <w:color w:val="231F20"/>
          <w:sz w:val="20"/>
          <w:szCs w:val="20"/>
        </w:rPr>
        <w:t>.</w:t>
      </w:r>
      <w:r w:rsidRPr="00F5581A">
        <w:rPr>
          <w:color w:val="231F20"/>
          <w:sz w:val="20"/>
          <w:szCs w:val="20"/>
        </w:rPr>
        <w:t xml:space="preserve"> ευρώ, έναντι κερ</w:t>
      </w:r>
      <w:r w:rsidRPr="00726F14">
        <w:rPr>
          <w:color w:val="231F20"/>
          <w:sz w:val="20"/>
          <w:szCs w:val="20"/>
        </w:rPr>
        <w:t xml:space="preserve">δών </w:t>
      </w:r>
      <w:r w:rsidR="00A81698">
        <w:rPr>
          <w:color w:val="231F20"/>
          <w:sz w:val="20"/>
          <w:szCs w:val="20"/>
        </w:rPr>
        <w:t>45</w:t>
      </w:r>
      <w:r w:rsidRPr="00726F14">
        <w:rPr>
          <w:color w:val="231F20"/>
          <w:sz w:val="20"/>
          <w:szCs w:val="20"/>
        </w:rPr>
        <w:t>,8 εκατ</w:t>
      </w:r>
      <w:r>
        <w:rPr>
          <w:color w:val="231F20"/>
          <w:sz w:val="20"/>
          <w:szCs w:val="20"/>
        </w:rPr>
        <w:t>.</w:t>
      </w:r>
      <w:r w:rsidRPr="00F5581A">
        <w:rPr>
          <w:color w:val="231F20"/>
          <w:sz w:val="20"/>
          <w:szCs w:val="20"/>
        </w:rPr>
        <w:t xml:space="preserve"> ευρώ </w:t>
      </w:r>
      <w:r>
        <w:rPr>
          <w:color w:val="231F20"/>
          <w:sz w:val="20"/>
          <w:szCs w:val="20"/>
        </w:rPr>
        <w:t xml:space="preserve">το </w:t>
      </w:r>
      <w:r w:rsidRPr="00F5581A">
        <w:rPr>
          <w:color w:val="231F20"/>
          <w:sz w:val="20"/>
          <w:szCs w:val="20"/>
        </w:rPr>
        <w:t>2023</w:t>
      </w:r>
      <w:r>
        <w:rPr>
          <w:color w:val="231F20"/>
          <w:sz w:val="20"/>
          <w:szCs w:val="20"/>
        </w:rPr>
        <w:t>,</w:t>
      </w:r>
      <w:r w:rsidRPr="00F5581A">
        <w:rPr>
          <w:color w:val="231F20"/>
          <w:sz w:val="20"/>
          <w:szCs w:val="20"/>
        </w:rPr>
        <w:t xml:space="preserve"> </w:t>
      </w:r>
      <w:r>
        <w:rPr>
          <w:color w:val="231F20"/>
          <w:sz w:val="20"/>
          <w:szCs w:val="20"/>
        </w:rPr>
        <w:t>επηρεαζόμενα κυρίως από τα</w:t>
      </w:r>
      <w:r w:rsidRPr="00F5581A">
        <w:rPr>
          <w:color w:val="231F20"/>
          <w:sz w:val="20"/>
          <w:szCs w:val="20"/>
        </w:rPr>
        <w:t xml:space="preserve"> αποτελέσματα μετάλλου </w:t>
      </w:r>
      <w:r>
        <w:rPr>
          <w:color w:val="231F20"/>
          <w:sz w:val="20"/>
          <w:szCs w:val="20"/>
        </w:rPr>
        <w:t>που</w:t>
      </w:r>
      <w:r w:rsidRPr="00F5581A">
        <w:rPr>
          <w:color w:val="231F20"/>
          <w:sz w:val="20"/>
          <w:szCs w:val="20"/>
        </w:rPr>
        <w:t xml:space="preserve"> </w:t>
      </w:r>
      <w:r>
        <w:rPr>
          <w:color w:val="231F20"/>
          <w:sz w:val="20"/>
          <w:szCs w:val="20"/>
        </w:rPr>
        <w:t>διαμορφώθηκαν</w:t>
      </w:r>
      <w:r w:rsidRPr="00F5581A">
        <w:rPr>
          <w:color w:val="231F20"/>
          <w:sz w:val="20"/>
          <w:szCs w:val="20"/>
        </w:rPr>
        <w:t xml:space="preserve"> σε ζημία </w:t>
      </w:r>
      <w:r>
        <w:rPr>
          <w:color w:val="231F20"/>
          <w:sz w:val="20"/>
          <w:szCs w:val="20"/>
        </w:rPr>
        <w:t>5</w:t>
      </w:r>
      <w:r w:rsidRPr="00F5581A">
        <w:rPr>
          <w:color w:val="231F20"/>
          <w:sz w:val="20"/>
          <w:szCs w:val="20"/>
        </w:rPr>
        <w:t>,</w:t>
      </w:r>
      <w:r>
        <w:rPr>
          <w:color w:val="231F20"/>
          <w:sz w:val="20"/>
          <w:szCs w:val="20"/>
        </w:rPr>
        <w:t>2</w:t>
      </w:r>
      <w:r w:rsidRPr="00F5581A">
        <w:rPr>
          <w:color w:val="231F20"/>
          <w:sz w:val="20"/>
          <w:szCs w:val="20"/>
        </w:rPr>
        <w:t xml:space="preserve"> </w:t>
      </w:r>
      <w:r>
        <w:rPr>
          <w:color w:val="231F20"/>
          <w:sz w:val="20"/>
          <w:szCs w:val="20"/>
        </w:rPr>
        <w:t>εκατ.</w:t>
      </w:r>
      <w:r w:rsidRPr="00F5581A">
        <w:rPr>
          <w:color w:val="231F20"/>
          <w:sz w:val="20"/>
          <w:szCs w:val="20"/>
        </w:rPr>
        <w:t xml:space="preserve"> ευρώ έναντι ζημίας </w:t>
      </w:r>
      <w:r>
        <w:rPr>
          <w:color w:val="231F20"/>
          <w:sz w:val="20"/>
          <w:szCs w:val="20"/>
        </w:rPr>
        <w:t>36</w:t>
      </w:r>
      <w:r w:rsidRPr="00F5581A">
        <w:rPr>
          <w:color w:val="231F20"/>
          <w:sz w:val="20"/>
          <w:szCs w:val="20"/>
        </w:rPr>
        <w:t>,</w:t>
      </w:r>
      <w:r>
        <w:rPr>
          <w:color w:val="231F20"/>
          <w:sz w:val="20"/>
          <w:szCs w:val="20"/>
        </w:rPr>
        <w:t>0</w:t>
      </w:r>
      <w:r w:rsidRPr="00F5581A">
        <w:rPr>
          <w:color w:val="231F20"/>
          <w:sz w:val="20"/>
          <w:szCs w:val="20"/>
        </w:rPr>
        <w:t xml:space="preserve"> </w:t>
      </w:r>
      <w:r>
        <w:rPr>
          <w:color w:val="231F20"/>
          <w:sz w:val="20"/>
          <w:szCs w:val="20"/>
        </w:rPr>
        <w:t>εκατ.</w:t>
      </w:r>
      <w:r w:rsidRPr="00F5581A">
        <w:rPr>
          <w:color w:val="231F20"/>
          <w:sz w:val="20"/>
          <w:szCs w:val="20"/>
        </w:rPr>
        <w:t xml:space="preserve"> ευρώ την περσινή </w:t>
      </w:r>
      <w:r>
        <w:rPr>
          <w:color w:val="231F20"/>
          <w:sz w:val="20"/>
          <w:szCs w:val="20"/>
        </w:rPr>
        <w:t xml:space="preserve">χρήση. </w:t>
      </w:r>
    </w:p>
    <w:p w14:paraId="62FC35DE" w14:textId="77777777" w:rsidR="00B73CCC" w:rsidRPr="00ED0542" w:rsidRDefault="00B73CCC" w:rsidP="00B73CCC">
      <w:pPr>
        <w:jc w:val="both"/>
        <w:rPr>
          <w:color w:val="231F20"/>
          <w:sz w:val="20"/>
          <w:szCs w:val="20"/>
          <w:highlight w:val="yellow"/>
        </w:rPr>
      </w:pPr>
    </w:p>
    <w:p w14:paraId="00AB778B" w14:textId="77777777" w:rsidR="00B73CCC" w:rsidRPr="003A6F5B" w:rsidRDefault="00B73CCC" w:rsidP="00B73CCC">
      <w:pPr>
        <w:jc w:val="both"/>
        <w:rPr>
          <w:color w:val="231F20"/>
          <w:sz w:val="20"/>
          <w:szCs w:val="20"/>
        </w:rPr>
      </w:pPr>
      <w:r w:rsidRPr="00C5311F">
        <w:rPr>
          <w:color w:val="231F20"/>
          <w:sz w:val="20"/>
          <w:szCs w:val="20"/>
        </w:rPr>
        <w:t>Οι μειωμένες επενδύσεις 51,</w:t>
      </w:r>
      <w:r w:rsidRPr="005B3668">
        <w:rPr>
          <w:color w:val="231F20"/>
          <w:sz w:val="20"/>
          <w:szCs w:val="20"/>
        </w:rPr>
        <w:t>4</w:t>
      </w:r>
      <w:r w:rsidRPr="00C5311F">
        <w:rPr>
          <w:color w:val="231F20"/>
          <w:sz w:val="20"/>
          <w:szCs w:val="20"/>
        </w:rPr>
        <w:t xml:space="preserve"> </w:t>
      </w:r>
      <w:r>
        <w:rPr>
          <w:color w:val="231F20"/>
          <w:sz w:val="20"/>
          <w:szCs w:val="20"/>
        </w:rPr>
        <w:t>εκατ.</w:t>
      </w:r>
      <w:r w:rsidRPr="00C5311F">
        <w:rPr>
          <w:color w:val="231F20"/>
          <w:sz w:val="20"/>
          <w:szCs w:val="20"/>
        </w:rPr>
        <w:t xml:space="preserve"> ευρώ (</w:t>
      </w:r>
      <w:r w:rsidRPr="004946F4">
        <w:rPr>
          <w:color w:val="231F20"/>
          <w:sz w:val="20"/>
          <w:szCs w:val="20"/>
        </w:rPr>
        <w:t xml:space="preserve">από 69,2 </w:t>
      </w:r>
      <w:r>
        <w:rPr>
          <w:color w:val="231F20"/>
          <w:sz w:val="20"/>
          <w:szCs w:val="20"/>
        </w:rPr>
        <w:t>εκατ.</w:t>
      </w:r>
      <w:r w:rsidRPr="004946F4">
        <w:rPr>
          <w:color w:val="231F20"/>
          <w:sz w:val="20"/>
          <w:szCs w:val="20"/>
        </w:rPr>
        <w:t xml:space="preserve"> ευρώ</w:t>
      </w:r>
      <w:r w:rsidRPr="00C5311F">
        <w:rPr>
          <w:color w:val="231F20"/>
          <w:sz w:val="20"/>
          <w:szCs w:val="20"/>
        </w:rPr>
        <w:t xml:space="preserve"> </w:t>
      </w:r>
      <w:r>
        <w:rPr>
          <w:color w:val="231F20"/>
          <w:sz w:val="20"/>
          <w:szCs w:val="20"/>
        </w:rPr>
        <w:t>το</w:t>
      </w:r>
      <w:r w:rsidRPr="00C5311F">
        <w:rPr>
          <w:color w:val="231F20"/>
          <w:sz w:val="20"/>
          <w:szCs w:val="20"/>
        </w:rPr>
        <w:t xml:space="preserve"> 2023), η σημαντική βελτίωση του κεφαλαίου κίνησης κατά </w:t>
      </w:r>
      <w:r>
        <w:rPr>
          <w:color w:val="231F20"/>
          <w:sz w:val="20"/>
          <w:szCs w:val="20"/>
        </w:rPr>
        <w:t>79</w:t>
      </w:r>
      <w:r w:rsidRPr="00C5311F">
        <w:rPr>
          <w:color w:val="231F20"/>
          <w:sz w:val="20"/>
          <w:szCs w:val="20"/>
        </w:rPr>
        <w:t>,</w:t>
      </w:r>
      <w:r>
        <w:rPr>
          <w:color w:val="231F20"/>
          <w:sz w:val="20"/>
          <w:szCs w:val="20"/>
        </w:rPr>
        <w:t>0</w:t>
      </w:r>
      <w:r w:rsidRPr="00C5311F">
        <w:rPr>
          <w:color w:val="231F20"/>
          <w:sz w:val="20"/>
          <w:szCs w:val="20"/>
        </w:rPr>
        <w:t xml:space="preserve"> </w:t>
      </w:r>
      <w:r>
        <w:rPr>
          <w:color w:val="231F20"/>
          <w:sz w:val="20"/>
          <w:szCs w:val="20"/>
        </w:rPr>
        <w:t>εκατ.</w:t>
      </w:r>
      <w:r w:rsidRPr="00C5311F">
        <w:rPr>
          <w:color w:val="231F20"/>
          <w:sz w:val="20"/>
          <w:szCs w:val="20"/>
        </w:rPr>
        <w:t xml:space="preserve"> ευρώ, σε συνδυασμό με την ισχυρή λειτουργική κερδοφορία, οδήγησαν τις ελεύθερες ταμειακές ροές </w:t>
      </w:r>
      <w:r>
        <w:rPr>
          <w:color w:val="231F20"/>
          <w:sz w:val="20"/>
          <w:szCs w:val="20"/>
        </w:rPr>
        <w:t>στα</w:t>
      </w:r>
      <w:r w:rsidRPr="00C5311F">
        <w:rPr>
          <w:color w:val="231F20"/>
          <w:sz w:val="20"/>
          <w:szCs w:val="20"/>
        </w:rPr>
        <w:t xml:space="preserve"> 1</w:t>
      </w:r>
      <w:r>
        <w:rPr>
          <w:color w:val="231F20"/>
          <w:sz w:val="20"/>
          <w:szCs w:val="20"/>
        </w:rPr>
        <w:t>67,4 εκατ.</w:t>
      </w:r>
      <w:r w:rsidRPr="00C5311F">
        <w:rPr>
          <w:color w:val="231F20"/>
          <w:sz w:val="20"/>
          <w:szCs w:val="20"/>
        </w:rPr>
        <w:t xml:space="preserve"> ευρώ.</w:t>
      </w:r>
    </w:p>
    <w:p w14:paraId="4D15C691" w14:textId="77777777" w:rsidR="00B73CCC" w:rsidRPr="003A6F5B" w:rsidRDefault="00B73CCC" w:rsidP="00B73CCC">
      <w:pPr>
        <w:tabs>
          <w:tab w:val="left" w:pos="2760"/>
        </w:tabs>
        <w:jc w:val="both"/>
        <w:rPr>
          <w:rFonts w:asciiTheme="minorHAnsi" w:hAnsiTheme="minorHAnsi"/>
          <w:color w:val="231F20"/>
          <w:sz w:val="20"/>
          <w:szCs w:val="18"/>
        </w:rPr>
      </w:pPr>
      <w:r w:rsidRPr="003A6F5B">
        <w:rPr>
          <w:rFonts w:asciiTheme="minorHAnsi" w:hAnsiTheme="minorHAnsi"/>
          <w:color w:val="231F20"/>
          <w:sz w:val="20"/>
          <w:szCs w:val="18"/>
        </w:rPr>
        <w:tab/>
      </w:r>
    </w:p>
    <w:p w14:paraId="576F95EC" w14:textId="77777777" w:rsidR="00B73CCC" w:rsidRPr="003A6F5B" w:rsidRDefault="00B73CCC" w:rsidP="00B73CCC">
      <w:pPr>
        <w:spacing w:before="29"/>
        <w:ind w:right="-20"/>
        <w:rPr>
          <w:b/>
          <w:bCs/>
          <w:color w:val="A6A6A6" w:themeColor="background1" w:themeShade="A6"/>
          <w:spacing w:val="7"/>
          <w:sz w:val="24"/>
          <w:szCs w:val="24"/>
        </w:rPr>
      </w:pPr>
      <w:r w:rsidRPr="003A6F5B">
        <w:rPr>
          <w:b/>
          <w:bCs/>
          <w:color w:val="A6A6A6" w:themeColor="background1" w:themeShade="A6"/>
          <w:spacing w:val="7"/>
          <w:sz w:val="24"/>
          <w:szCs w:val="24"/>
        </w:rPr>
        <w:t>Κλάδος Χαλκού</w:t>
      </w:r>
    </w:p>
    <w:p w14:paraId="6ED75D97" w14:textId="77777777" w:rsidR="00B73CCC" w:rsidRPr="003A6F5B" w:rsidRDefault="00B73CCC" w:rsidP="00B73CCC">
      <w:pPr>
        <w:ind w:right="426"/>
        <w:jc w:val="both"/>
        <w:rPr>
          <w:color w:val="231F20"/>
          <w:sz w:val="18"/>
          <w:szCs w:val="18"/>
        </w:rPr>
      </w:pPr>
    </w:p>
    <w:p w14:paraId="572E6869" w14:textId="77777777" w:rsidR="00B73CCC" w:rsidRDefault="00B73CCC" w:rsidP="00B73CCC">
      <w:pPr>
        <w:jc w:val="both"/>
        <w:rPr>
          <w:color w:val="231F20"/>
          <w:sz w:val="20"/>
          <w:szCs w:val="20"/>
        </w:rPr>
      </w:pPr>
      <w:r w:rsidRPr="003A6F5B">
        <w:rPr>
          <w:color w:val="231F20"/>
          <w:sz w:val="20"/>
          <w:szCs w:val="20"/>
        </w:rPr>
        <w:t>Ο κύκλος εργασιών του Κλάδου Χαλκού διαμορφώθηκε στα 1.</w:t>
      </w:r>
      <w:r>
        <w:rPr>
          <w:color w:val="231F20"/>
          <w:sz w:val="20"/>
          <w:szCs w:val="20"/>
        </w:rPr>
        <w:t>707</w:t>
      </w:r>
      <w:r w:rsidRPr="003A6F5B">
        <w:rPr>
          <w:color w:val="231F20"/>
          <w:sz w:val="20"/>
          <w:szCs w:val="20"/>
        </w:rPr>
        <w:t>,</w:t>
      </w:r>
      <w:r>
        <w:rPr>
          <w:color w:val="231F20"/>
          <w:sz w:val="20"/>
          <w:szCs w:val="20"/>
        </w:rPr>
        <w:t>5</w:t>
      </w:r>
      <w:r w:rsidRPr="003A6F5B">
        <w:rPr>
          <w:color w:val="231F20"/>
          <w:sz w:val="20"/>
          <w:szCs w:val="20"/>
        </w:rPr>
        <w:t xml:space="preserve"> </w:t>
      </w:r>
      <w:r>
        <w:rPr>
          <w:color w:val="231F20"/>
          <w:sz w:val="20"/>
          <w:szCs w:val="20"/>
        </w:rPr>
        <w:t>εκατ.</w:t>
      </w:r>
      <w:r w:rsidRPr="003A6F5B">
        <w:rPr>
          <w:color w:val="231F20"/>
          <w:sz w:val="20"/>
          <w:szCs w:val="20"/>
        </w:rPr>
        <w:t xml:space="preserve"> ευρώ έναντι 1.</w:t>
      </w:r>
      <w:r>
        <w:rPr>
          <w:color w:val="231F20"/>
          <w:sz w:val="20"/>
          <w:szCs w:val="20"/>
        </w:rPr>
        <w:t>668</w:t>
      </w:r>
      <w:r w:rsidRPr="003A6F5B">
        <w:rPr>
          <w:color w:val="231F20"/>
          <w:sz w:val="20"/>
          <w:szCs w:val="20"/>
        </w:rPr>
        <w:t>,</w:t>
      </w:r>
      <w:r>
        <w:rPr>
          <w:color w:val="231F20"/>
          <w:sz w:val="20"/>
          <w:szCs w:val="20"/>
        </w:rPr>
        <w:t>9</w:t>
      </w:r>
      <w:r w:rsidRPr="003A6F5B">
        <w:rPr>
          <w:color w:val="231F20"/>
          <w:sz w:val="20"/>
          <w:szCs w:val="20"/>
        </w:rPr>
        <w:t xml:space="preserve"> </w:t>
      </w:r>
      <w:r>
        <w:rPr>
          <w:color w:val="231F20"/>
          <w:sz w:val="20"/>
          <w:szCs w:val="20"/>
        </w:rPr>
        <w:t>εκατ.</w:t>
      </w:r>
      <w:r w:rsidRPr="003A6F5B">
        <w:rPr>
          <w:color w:val="231F20"/>
          <w:sz w:val="20"/>
          <w:szCs w:val="20"/>
        </w:rPr>
        <w:t xml:space="preserve"> ευρώ το 202</w:t>
      </w:r>
      <w:r>
        <w:rPr>
          <w:color w:val="231F20"/>
          <w:sz w:val="20"/>
          <w:szCs w:val="20"/>
        </w:rPr>
        <w:t>4</w:t>
      </w:r>
      <w:r w:rsidRPr="003A6F5B">
        <w:rPr>
          <w:color w:val="231F20"/>
          <w:sz w:val="20"/>
          <w:szCs w:val="20"/>
        </w:rPr>
        <w:t xml:space="preserve">, </w:t>
      </w:r>
      <w:r>
        <w:rPr>
          <w:color w:val="231F20"/>
          <w:sz w:val="20"/>
          <w:szCs w:val="20"/>
        </w:rPr>
        <w:t>αυξημένος</w:t>
      </w:r>
      <w:r w:rsidRPr="003A6F5B">
        <w:rPr>
          <w:color w:val="231F20"/>
          <w:sz w:val="20"/>
          <w:szCs w:val="20"/>
        </w:rPr>
        <w:t xml:space="preserve"> κατά </w:t>
      </w:r>
      <w:r>
        <w:rPr>
          <w:color w:val="231F20"/>
          <w:sz w:val="20"/>
          <w:szCs w:val="20"/>
        </w:rPr>
        <w:t>2</w:t>
      </w:r>
      <w:r w:rsidRPr="003A6F5B">
        <w:rPr>
          <w:color w:val="231F20"/>
          <w:sz w:val="20"/>
          <w:szCs w:val="20"/>
        </w:rPr>
        <w:t>,</w:t>
      </w:r>
      <w:r>
        <w:rPr>
          <w:color w:val="231F20"/>
          <w:sz w:val="20"/>
          <w:szCs w:val="20"/>
        </w:rPr>
        <w:t>3</w:t>
      </w:r>
      <w:r w:rsidRPr="003A6F5B">
        <w:rPr>
          <w:color w:val="231F20"/>
          <w:sz w:val="20"/>
          <w:szCs w:val="20"/>
        </w:rPr>
        <w:t>%</w:t>
      </w:r>
      <w:r>
        <w:rPr>
          <w:color w:val="231F20"/>
          <w:sz w:val="20"/>
          <w:szCs w:val="20"/>
        </w:rPr>
        <w:t xml:space="preserve">, ενισχυμένος από τις υψηλότερες τιμές του </w:t>
      </w:r>
      <w:r>
        <w:rPr>
          <w:color w:val="231F20"/>
          <w:sz w:val="20"/>
          <w:szCs w:val="20"/>
          <w:lang w:val="en-US"/>
        </w:rPr>
        <w:t>LME</w:t>
      </w:r>
      <w:r w:rsidRPr="003A6F5B">
        <w:rPr>
          <w:color w:val="231F20"/>
          <w:sz w:val="20"/>
          <w:szCs w:val="20"/>
        </w:rPr>
        <w:t xml:space="preserve">. </w:t>
      </w:r>
      <w:r>
        <w:rPr>
          <w:color w:val="231F20"/>
          <w:sz w:val="20"/>
          <w:szCs w:val="20"/>
        </w:rPr>
        <w:t>Ο όγκος πωλήσεων παρουσίασε μείωση κατά 2,4%, επηρεαζόμενος από τη μειωμένη ζήτηση στο κλάδο των κατασκευών και των βιομηχανικών εφαρμογών. Ο</w:t>
      </w:r>
      <w:r w:rsidRPr="003A6F5B">
        <w:rPr>
          <w:color w:val="231F20"/>
          <w:sz w:val="20"/>
          <w:szCs w:val="20"/>
        </w:rPr>
        <w:t xml:space="preserve"> τομέας σωλήνων χαλκού παρουσίασε μείωση κατά 4,</w:t>
      </w:r>
      <w:r w:rsidRPr="00190D52">
        <w:rPr>
          <w:color w:val="231F20"/>
          <w:sz w:val="20"/>
          <w:szCs w:val="20"/>
        </w:rPr>
        <w:t>5</w:t>
      </w:r>
      <w:r w:rsidRPr="003A6F5B">
        <w:rPr>
          <w:color w:val="231F20"/>
          <w:sz w:val="20"/>
          <w:szCs w:val="20"/>
        </w:rPr>
        <w:t xml:space="preserve">% ενώ ο τομέας διέλασης κραμάτων χαλκού </w:t>
      </w:r>
      <w:r>
        <w:rPr>
          <w:color w:val="231F20"/>
          <w:sz w:val="20"/>
          <w:szCs w:val="20"/>
        </w:rPr>
        <w:t>αύξηση</w:t>
      </w:r>
      <w:r w:rsidRPr="003A6F5B">
        <w:rPr>
          <w:color w:val="231F20"/>
          <w:sz w:val="20"/>
          <w:szCs w:val="20"/>
        </w:rPr>
        <w:t xml:space="preserve"> κατά </w:t>
      </w:r>
      <w:r w:rsidRPr="00190D52">
        <w:rPr>
          <w:color w:val="231F20"/>
          <w:sz w:val="20"/>
          <w:szCs w:val="20"/>
        </w:rPr>
        <w:t>6</w:t>
      </w:r>
      <w:r w:rsidRPr="003A6F5B">
        <w:rPr>
          <w:color w:val="231F20"/>
          <w:sz w:val="20"/>
          <w:szCs w:val="20"/>
        </w:rPr>
        <w:t>,</w:t>
      </w:r>
      <w:r w:rsidRPr="00666BEC">
        <w:rPr>
          <w:color w:val="231F20"/>
          <w:sz w:val="20"/>
          <w:szCs w:val="20"/>
        </w:rPr>
        <w:t>8</w:t>
      </w:r>
      <w:r w:rsidRPr="003A6F5B">
        <w:rPr>
          <w:color w:val="231F20"/>
          <w:sz w:val="20"/>
          <w:szCs w:val="20"/>
        </w:rPr>
        <w:t>%. Μείωση παρουσίασ</w:t>
      </w:r>
      <w:r>
        <w:rPr>
          <w:color w:val="231F20"/>
          <w:sz w:val="20"/>
          <w:szCs w:val="20"/>
        </w:rPr>
        <w:t>ε</w:t>
      </w:r>
      <w:r w:rsidRPr="003A6F5B">
        <w:rPr>
          <w:color w:val="231F20"/>
          <w:sz w:val="20"/>
          <w:szCs w:val="20"/>
        </w:rPr>
        <w:t xml:space="preserve"> ο </w:t>
      </w:r>
      <w:r>
        <w:rPr>
          <w:color w:val="231F20"/>
          <w:sz w:val="20"/>
          <w:szCs w:val="20"/>
        </w:rPr>
        <w:t>όγκος πωλήσεων</w:t>
      </w:r>
      <w:r w:rsidRPr="003A6F5B">
        <w:rPr>
          <w:color w:val="231F20"/>
          <w:sz w:val="20"/>
          <w:szCs w:val="20"/>
        </w:rPr>
        <w:t xml:space="preserve"> της θυγατρικής </w:t>
      </w:r>
      <w:r w:rsidRPr="003A6F5B">
        <w:rPr>
          <w:color w:val="231F20"/>
          <w:sz w:val="20"/>
          <w:szCs w:val="20"/>
          <w:lang w:val="en-US"/>
        </w:rPr>
        <w:t>Sofia</w:t>
      </w:r>
      <w:r w:rsidRPr="003A6F5B">
        <w:rPr>
          <w:color w:val="231F20"/>
          <w:sz w:val="20"/>
          <w:szCs w:val="20"/>
        </w:rPr>
        <w:t xml:space="preserve"> </w:t>
      </w:r>
      <w:r w:rsidRPr="003A6F5B">
        <w:rPr>
          <w:color w:val="231F20"/>
          <w:sz w:val="20"/>
          <w:szCs w:val="20"/>
          <w:lang w:val="en-US"/>
        </w:rPr>
        <w:t>Med</w:t>
      </w:r>
      <w:r w:rsidRPr="003A6F5B">
        <w:rPr>
          <w:color w:val="231F20"/>
          <w:sz w:val="20"/>
          <w:szCs w:val="20"/>
        </w:rPr>
        <w:t xml:space="preserve"> για τα προϊόντα έλασης κατά 2,</w:t>
      </w:r>
      <w:r w:rsidRPr="00666BEC">
        <w:rPr>
          <w:color w:val="231F20"/>
          <w:sz w:val="20"/>
          <w:szCs w:val="20"/>
        </w:rPr>
        <w:t>4</w:t>
      </w:r>
      <w:r w:rsidRPr="003A6F5B">
        <w:rPr>
          <w:color w:val="231F20"/>
          <w:sz w:val="20"/>
          <w:szCs w:val="20"/>
        </w:rPr>
        <w:t>%, ως αποτέλεσμα κυρίως του προϊοντικού μίγματος</w:t>
      </w:r>
      <w:r>
        <w:rPr>
          <w:color w:val="231F20"/>
          <w:sz w:val="20"/>
          <w:szCs w:val="20"/>
        </w:rPr>
        <w:t>,</w:t>
      </w:r>
      <w:r w:rsidRPr="003A6F5B">
        <w:rPr>
          <w:color w:val="231F20"/>
          <w:sz w:val="20"/>
          <w:szCs w:val="20"/>
        </w:rPr>
        <w:t xml:space="preserve"> με </w:t>
      </w:r>
      <w:r>
        <w:rPr>
          <w:color w:val="231F20"/>
          <w:sz w:val="20"/>
          <w:szCs w:val="20"/>
        </w:rPr>
        <w:t xml:space="preserve">λεπτότερα </w:t>
      </w:r>
      <w:r w:rsidRPr="003A6F5B">
        <w:rPr>
          <w:color w:val="231F20"/>
          <w:sz w:val="20"/>
          <w:szCs w:val="20"/>
        </w:rPr>
        <w:t>υψηλότερης προστιθέμενης αξίας προϊόντα, ενώ τα προϊόντα διέλασης χαλκού παράμειναν στα ίδια επίπεδα.</w:t>
      </w:r>
      <w:r w:rsidRPr="00EB15CC">
        <w:rPr>
          <w:color w:val="231F20"/>
          <w:sz w:val="20"/>
          <w:szCs w:val="20"/>
        </w:rPr>
        <w:t xml:space="preserve"> </w:t>
      </w:r>
      <w:r w:rsidRPr="003A6F5B">
        <w:rPr>
          <w:color w:val="231F20"/>
          <w:sz w:val="20"/>
          <w:szCs w:val="20"/>
        </w:rPr>
        <w:t>Τα αναπροσαρμοσμένα ενοποιημένα κέρδη πριν από φόρους, τόκους, αποσβέσεις, αποτέλεσμα μετάλλου και λοιπά έκτακτα έσοδα και έξοδα (a-EBITDA)</w:t>
      </w:r>
      <w:r>
        <w:rPr>
          <w:color w:val="231F20"/>
          <w:sz w:val="20"/>
          <w:szCs w:val="20"/>
        </w:rPr>
        <w:t xml:space="preserve"> ανήλθαν στα 98,7 εκατ. ευρώ έναντι 95,</w:t>
      </w:r>
      <w:r w:rsidRPr="00623FA8">
        <w:rPr>
          <w:color w:val="231F20"/>
          <w:sz w:val="20"/>
          <w:szCs w:val="20"/>
        </w:rPr>
        <w:t>8</w:t>
      </w:r>
      <w:r>
        <w:rPr>
          <w:color w:val="231F20"/>
          <w:sz w:val="20"/>
          <w:szCs w:val="20"/>
        </w:rPr>
        <w:t xml:space="preserve"> εκατ. ευρώ το 2023, οδηγούμενα κυρίως από το βελτιωμένο προϊοντικό μίγμα, τα βελτιωμένα αποτελέσματα από τη χρήση σκραπ στη παραγωγή, τις μειωμένες τιμές ενέργειας και</w:t>
      </w:r>
      <w:r w:rsidRPr="00234234">
        <w:rPr>
          <w:color w:val="231F20"/>
          <w:sz w:val="20"/>
          <w:szCs w:val="20"/>
        </w:rPr>
        <w:t xml:space="preserve"> </w:t>
      </w:r>
      <w:r>
        <w:rPr>
          <w:color w:val="231F20"/>
          <w:sz w:val="20"/>
          <w:szCs w:val="20"/>
        </w:rPr>
        <w:t>τη μείωση του κόστους μέσω της υλοποίησης ενεργειών για τη βελτιστοποίηση της παραγωγικής διαδικασίας. Τ</w:t>
      </w:r>
      <w:r w:rsidRPr="003A6F5B">
        <w:rPr>
          <w:color w:val="231F20"/>
          <w:sz w:val="20"/>
          <w:szCs w:val="20"/>
        </w:rPr>
        <w:t>α κέρδη πριν από φόρους</w:t>
      </w:r>
      <w:r>
        <w:rPr>
          <w:color w:val="231F20"/>
          <w:sz w:val="20"/>
          <w:szCs w:val="20"/>
        </w:rPr>
        <w:t xml:space="preserve"> και τόκους </w:t>
      </w:r>
      <w:r w:rsidRPr="003A6F5B">
        <w:rPr>
          <w:color w:val="231F20"/>
          <w:sz w:val="20"/>
          <w:szCs w:val="20"/>
        </w:rPr>
        <w:t xml:space="preserve">διαμορφώθηκαν στα </w:t>
      </w:r>
      <w:r w:rsidRPr="00A0473D">
        <w:rPr>
          <w:color w:val="231F20"/>
          <w:sz w:val="20"/>
          <w:szCs w:val="20"/>
        </w:rPr>
        <w:t>83,2</w:t>
      </w:r>
      <w:r w:rsidRPr="003A6F5B">
        <w:rPr>
          <w:color w:val="231F20"/>
          <w:sz w:val="20"/>
          <w:szCs w:val="20"/>
        </w:rPr>
        <w:t xml:space="preserve"> </w:t>
      </w:r>
      <w:r>
        <w:rPr>
          <w:color w:val="231F20"/>
          <w:sz w:val="20"/>
          <w:szCs w:val="20"/>
        </w:rPr>
        <w:t>εκατ.</w:t>
      </w:r>
      <w:r w:rsidRPr="003A6F5B">
        <w:rPr>
          <w:color w:val="231F20"/>
          <w:sz w:val="20"/>
          <w:szCs w:val="20"/>
        </w:rPr>
        <w:t xml:space="preserve"> ευρώ, έναντ</w:t>
      </w:r>
      <w:r w:rsidRPr="00A0473D">
        <w:rPr>
          <w:color w:val="231F20"/>
          <w:sz w:val="20"/>
          <w:szCs w:val="20"/>
        </w:rPr>
        <w:t>ι 57,2</w:t>
      </w:r>
      <w:r w:rsidRPr="003A6F5B">
        <w:rPr>
          <w:color w:val="231F20"/>
          <w:sz w:val="20"/>
          <w:szCs w:val="20"/>
        </w:rPr>
        <w:t xml:space="preserve"> </w:t>
      </w:r>
      <w:r>
        <w:rPr>
          <w:color w:val="231F20"/>
          <w:sz w:val="20"/>
          <w:szCs w:val="20"/>
        </w:rPr>
        <w:t>εκατ.</w:t>
      </w:r>
      <w:r w:rsidRPr="003A6F5B">
        <w:rPr>
          <w:color w:val="231F20"/>
          <w:sz w:val="20"/>
          <w:szCs w:val="20"/>
        </w:rPr>
        <w:t xml:space="preserve"> ευρώ την αντίστοιχη </w:t>
      </w:r>
      <w:r>
        <w:rPr>
          <w:color w:val="231F20"/>
          <w:sz w:val="20"/>
          <w:szCs w:val="20"/>
        </w:rPr>
        <w:t xml:space="preserve">περυσινή χρήση. Τα </w:t>
      </w:r>
      <w:r w:rsidRPr="003A6F5B">
        <w:rPr>
          <w:color w:val="231F20"/>
          <w:sz w:val="20"/>
          <w:szCs w:val="20"/>
        </w:rPr>
        <w:t>λογιστικά αποτελέσματα μετάλλου για την περίοδο διαμορφώθηκαν σε κέρδη 11,</w:t>
      </w:r>
      <w:r>
        <w:rPr>
          <w:color w:val="231F20"/>
          <w:sz w:val="20"/>
          <w:szCs w:val="20"/>
        </w:rPr>
        <w:t>4</w:t>
      </w:r>
      <w:r w:rsidRPr="003A6F5B">
        <w:rPr>
          <w:color w:val="231F20"/>
          <w:sz w:val="20"/>
          <w:szCs w:val="20"/>
        </w:rPr>
        <w:t xml:space="preserve"> </w:t>
      </w:r>
      <w:r>
        <w:rPr>
          <w:color w:val="231F20"/>
          <w:sz w:val="20"/>
          <w:szCs w:val="20"/>
        </w:rPr>
        <w:t>εκατ.</w:t>
      </w:r>
      <w:r w:rsidRPr="003A6F5B">
        <w:rPr>
          <w:color w:val="231F20"/>
          <w:sz w:val="20"/>
          <w:szCs w:val="20"/>
        </w:rPr>
        <w:t xml:space="preserve"> ευρώ έναντι ζημίας </w:t>
      </w:r>
      <w:r>
        <w:rPr>
          <w:color w:val="231F20"/>
          <w:sz w:val="20"/>
          <w:szCs w:val="20"/>
        </w:rPr>
        <w:t>11</w:t>
      </w:r>
      <w:r w:rsidRPr="003A6F5B">
        <w:rPr>
          <w:color w:val="231F20"/>
          <w:sz w:val="20"/>
          <w:szCs w:val="20"/>
        </w:rPr>
        <w:t>,</w:t>
      </w:r>
      <w:r>
        <w:rPr>
          <w:color w:val="231F20"/>
          <w:sz w:val="20"/>
          <w:szCs w:val="20"/>
        </w:rPr>
        <w:t>4</w:t>
      </w:r>
      <w:r w:rsidRPr="003A6F5B">
        <w:rPr>
          <w:color w:val="231F20"/>
          <w:sz w:val="20"/>
          <w:szCs w:val="20"/>
        </w:rPr>
        <w:t xml:space="preserve"> </w:t>
      </w:r>
      <w:r>
        <w:rPr>
          <w:color w:val="231F20"/>
          <w:sz w:val="20"/>
          <w:szCs w:val="20"/>
        </w:rPr>
        <w:t>εκατ.</w:t>
      </w:r>
      <w:r w:rsidRPr="003A6F5B">
        <w:rPr>
          <w:color w:val="231F20"/>
          <w:sz w:val="20"/>
          <w:szCs w:val="20"/>
        </w:rPr>
        <w:t xml:space="preserve"> ευρώ </w:t>
      </w:r>
      <w:r>
        <w:rPr>
          <w:color w:val="231F20"/>
          <w:sz w:val="20"/>
          <w:szCs w:val="20"/>
        </w:rPr>
        <w:t>το 2023,</w:t>
      </w:r>
      <w:r w:rsidRPr="003A6F5B">
        <w:rPr>
          <w:color w:val="231F20"/>
          <w:sz w:val="20"/>
          <w:szCs w:val="20"/>
        </w:rPr>
        <w:t xml:space="preserve"> επηρεάζοντας θετικά τα κέρδη πριν από φόρου</w:t>
      </w:r>
      <w:r>
        <w:rPr>
          <w:color w:val="231F20"/>
          <w:sz w:val="20"/>
          <w:szCs w:val="20"/>
        </w:rPr>
        <w:t xml:space="preserve">ς και τόκους. </w:t>
      </w:r>
      <w:r w:rsidRPr="00924D6D">
        <w:rPr>
          <w:color w:val="231F20"/>
          <w:sz w:val="20"/>
          <w:szCs w:val="20"/>
        </w:rPr>
        <w:t>Αξίζει να σημειωθεί ότι τα κέρδη προ φόρων του Κλάδου επηρεάστηκαν αρνητικά από απομειώσεις ύψους 3,</w:t>
      </w:r>
      <w:r w:rsidRPr="00FC4054">
        <w:rPr>
          <w:color w:val="231F20"/>
          <w:sz w:val="20"/>
          <w:szCs w:val="20"/>
        </w:rPr>
        <w:t>1</w:t>
      </w:r>
      <w:r w:rsidRPr="00924D6D">
        <w:rPr>
          <w:color w:val="231F20"/>
          <w:sz w:val="20"/>
          <w:szCs w:val="20"/>
        </w:rPr>
        <w:t xml:space="preserve"> εκατ. ευρώ στη συμμετοχή της συνδεδεμένης NedZink</w:t>
      </w:r>
      <w:r>
        <w:rPr>
          <w:color w:val="231F20"/>
          <w:sz w:val="20"/>
          <w:szCs w:val="20"/>
        </w:rPr>
        <w:t xml:space="preserve"> </w:t>
      </w:r>
      <w:r>
        <w:rPr>
          <w:color w:val="231F20"/>
          <w:sz w:val="20"/>
          <w:szCs w:val="20"/>
          <w:lang w:val="en-US"/>
        </w:rPr>
        <w:t>B</w:t>
      </w:r>
      <w:r w:rsidRPr="00924D6D">
        <w:rPr>
          <w:color w:val="231F20"/>
          <w:sz w:val="20"/>
          <w:szCs w:val="20"/>
        </w:rPr>
        <w:t>.</w:t>
      </w:r>
      <w:r>
        <w:rPr>
          <w:color w:val="231F20"/>
          <w:sz w:val="20"/>
          <w:szCs w:val="20"/>
          <w:lang w:val="en-US"/>
        </w:rPr>
        <w:t>V</w:t>
      </w:r>
      <w:r w:rsidRPr="00924D6D">
        <w:rPr>
          <w:color w:val="231F20"/>
          <w:sz w:val="20"/>
          <w:szCs w:val="20"/>
        </w:rPr>
        <w:t>.</w:t>
      </w:r>
      <w:r>
        <w:rPr>
          <w:color w:val="231F20"/>
          <w:sz w:val="20"/>
          <w:szCs w:val="20"/>
        </w:rPr>
        <w:t xml:space="preserve"> </w:t>
      </w:r>
      <w:r w:rsidRPr="00924D6D">
        <w:rPr>
          <w:color w:val="231F20"/>
          <w:sz w:val="20"/>
          <w:szCs w:val="20"/>
        </w:rPr>
        <w:t>μετά από</w:t>
      </w:r>
      <w:r>
        <w:rPr>
          <w:color w:val="231F20"/>
          <w:sz w:val="20"/>
          <w:szCs w:val="20"/>
        </w:rPr>
        <w:t xml:space="preserve"> τις</w:t>
      </w:r>
      <w:r w:rsidRPr="00924D6D">
        <w:rPr>
          <w:color w:val="231F20"/>
          <w:sz w:val="20"/>
          <w:szCs w:val="20"/>
        </w:rPr>
        <w:t xml:space="preserve"> αναθεωρημένες εκτιμήσεις για τα αποτελέσματα της </w:t>
      </w:r>
      <w:r>
        <w:rPr>
          <w:color w:val="231F20"/>
          <w:sz w:val="20"/>
          <w:szCs w:val="20"/>
        </w:rPr>
        <w:t>Ε</w:t>
      </w:r>
      <w:r w:rsidRPr="00924D6D">
        <w:rPr>
          <w:color w:val="231F20"/>
          <w:sz w:val="20"/>
          <w:szCs w:val="20"/>
        </w:rPr>
        <w:t>ταιρείας, ως συνέπεια των δυσμενών οικονομικών συνθηκών που επικρατούν παγκοσμίως στον κλάδο των κατασκευών.</w:t>
      </w:r>
      <w:r>
        <w:rPr>
          <w:color w:val="231F20"/>
          <w:sz w:val="20"/>
          <w:szCs w:val="20"/>
        </w:rPr>
        <w:t xml:space="preserve"> </w:t>
      </w:r>
    </w:p>
    <w:p w14:paraId="2A68560B" w14:textId="77777777" w:rsidR="00B73CCC" w:rsidRPr="003A6F5B" w:rsidRDefault="00B73CCC" w:rsidP="00B73CCC">
      <w:pPr>
        <w:jc w:val="both"/>
        <w:rPr>
          <w:color w:val="231F20"/>
          <w:sz w:val="20"/>
          <w:szCs w:val="18"/>
          <w:highlight w:val="yellow"/>
        </w:rPr>
      </w:pPr>
    </w:p>
    <w:p w14:paraId="7FB9ABEC" w14:textId="77777777" w:rsidR="00B73CCC" w:rsidRPr="003A6F5B" w:rsidRDefault="00B73CCC" w:rsidP="00B73CCC">
      <w:pPr>
        <w:jc w:val="both"/>
        <w:rPr>
          <w:color w:val="231F20"/>
          <w:sz w:val="20"/>
          <w:szCs w:val="18"/>
        </w:rPr>
      </w:pPr>
      <w:r w:rsidRPr="003A6F5B">
        <w:rPr>
          <w:color w:val="231F20"/>
          <w:sz w:val="20"/>
          <w:szCs w:val="18"/>
        </w:rPr>
        <w:t xml:space="preserve">Αναφορικά με τις επενδύσεις του Κλάδου, διατέθηκαν περίπου </w:t>
      </w:r>
      <w:r>
        <w:rPr>
          <w:color w:val="231F20"/>
          <w:sz w:val="20"/>
          <w:szCs w:val="18"/>
        </w:rPr>
        <w:t>24</w:t>
      </w:r>
      <w:r w:rsidRPr="003A6F5B">
        <w:rPr>
          <w:color w:val="231F20"/>
          <w:sz w:val="20"/>
          <w:szCs w:val="18"/>
        </w:rPr>
        <w:t>,</w:t>
      </w:r>
      <w:r>
        <w:rPr>
          <w:color w:val="231F20"/>
          <w:sz w:val="20"/>
          <w:szCs w:val="18"/>
        </w:rPr>
        <w:t>4</w:t>
      </w:r>
      <w:r w:rsidRPr="003A6F5B">
        <w:rPr>
          <w:color w:val="231F20"/>
          <w:sz w:val="20"/>
          <w:szCs w:val="18"/>
        </w:rPr>
        <w:t xml:space="preserve"> </w:t>
      </w:r>
      <w:r>
        <w:rPr>
          <w:color w:val="231F20"/>
          <w:sz w:val="20"/>
          <w:szCs w:val="18"/>
        </w:rPr>
        <w:t>εκατ.</w:t>
      </w:r>
      <w:r w:rsidRPr="003A6F5B">
        <w:rPr>
          <w:color w:val="231F20"/>
          <w:sz w:val="20"/>
          <w:szCs w:val="18"/>
        </w:rPr>
        <w:t xml:space="preserve"> ευρώ, από τα οποία ποσό </w:t>
      </w:r>
      <w:r w:rsidRPr="00623FA8">
        <w:rPr>
          <w:color w:val="231F20"/>
          <w:sz w:val="20"/>
          <w:szCs w:val="18"/>
        </w:rPr>
        <w:t>18</w:t>
      </w:r>
      <w:r w:rsidRPr="003A6F5B">
        <w:rPr>
          <w:color w:val="231F20"/>
          <w:sz w:val="20"/>
          <w:szCs w:val="18"/>
        </w:rPr>
        <w:t>,</w:t>
      </w:r>
      <w:r w:rsidRPr="0030304B">
        <w:rPr>
          <w:color w:val="231F20"/>
          <w:sz w:val="20"/>
          <w:szCs w:val="18"/>
        </w:rPr>
        <w:t>4</w:t>
      </w:r>
      <w:r w:rsidRPr="003A6F5B">
        <w:rPr>
          <w:color w:val="231F20"/>
          <w:sz w:val="20"/>
          <w:szCs w:val="18"/>
        </w:rPr>
        <w:t xml:space="preserve"> </w:t>
      </w:r>
      <w:r>
        <w:rPr>
          <w:color w:val="231F20"/>
          <w:sz w:val="20"/>
          <w:szCs w:val="18"/>
        </w:rPr>
        <w:t>εκατ.</w:t>
      </w:r>
      <w:r w:rsidRPr="003A6F5B">
        <w:rPr>
          <w:color w:val="231F20"/>
          <w:sz w:val="20"/>
          <w:szCs w:val="18"/>
        </w:rPr>
        <w:t xml:space="preserve"> ευρώ αφορούσε επενδύσεις της θυγατρικής Sofia Med με σκοπό τη βελτιστοποίηση της παραγωγής και την αύξηση της παραγωγικής δυναμικότητας τελικών προϊόντων υψηλής ζήτησης και προστιθεμένης αξίας.</w:t>
      </w:r>
    </w:p>
    <w:p w14:paraId="11058B53" w14:textId="77777777" w:rsidR="00B73CCC" w:rsidRPr="003A6F5B" w:rsidRDefault="00B73CCC" w:rsidP="00B73CCC">
      <w:pPr>
        <w:jc w:val="both"/>
        <w:rPr>
          <w:color w:val="231F20"/>
          <w:sz w:val="20"/>
          <w:szCs w:val="18"/>
        </w:rPr>
      </w:pPr>
    </w:p>
    <w:p w14:paraId="1CBEBC1B" w14:textId="77777777" w:rsidR="00B73CCC" w:rsidRPr="003A6F5B" w:rsidRDefault="00B73CCC" w:rsidP="00B73CCC">
      <w:pPr>
        <w:rPr>
          <w:b/>
          <w:bCs/>
          <w:color w:val="A6A6A6" w:themeColor="background1" w:themeShade="A6"/>
          <w:sz w:val="24"/>
          <w:szCs w:val="24"/>
        </w:rPr>
      </w:pPr>
    </w:p>
    <w:p w14:paraId="5C432030" w14:textId="77777777" w:rsidR="00B73CCC" w:rsidRPr="003A6F5B" w:rsidRDefault="00B73CCC" w:rsidP="00B73CCC">
      <w:pPr>
        <w:rPr>
          <w:b/>
          <w:bCs/>
          <w:color w:val="A6A6A6" w:themeColor="background1" w:themeShade="A6"/>
          <w:sz w:val="24"/>
          <w:szCs w:val="24"/>
        </w:rPr>
      </w:pPr>
    </w:p>
    <w:p w14:paraId="1636BD1D" w14:textId="77777777" w:rsidR="00B73CCC" w:rsidRPr="003A6F5B" w:rsidRDefault="00B73CCC" w:rsidP="00B73CCC">
      <w:pPr>
        <w:rPr>
          <w:b/>
          <w:bCs/>
          <w:color w:val="A6A6A6" w:themeColor="background1" w:themeShade="A6"/>
          <w:sz w:val="24"/>
          <w:szCs w:val="24"/>
        </w:rPr>
      </w:pPr>
    </w:p>
    <w:p w14:paraId="4D01B5AF" w14:textId="77777777" w:rsidR="00B73CCC" w:rsidRPr="003A6F5B" w:rsidRDefault="00B73CCC" w:rsidP="00B73CCC">
      <w:pPr>
        <w:rPr>
          <w:b/>
          <w:bCs/>
          <w:color w:val="A6A6A6" w:themeColor="background1" w:themeShade="A6"/>
          <w:sz w:val="24"/>
          <w:szCs w:val="24"/>
        </w:rPr>
        <w:sectPr w:rsidR="00B73CCC" w:rsidRPr="003A6F5B" w:rsidSect="00B73CCC">
          <w:pgSz w:w="11910" w:h="16840"/>
          <w:pgMar w:top="1440" w:right="570" w:bottom="1440" w:left="709" w:header="0" w:footer="749" w:gutter="0"/>
          <w:pgBorders w:offsetFrom="page">
            <w:bottom w:val="single" w:sz="4" w:space="24" w:color="auto"/>
          </w:pgBorders>
          <w:cols w:space="720"/>
          <w:docGrid w:linePitch="299"/>
        </w:sectPr>
      </w:pPr>
    </w:p>
    <w:p w14:paraId="55A3E499" w14:textId="77777777" w:rsidR="00B73CCC" w:rsidRPr="003A6F5B" w:rsidRDefault="00B73CCC" w:rsidP="00B73CCC">
      <w:pPr>
        <w:rPr>
          <w:b/>
          <w:bCs/>
          <w:color w:val="A6A6A6" w:themeColor="background1" w:themeShade="A6"/>
          <w:sz w:val="24"/>
          <w:szCs w:val="24"/>
        </w:rPr>
      </w:pPr>
      <w:r w:rsidRPr="003A6F5B">
        <w:rPr>
          <w:b/>
          <w:bCs/>
          <w:color w:val="A6A6A6" w:themeColor="background1" w:themeShade="A6"/>
          <w:sz w:val="24"/>
          <w:szCs w:val="24"/>
        </w:rPr>
        <w:lastRenderedPageBreak/>
        <w:t>Προοπτικές</w:t>
      </w:r>
    </w:p>
    <w:p w14:paraId="0B859C40" w14:textId="77777777" w:rsidR="00B73CCC" w:rsidRPr="003A6F5B" w:rsidRDefault="00B73CCC" w:rsidP="00B73CCC">
      <w:pPr>
        <w:jc w:val="both"/>
        <w:rPr>
          <w:color w:val="231F20"/>
          <w:sz w:val="20"/>
          <w:szCs w:val="20"/>
        </w:rPr>
      </w:pPr>
      <w:bookmarkStart w:id="2" w:name="_Hlk40783232"/>
    </w:p>
    <w:p w14:paraId="1FC7EE7C" w14:textId="330860F6" w:rsidR="00B73CCC" w:rsidRPr="003A6F5B" w:rsidRDefault="00B73CCC" w:rsidP="00B73CCC">
      <w:pPr>
        <w:jc w:val="both"/>
        <w:rPr>
          <w:color w:val="231F20"/>
          <w:sz w:val="20"/>
          <w:szCs w:val="20"/>
        </w:rPr>
      </w:pPr>
      <w:r w:rsidRPr="003A6F5B">
        <w:rPr>
          <w:color w:val="231F20"/>
          <w:sz w:val="20"/>
          <w:szCs w:val="20"/>
        </w:rPr>
        <w:t xml:space="preserve">Η </w:t>
      </w:r>
      <w:r w:rsidRPr="003A6F5B">
        <w:rPr>
          <w:color w:val="231F20"/>
          <w:sz w:val="20"/>
          <w:szCs w:val="18"/>
        </w:rPr>
        <w:t>ElvalHalcor</w:t>
      </w:r>
      <w:r>
        <w:rPr>
          <w:color w:val="231F20"/>
          <w:sz w:val="20"/>
          <w:szCs w:val="20"/>
        </w:rPr>
        <w:t xml:space="preserve"> </w:t>
      </w:r>
      <w:r w:rsidRPr="003A6F5B">
        <w:rPr>
          <w:color w:val="231F20"/>
          <w:sz w:val="20"/>
          <w:szCs w:val="20"/>
        </w:rPr>
        <w:t>ατενίζει το μέλλον με συγκρατημένη αισιοδοξία, παρά τις συνεχείς προκλήσεις, όπως οι τιμές ενέργειας, οι συνεχιζόμενες γεωπολιτικές κρίσεις, τα υψηλά επιτόκια αναφοράς</w:t>
      </w:r>
      <w:r>
        <w:rPr>
          <w:color w:val="231F20"/>
          <w:sz w:val="20"/>
          <w:szCs w:val="20"/>
        </w:rPr>
        <w:t xml:space="preserve">, </w:t>
      </w:r>
      <w:r w:rsidRPr="003A6F5B">
        <w:rPr>
          <w:color w:val="231F20"/>
          <w:sz w:val="20"/>
          <w:szCs w:val="20"/>
        </w:rPr>
        <w:t>η μεταβλητότητα των τιμών των μετάλλων</w:t>
      </w:r>
      <w:r>
        <w:rPr>
          <w:color w:val="231F20"/>
          <w:sz w:val="20"/>
          <w:szCs w:val="20"/>
        </w:rPr>
        <w:t xml:space="preserve"> και η αναιμική </w:t>
      </w:r>
      <w:r w:rsidR="004F68A2">
        <w:rPr>
          <w:color w:val="231F20"/>
          <w:sz w:val="20"/>
          <w:szCs w:val="20"/>
        </w:rPr>
        <w:t>ευρωπαϊκή ανάπτυξη</w:t>
      </w:r>
      <w:r w:rsidRPr="003A6F5B">
        <w:rPr>
          <w:color w:val="231F20"/>
          <w:sz w:val="20"/>
          <w:szCs w:val="20"/>
        </w:rPr>
        <w:t>.</w:t>
      </w:r>
      <w:r>
        <w:rPr>
          <w:color w:val="231F20"/>
          <w:sz w:val="20"/>
          <w:szCs w:val="20"/>
        </w:rPr>
        <w:t xml:space="preserve"> Αναφορικά με την επιβολή δασμών στις ΗΠΑ ο Όμιλος παρακολουθεί στενά τις εξελίξεις και είναι προετοιμασμένος κατάλληλα ώστε να αντιμετωπίσει τις νέες συνθήκες που θα δημιουργηθούν.</w:t>
      </w:r>
      <w:r w:rsidRPr="003A6F5B">
        <w:rPr>
          <w:color w:val="231F20"/>
          <w:sz w:val="20"/>
          <w:szCs w:val="20"/>
        </w:rPr>
        <w:t xml:space="preserve"> </w:t>
      </w:r>
      <w:r>
        <w:rPr>
          <w:color w:val="231F20"/>
          <w:sz w:val="20"/>
          <w:szCs w:val="20"/>
        </w:rPr>
        <w:t xml:space="preserve">Τα </w:t>
      </w:r>
      <w:r w:rsidRPr="003A6F5B">
        <w:rPr>
          <w:color w:val="231F20"/>
          <w:sz w:val="20"/>
          <w:szCs w:val="20"/>
        </w:rPr>
        <w:t>σημαντικά προγράμματα επενδύσεων έχουν αυξήσει την παραγωγική δυναμικότητα,</w:t>
      </w:r>
      <w:r>
        <w:rPr>
          <w:color w:val="231F20"/>
          <w:sz w:val="20"/>
          <w:szCs w:val="20"/>
        </w:rPr>
        <w:t xml:space="preserve"> </w:t>
      </w:r>
      <w:r w:rsidRPr="003A6F5B">
        <w:rPr>
          <w:color w:val="231F20"/>
          <w:sz w:val="20"/>
          <w:szCs w:val="20"/>
        </w:rPr>
        <w:t>κυρίως στο</w:t>
      </w:r>
      <w:r>
        <w:rPr>
          <w:color w:val="231F20"/>
          <w:sz w:val="20"/>
          <w:szCs w:val="20"/>
        </w:rPr>
        <w:t>ν</w:t>
      </w:r>
      <w:r w:rsidRPr="003A6F5B">
        <w:rPr>
          <w:color w:val="231F20"/>
          <w:sz w:val="20"/>
          <w:szCs w:val="20"/>
        </w:rPr>
        <w:t xml:space="preserve"> </w:t>
      </w:r>
      <w:r>
        <w:rPr>
          <w:color w:val="231F20"/>
          <w:sz w:val="20"/>
          <w:szCs w:val="20"/>
        </w:rPr>
        <w:t>Κ</w:t>
      </w:r>
      <w:r w:rsidRPr="003A6F5B">
        <w:rPr>
          <w:color w:val="231F20"/>
          <w:sz w:val="20"/>
          <w:szCs w:val="20"/>
        </w:rPr>
        <w:t xml:space="preserve">λάδο </w:t>
      </w:r>
      <w:r>
        <w:rPr>
          <w:color w:val="231F20"/>
          <w:sz w:val="20"/>
          <w:szCs w:val="20"/>
        </w:rPr>
        <w:t>Α</w:t>
      </w:r>
      <w:r w:rsidRPr="003A6F5B">
        <w:rPr>
          <w:color w:val="231F20"/>
          <w:sz w:val="20"/>
          <w:szCs w:val="20"/>
        </w:rPr>
        <w:t xml:space="preserve">λουμινίου, </w:t>
      </w:r>
      <w:r>
        <w:rPr>
          <w:color w:val="231F20"/>
          <w:sz w:val="20"/>
          <w:szCs w:val="20"/>
        </w:rPr>
        <w:t xml:space="preserve">ενώ  ταυτόχρονα </w:t>
      </w:r>
      <w:r w:rsidRPr="003A6F5B">
        <w:rPr>
          <w:color w:val="231F20"/>
          <w:sz w:val="20"/>
          <w:szCs w:val="20"/>
        </w:rPr>
        <w:t xml:space="preserve">ο Όμιλος </w:t>
      </w:r>
      <w:r>
        <w:rPr>
          <w:color w:val="231F20"/>
          <w:sz w:val="20"/>
          <w:szCs w:val="20"/>
        </w:rPr>
        <w:t>συνεχίζει να</w:t>
      </w:r>
      <w:r w:rsidRPr="003A6F5B">
        <w:rPr>
          <w:color w:val="231F20"/>
          <w:sz w:val="20"/>
          <w:szCs w:val="20"/>
        </w:rPr>
        <w:t xml:space="preserve"> </w:t>
      </w:r>
      <w:r>
        <w:rPr>
          <w:color w:val="231F20"/>
          <w:sz w:val="20"/>
          <w:szCs w:val="20"/>
        </w:rPr>
        <w:t>ισχυροποιεί</w:t>
      </w:r>
      <w:r w:rsidRPr="003A6F5B">
        <w:rPr>
          <w:color w:val="231F20"/>
          <w:sz w:val="20"/>
          <w:szCs w:val="20"/>
        </w:rPr>
        <w:t xml:space="preserve"> την θέση του </w:t>
      </w:r>
      <w:r>
        <w:rPr>
          <w:color w:val="231F20"/>
          <w:sz w:val="20"/>
          <w:szCs w:val="20"/>
        </w:rPr>
        <w:t xml:space="preserve">σε πλήρως ανταγωνιστικές αγορές </w:t>
      </w:r>
      <w:r w:rsidRPr="003A6F5B">
        <w:rPr>
          <w:color w:val="231F20"/>
          <w:sz w:val="20"/>
          <w:szCs w:val="20"/>
        </w:rPr>
        <w:t xml:space="preserve">επιτυγχάνοντας υψηλά επίπεδα κερδοφορίας παρά τις </w:t>
      </w:r>
      <w:r>
        <w:rPr>
          <w:color w:val="231F20"/>
          <w:sz w:val="20"/>
          <w:szCs w:val="20"/>
        </w:rPr>
        <w:t>αντίξοες συνθήκες</w:t>
      </w:r>
      <w:r w:rsidRPr="003A6F5B">
        <w:rPr>
          <w:color w:val="231F20"/>
          <w:sz w:val="20"/>
          <w:szCs w:val="20"/>
        </w:rPr>
        <w:t xml:space="preserve">. Ταυτόχρονα έχει ανταποκριθεί με επιτυχία στις </w:t>
      </w:r>
      <w:r>
        <w:rPr>
          <w:color w:val="231F20"/>
          <w:sz w:val="20"/>
          <w:szCs w:val="20"/>
        </w:rPr>
        <w:t>έως τώρα</w:t>
      </w:r>
      <w:r w:rsidRPr="003A6F5B">
        <w:rPr>
          <w:color w:val="231F20"/>
          <w:sz w:val="20"/>
          <w:szCs w:val="20"/>
        </w:rPr>
        <w:t xml:space="preserve"> προκλήσεις</w:t>
      </w:r>
      <w:r>
        <w:rPr>
          <w:color w:val="231F20"/>
          <w:sz w:val="20"/>
          <w:szCs w:val="20"/>
        </w:rPr>
        <w:t xml:space="preserve"> καταφέρνοντας να επιτύχει</w:t>
      </w:r>
      <w:r w:rsidRPr="003A6F5B">
        <w:rPr>
          <w:color w:val="231F20"/>
          <w:sz w:val="20"/>
          <w:szCs w:val="20"/>
        </w:rPr>
        <w:t xml:space="preserve"> μείωση του καθαρού δανεισμού μέσω της επιτυχούς διαχείρισης του κεφαλαίου κίνησης.</w:t>
      </w:r>
    </w:p>
    <w:p w14:paraId="5414DD78" w14:textId="77777777" w:rsidR="00B73CCC" w:rsidRPr="003A6F5B" w:rsidRDefault="00B73CCC" w:rsidP="00B73CCC">
      <w:pPr>
        <w:jc w:val="both"/>
        <w:rPr>
          <w:color w:val="231F20"/>
          <w:sz w:val="20"/>
          <w:szCs w:val="20"/>
        </w:rPr>
      </w:pPr>
    </w:p>
    <w:bookmarkEnd w:id="2"/>
    <w:p w14:paraId="3F8116F1" w14:textId="77777777" w:rsidR="00B73CCC" w:rsidRPr="003A6F5B" w:rsidRDefault="00B73CCC" w:rsidP="00B73CCC">
      <w:pPr>
        <w:jc w:val="both"/>
        <w:rPr>
          <w:color w:val="231F20"/>
          <w:sz w:val="20"/>
          <w:szCs w:val="18"/>
        </w:rPr>
      </w:pPr>
      <w:r w:rsidRPr="003A6F5B">
        <w:rPr>
          <w:color w:val="231F20"/>
          <w:sz w:val="20"/>
          <w:szCs w:val="20"/>
        </w:rPr>
        <w:t xml:space="preserve">Η </w:t>
      </w:r>
      <w:r>
        <w:rPr>
          <w:color w:val="231F20"/>
          <w:sz w:val="20"/>
          <w:szCs w:val="20"/>
        </w:rPr>
        <w:t xml:space="preserve">Εταιρεία </w:t>
      </w:r>
      <w:r w:rsidRPr="003A6F5B">
        <w:rPr>
          <w:color w:val="231F20"/>
          <w:sz w:val="20"/>
          <w:szCs w:val="20"/>
        </w:rPr>
        <w:t xml:space="preserve">παραμένει προσηλωμένη στην επίτευξη των στρατηγικών της στόχων, με έμφαση στην ανάπτυξη καινοτόμων προϊόντων </w:t>
      </w:r>
      <w:r w:rsidRPr="003A6F5B">
        <w:rPr>
          <w:color w:val="231F20"/>
          <w:sz w:val="20"/>
          <w:szCs w:val="18"/>
        </w:rPr>
        <w:t>σε τομείς και προϊόντα με προοπτικές δυναμικής ανάπτυξης στο πλαίσιο των παγκόσμιων μ</w:t>
      </w:r>
      <w:r>
        <w:rPr>
          <w:color w:val="231F20"/>
          <w:sz w:val="20"/>
          <w:szCs w:val="18"/>
        </w:rPr>
        <w:t>ε</w:t>
      </w:r>
      <w:r w:rsidRPr="003A6F5B">
        <w:rPr>
          <w:color w:val="231F20"/>
          <w:sz w:val="20"/>
          <w:szCs w:val="18"/>
        </w:rPr>
        <w:t>γα-τάσεων (megatrends) της κυκλικής οικονομίας, της μετάβασης στην κλιματική ουδετερότητα, της αστικοποίησης, των τεχνολογικών εξελίξεων καθώς και της βιώσιμης ανάπτυξης. Επιπρόσθετα, βρίσκεται σε κατάλληλη θέση για να αξιοποιήσει το ευρύ και διαφοροποιημένο προϊοντικό χαρτοφυλάκιο και τα στρατηγικά της πλεονεκτήματα, όπως η πελατοκεντρική φιλοσοφία, η υψηλή τεχνολογία και ο διεθνής προσανατολισμός χωρίς εξάρτηση από χώρες ή γεωγραφικές περιοχές, παράγοντες  που της δίνουν τη δυνατότητα να εκμεταλλευτεί κάθε μελλοντική ευκαιρία καθώς και να ενισχύσει τη θέση της στην αγορά. Σε αυτό συμβάλλουν καίρια οι σημαντικές επενδύσεις που αύξησαν την παραγωγική της δυναμικότητα. Το γεγονός αυτό δίνει στην ElvalHalcor τη δυνατότητα να ανταποκριθεί στη δυναμική αυτή και να διατηρήσει μακροχρόνια την ανοδική της πορεία, παρά τις όποιες πιθανές βραχυχρόνιες επιπτώσεις από περισσότερο κυκλικούς κλάδους</w:t>
      </w:r>
      <w:r>
        <w:rPr>
          <w:color w:val="231F20"/>
          <w:sz w:val="20"/>
          <w:szCs w:val="18"/>
        </w:rPr>
        <w:t>,</w:t>
      </w:r>
      <w:r w:rsidRPr="003A6F5B">
        <w:rPr>
          <w:color w:val="231F20"/>
          <w:sz w:val="20"/>
          <w:szCs w:val="18"/>
        </w:rPr>
        <w:t xml:space="preserve"> στους οποίους δραστηριοποιείται.</w:t>
      </w:r>
    </w:p>
    <w:p w14:paraId="5659E6ED" w14:textId="77777777" w:rsidR="00B73CCC" w:rsidRPr="003A6F5B" w:rsidRDefault="00B73CCC" w:rsidP="00B73CCC">
      <w:pPr>
        <w:jc w:val="both"/>
        <w:rPr>
          <w:color w:val="231F20"/>
          <w:sz w:val="20"/>
          <w:szCs w:val="18"/>
        </w:rPr>
      </w:pPr>
    </w:p>
    <w:p w14:paraId="51FD07F6" w14:textId="77777777" w:rsidR="00B73CCC" w:rsidRPr="003A6F5B" w:rsidRDefault="00B73CCC" w:rsidP="00B73CCC">
      <w:pPr>
        <w:jc w:val="both"/>
        <w:rPr>
          <w:color w:val="231F20"/>
          <w:sz w:val="20"/>
          <w:szCs w:val="18"/>
        </w:rPr>
      </w:pPr>
    </w:p>
    <w:p w14:paraId="7327377D" w14:textId="77777777" w:rsidR="00B73CCC" w:rsidRPr="003A6F5B" w:rsidRDefault="00B73CCC" w:rsidP="00B73CCC">
      <w:pPr>
        <w:jc w:val="both"/>
        <w:rPr>
          <w:color w:val="231F20"/>
          <w:sz w:val="20"/>
          <w:szCs w:val="18"/>
        </w:rPr>
      </w:pPr>
    </w:p>
    <w:p w14:paraId="4288AF6B" w14:textId="77777777" w:rsidR="00B73CCC" w:rsidRPr="003A6F5B" w:rsidRDefault="00B73CCC" w:rsidP="00B73CCC">
      <w:pPr>
        <w:rPr>
          <w:b/>
          <w:bCs/>
          <w:color w:val="A6A6A6" w:themeColor="background1" w:themeShade="A6"/>
          <w:sz w:val="24"/>
          <w:szCs w:val="24"/>
        </w:rPr>
      </w:pPr>
      <w:r w:rsidRPr="00911014">
        <w:rPr>
          <w:b/>
          <w:bCs/>
          <w:color w:val="A6A6A6" w:themeColor="background1" w:themeShade="A6"/>
          <w:sz w:val="24"/>
          <w:szCs w:val="24"/>
        </w:rPr>
        <w:t>Οικονομικό ημερολόγιο</w:t>
      </w:r>
    </w:p>
    <w:p w14:paraId="10BE8333" w14:textId="77777777" w:rsidR="00B73CCC" w:rsidRPr="00911014" w:rsidRDefault="00B73CCC" w:rsidP="00B73CCC">
      <w:pPr>
        <w:ind w:right="570"/>
        <w:jc w:val="both"/>
        <w:rPr>
          <w:color w:val="231F20"/>
          <w:sz w:val="18"/>
          <w:szCs w:val="18"/>
          <w:lang w:val="en-US"/>
        </w:rPr>
      </w:pPr>
    </w:p>
    <w:p w14:paraId="77BC0182" w14:textId="77777777" w:rsidR="00B73CCC" w:rsidRPr="003A6F5B" w:rsidRDefault="00B73CCC" w:rsidP="00B73CCC">
      <w:pPr>
        <w:jc w:val="both"/>
        <w:rPr>
          <w:color w:val="231F20"/>
          <w:sz w:val="20"/>
          <w:szCs w:val="18"/>
        </w:rPr>
      </w:pPr>
    </w:p>
    <w:tbl>
      <w:tblPr>
        <w:tblStyle w:val="GridTable4-Accent1"/>
        <w:tblW w:w="10631" w:type="dxa"/>
        <w:tblLayout w:type="fixed"/>
        <w:tblLook w:val="04A0" w:firstRow="1" w:lastRow="0" w:firstColumn="1" w:lastColumn="0" w:noHBand="0" w:noVBand="1"/>
      </w:tblPr>
      <w:tblGrid>
        <w:gridCol w:w="8894"/>
        <w:gridCol w:w="1737"/>
      </w:tblGrid>
      <w:tr w:rsidR="00B73CCC" w:rsidRPr="00911014" w14:paraId="3808F094" w14:textId="77777777" w:rsidTr="00A959DB">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894" w:type="dxa"/>
          </w:tcPr>
          <w:p w14:paraId="0292CB19" w14:textId="77777777" w:rsidR="00B73CCC" w:rsidRPr="00911014" w:rsidRDefault="00B73CCC" w:rsidP="00A959DB">
            <w:pPr>
              <w:widowControl/>
              <w:autoSpaceDE/>
              <w:autoSpaceDN/>
              <w:spacing w:line="336" w:lineRule="atLeast"/>
              <w:rPr>
                <w:rFonts w:eastAsia="Times New Roman" w:cs="Times New Roman"/>
                <w:color w:val="727887"/>
                <w:sz w:val="20"/>
                <w:szCs w:val="20"/>
                <w:lang w:eastAsia="el-GR"/>
              </w:rPr>
            </w:pPr>
            <w:r w:rsidRPr="00911014">
              <w:rPr>
                <w:rFonts w:eastAsia="Times New Roman" w:cs="Times New Roman"/>
                <w:sz w:val="20"/>
                <w:szCs w:val="20"/>
                <w:lang w:eastAsia="el-GR"/>
              </w:rPr>
              <w:t>ΠΕΡΙΓΡΑΦΗ</w:t>
            </w:r>
          </w:p>
        </w:tc>
        <w:tc>
          <w:tcPr>
            <w:tcW w:w="1737" w:type="dxa"/>
          </w:tcPr>
          <w:p w14:paraId="54861CBA" w14:textId="77777777" w:rsidR="00B73CCC" w:rsidRPr="00911014" w:rsidRDefault="00B73CCC" w:rsidP="00A959DB">
            <w:pPr>
              <w:widowControl/>
              <w:autoSpaceDE/>
              <w:autoSpaceDN/>
              <w:spacing w:line="336"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727887"/>
                <w:sz w:val="20"/>
                <w:szCs w:val="20"/>
                <w:lang w:val="en-US" w:eastAsia="el-GR"/>
              </w:rPr>
            </w:pPr>
            <w:r w:rsidRPr="00911014">
              <w:rPr>
                <w:rFonts w:eastAsia="Times New Roman" w:cs="Times New Roman"/>
                <w:sz w:val="20"/>
                <w:szCs w:val="20"/>
                <w:lang w:eastAsia="el-GR"/>
              </w:rPr>
              <w:t>ΗΜΕΡ</w:t>
            </w:r>
            <w:r w:rsidRPr="00911014">
              <w:rPr>
                <w:rFonts w:eastAsia="Times New Roman" w:cs="Times New Roman"/>
                <w:sz w:val="20"/>
                <w:szCs w:val="20"/>
                <w:lang w:val="en-US" w:eastAsia="el-GR"/>
              </w:rPr>
              <w:t>OMH</w:t>
            </w:r>
            <w:r w:rsidRPr="00911014">
              <w:rPr>
                <w:rFonts w:eastAsia="Times New Roman" w:cs="Times New Roman"/>
                <w:sz w:val="20"/>
                <w:szCs w:val="20"/>
                <w:lang w:eastAsia="el-GR"/>
              </w:rPr>
              <w:t>ΝΙ</w:t>
            </w:r>
            <w:r w:rsidRPr="00911014">
              <w:rPr>
                <w:rFonts w:eastAsia="Times New Roman" w:cs="Times New Roman"/>
                <w:sz w:val="20"/>
                <w:szCs w:val="20"/>
                <w:lang w:val="en-US" w:eastAsia="el-GR"/>
              </w:rPr>
              <w:t>A</w:t>
            </w:r>
          </w:p>
        </w:tc>
      </w:tr>
      <w:tr w:rsidR="00B73CCC" w:rsidRPr="00911014" w14:paraId="0CFA694D" w14:textId="77777777" w:rsidTr="00A959D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894" w:type="dxa"/>
          </w:tcPr>
          <w:p w14:paraId="4A02228D"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911014">
              <w:rPr>
                <w:rFonts w:eastAsia="Times New Roman" w:cs="Calibri"/>
                <w:b w:val="0"/>
                <w:bCs w:val="0"/>
                <w:color w:val="000000"/>
                <w:lang w:eastAsia="el-GR"/>
              </w:rPr>
              <w:t xml:space="preserve">Ετήσια Ενημέρωση Αναλυτών επί των Ετησίων Οικονομικών Αποτελεσμάτων Χρήσης </w:t>
            </w:r>
            <w:r w:rsidRPr="0070214D">
              <w:rPr>
                <w:rFonts w:eastAsia="Times New Roman" w:cs="Calibri"/>
                <w:b w:val="0"/>
                <w:bCs w:val="0"/>
                <w:color w:val="000000"/>
                <w:lang w:eastAsia="el-GR"/>
              </w:rPr>
              <w:t>-</w:t>
            </w:r>
            <w:r w:rsidRPr="00911014">
              <w:rPr>
                <w:rFonts w:eastAsia="Times New Roman" w:cs="Calibri"/>
                <w:b w:val="0"/>
                <w:bCs w:val="0"/>
                <w:color w:val="000000"/>
                <w:lang w:eastAsia="el-GR"/>
              </w:rPr>
              <w:t>2024</w:t>
            </w:r>
          </w:p>
        </w:tc>
        <w:tc>
          <w:tcPr>
            <w:tcW w:w="1737" w:type="dxa"/>
          </w:tcPr>
          <w:p w14:paraId="4EF44B52" w14:textId="77777777" w:rsidR="00B73CCC" w:rsidRPr="00911014" w:rsidRDefault="00B73CCC" w:rsidP="00A959DB">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el-GR"/>
              </w:rPr>
            </w:pPr>
            <w:r w:rsidRPr="00911014">
              <w:rPr>
                <w:rFonts w:eastAsia="Times New Roman" w:cs="Calibri"/>
                <w:b/>
                <w:bCs/>
                <w:color w:val="000000"/>
                <w:lang w:eastAsia="el-GR"/>
              </w:rPr>
              <w:t>0</w:t>
            </w:r>
            <w:r>
              <w:rPr>
                <w:rFonts w:eastAsia="Times New Roman" w:cs="Calibri"/>
                <w:b/>
                <w:bCs/>
                <w:color w:val="000000"/>
                <w:lang w:val="en-US" w:eastAsia="el-GR"/>
              </w:rPr>
              <w:t>5</w:t>
            </w:r>
            <w:r w:rsidRPr="00911014">
              <w:rPr>
                <w:rFonts w:eastAsia="Times New Roman" w:cs="Calibri"/>
                <w:b/>
                <w:bCs/>
                <w:color w:val="000000"/>
                <w:lang w:val="en-US" w:eastAsia="el-GR"/>
              </w:rPr>
              <w:t>.03.</w:t>
            </w:r>
            <w:r>
              <w:rPr>
                <w:rFonts w:eastAsia="Times New Roman" w:cs="Calibri"/>
                <w:b/>
                <w:bCs/>
                <w:color w:val="000000"/>
                <w:lang w:val="en-US" w:eastAsia="el-GR"/>
              </w:rPr>
              <w:t>2025</w:t>
            </w:r>
          </w:p>
        </w:tc>
      </w:tr>
      <w:tr w:rsidR="00B73CCC" w:rsidRPr="00911014" w14:paraId="3059D2F1" w14:textId="77777777" w:rsidTr="00A959DB">
        <w:trPr>
          <w:trHeight w:val="54"/>
        </w:trPr>
        <w:tc>
          <w:tcPr>
            <w:cnfStyle w:val="001000000000" w:firstRow="0" w:lastRow="0" w:firstColumn="1" w:lastColumn="0" w:oddVBand="0" w:evenVBand="0" w:oddHBand="0" w:evenHBand="0" w:firstRowFirstColumn="0" w:firstRowLastColumn="0" w:lastRowFirstColumn="0" w:lastRowLastColumn="0"/>
            <w:tcW w:w="8894" w:type="dxa"/>
          </w:tcPr>
          <w:p w14:paraId="7DA660A6" w14:textId="77777777" w:rsidR="00B73CCC" w:rsidRPr="00911014" w:rsidRDefault="00B73CCC" w:rsidP="00A959DB">
            <w:pPr>
              <w:widowControl/>
              <w:autoSpaceDE/>
              <w:autoSpaceDN/>
              <w:spacing w:line="336" w:lineRule="atLeast"/>
              <w:rPr>
                <w:rFonts w:eastAsia="Times New Roman" w:cs="Calibri"/>
                <w:b w:val="0"/>
                <w:bCs w:val="0"/>
                <w:color w:val="000000"/>
                <w:lang w:eastAsia="el-GR"/>
              </w:rPr>
            </w:pPr>
            <w:r w:rsidRPr="00911014">
              <w:rPr>
                <w:rFonts w:eastAsia="Times New Roman" w:cs="Calibri"/>
                <w:b w:val="0"/>
                <w:bCs w:val="0"/>
                <w:color w:val="000000"/>
                <w:lang w:eastAsia="el-GR"/>
              </w:rPr>
              <w:t>Δημοσίευση Ετήσιας Οικονομικής Έκθεσης 2024</w:t>
            </w:r>
          </w:p>
        </w:tc>
        <w:tc>
          <w:tcPr>
            <w:tcW w:w="1737" w:type="dxa"/>
          </w:tcPr>
          <w:p w14:paraId="72D6AA8D" w14:textId="77777777" w:rsidR="00B73CCC" w:rsidRPr="00911014" w:rsidRDefault="00B73CCC" w:rsidP="00A959DB">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eastAsia="el-GR"/>
              </w:rPr>
            </w:pPr>
            <w:r w:rsidRPr="00911014">
              <w:rPr>
                <w:rFonts w:eastAsia="Times New Roman" w:cs="Calibri"/>
                <w:color w:val="000000"/>
                <w:lang w:val="en-US" w:eastAsia="el-GR"/>
              </w:rPr>
              <w:t>14.04.2025</w:t>
            </w:r>
          </w:p>
        </w:tc>
      </w:tr>
      <w:tr w:rsidR="00B73CCC" w:rsidRPr="00911014" w14:paraId="29245204" w14:textId="77777777" w:rsidTr="00A959D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894" w:type="dxa"/>
          </w:tcPr>
          <w:p w14:paraId="00FE3ACD" w14:textId="77777777" w:rsidR="00B73CCC" w:rsidRPr="00DB5107" w:rsidRDefault="00B73CCC" w:rsidP="00A959DB">
            <w:pPr>
              <w:widowControl/>
              <w:autoSpaceDE/>
              <w:autoSpaceDN/>
              <w:spacing w:line="336" w:lineRule="atLeast"/>
              <w:rPr>
                <w:rFonts w:eastAsia="Times New Roman" w:cs="Times New Roman"/>
                <w:b w:val="0"/>
                <w:bCs w:val="0"/>
                <w:lang w:eastAsia="el-GR"/>
              </w:rPr>
            </w:pPr>
            <w:r w:rsidRPr="00911014">
              <w:rPr>
                <w:rFonts w:cstheme="minorHAnsi"/>
                <w:b w:val="0"/>
                <w:bCs w:val="0"/>
              </w:rPr>
              <w:t>Ανακοίνωση των Βασικών Οικονομικών Μεγεθών Α’ Τριμήνου 2025</w:t>
            </w:r>
          </w:p>
        </w:tc>
        <w:tc>
          <w:tcPr>
            <w:tcW w:w="1737" w:type="dxa"/>
          </w:tcPr>
          <w:p w14:paraId="34227662" w14:textId="77777777" w:rsidR="00B73CCC" w:rsidRPr="00911014" w:rsidRDefault="00B73CCC" w:rsidP="00A959DB">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2</w:t>
            </w:r>
            <w:r>
              <w:rPr>
                <w:rFonts w:eastAsia="Times New Roman" w:cs="Calibri"/>
                <w:color w:val="000000"/>
                <w:lang w:val="en-US" w:eastAsia="el-GR"/>
              </w:rPr>
              <w:t>1</w:t>
            </w:r>
            <w:r w:rsidRPr="00911014">
              <w:rPr>
                <w:rFonts w:eastAsia="Times New Roman" w:cs="Calibri"/>
                <w:color w:val="000000"/>
                <w:lang w:val="en-US" w:eastAsia="el-GR"/>
              </w:rPr>
              <w:t>.05.</w:t>
            </w:r>
            <w:r>
              <w:rPr>
                <w:rFonts w:eastAsia="Times New Roman" w:cs="Calibri"/>
                <w:color w:val="000000"/>
                <w:lang w:val="en-US" w:eastAsia="el-GR"/>
              </w:rPr>
              <w:t>2025</w:t>
            </w:r>
          </w:p>
        </w:tc>
      </w:tr>
      <w:tr w:rsidR="00B73CCC" w:rsidRPr="00911014" w14:paraId="12CD6D26" w14:textId="77777777" w:rsidTr="00A959DB">
        <w:trPr>
          <w:trHeight w:val="54"/>
        </w:trPr>
        <w:tc>
          <w:tcPr>
            <w:cnfStyle w:val="001000000000" w:firstRow="0" w:lastRow="0" w:firstColumn="1" w:lastColumn="0" w:oddVBand="0" w:evenVBand="0" w:oddHBand="0" w:evenHBand="0" w:firstRowFirstColumn="0" w:firstRowLastColumn="0" w:lastRowFirstColumn="0" w:lastRowLastColumn="0"/>
            <w:tcW w:w="8894" w:type="dxa"/>
          </w:tcPr>
          <w:p w14:paraId="716B1C35" w14:textId="77777777" w:rsidR="00B73CCC" w:rsidRPr="00DB5107" w:rsidRDefault="00B73CCC" w:rsidP="00A959DB">
            <w:pPr>
              <w:widowControl/>
              <w:autoSpaceDE/>
              <w:autoSpaceDN/>
              <w:spacing w:line="336" w:lineRule="atLeast"/>
              <w:rPr>
                <w:rFonts w:eastAsia="Times New Roman" w:cs="Times New Roman"/>
                <w:b w:val="0"/>
                <w:bCs w:val="0"/>
                <w:lang w:eastAsia="el-GR"/>
              </w:rPr>
            </w:pPr>
            <w:r w:rsidRPr="006B117A">
              <w:rPr>
                <w:rFonts w:cstheme="minorHAnsi"/>
                <w:b w:val="0"/>
                <w:bCs w:val="0"/>
              </w:rPr>
              <w:t>Ενημέρωση Αναλυτών επί των Βασικών Οικονομικών Μεγεθών Α’ Τριμήνου 2025</w:t>
            </w:r>
          </w:p>
        </w:tc>
        <w:tc>
          <w:tcPr>
            <w:tcW w:w="1737" w:type="dxa"/>
          </w:tcPr>
          <w:p w14:paraId="35262104" w14:textId="77777777" w:rsidR="00B73CCC" w:rsidRPr="00911014" w:rsidRDefault="00B73CCC" w:rsidP="00A959DB">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2</w:t>
            </w:r>
            <w:r>
              <w:rPr>
                <w:rFonts w:eastAsia="Times New Roman" w:cs="Calibri"/>
                <w:color w:val="000000"/>
                <w:lang w:val="en-US" w:eastAsia="el-GR"/>
              </w:rPr>
              <w:t>2</w:t>
            </w:r>
            <w:r w:rsidRPr="00911014">
              <w:rPr>
                <w:rFonts w:eastAsia="Times New Roman" w:cs="Calibri"/>
                <w:color w:val="000000"/>
                <w:lang w:val="en-US" w:eastAsia="el-GR"/>
              </w:rPr>
              <w:t>.05.</w:t>
            </w:r>
            <w:r>
              <w:rPr>
                <w:rFonts w:eastAsia="Times New Roman" w:cs="Calibri"/>
                <w:color w:val="000000"/>
                <w:lang w:val="en-US" w:eastAsia="el-GR"/>
              </w:rPr>
              <w:t>2025</w:t>
            </w:r>
          </w:p>
        </w:tc>
      </w:tr>
      <w:tr w:rsidR="00B73CCC" w:rsidRPr="00911014" w14:paraId="3B36DCA0" w14:textId="77777777" w:rsidTr="00A959D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894" w:type="dxa"/>
          </w:tcPr>
          <w:p w14:paraId="6DE10459"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911014">
              <w:rPr>
                <w:rFonts w:cstheme="minorHAnsi"/>
                <w:b w:val="0"/>
                <w:bCs w:val="0"/>
              </w:rPr>
              <w:t>Ετήσια Τακτική Γενική Συνέλευση των Μετόχων</w:t>
            </w:r>
          </w:p>
        </w:tc>
        <w:tc>
          <w:tcPr>
            <w:tcW w:w="1737" w:type="dxa"/>
          </w:tcPr>
          <w:p w14:paraId="6C70B75A" w14:textId="77777777" w:rsidR="00B73CCC" w:rsidRPr="00911014" w:rsidRDefault="00B73CCC" w:rsidP="00A959DB">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2</w:t>
            </w:r>
            <w:r>
              <w:rPr>
                <w:rFonts w:eastAsia="Times New Roman" w:cs="Calibri"/>
                <w:color w:val="000000"/>
                <w:lang w:val="en-US" w:eastAsia="el-GR"/>
              </w:rPr>
              <w:t>2</w:t>
            </w:r>
            <w:r w:rsidRPr="00911014">
              <w:rPr>
                <w:rFonts w:eastAsia="Times New Roman" w:cs="Calibri"/>
                <w:color w:val="000000"/>
                <w:lang w:val="en-US" w:eastAsia="el-GR"/>
              </w:rPr>
              <w:t>.05.</w:t>
            </w:r>
            <w:r>
              <w:rPr>
                <w:rFonts w:eastAsia="Times New Roman" w:cs="Calibri"/>
                <w:color w:val="000000"/>
                <w:lang w:val="en-US" w:eastAsia="el-GR"/>
              </w:rPr>
              <w:t>2025</w:t>
            </w:r>
          </w:p>
        </w:tc>
      </w:tr>
      <w:tr w:rsidR="00B73CCC" w:rsidRPr="00911014" w14:paraId="4842232D" w14:textId="77777777" w:rsidTr="00A959DB">
        <w:trPr>
          <w:trHeight w:val="54"/>
        </w:trPr>
        <w:tc>
          <w:tcPr>
            <w:cnfStyle w:val="001000000000" w:firstRow="0" w:lastRow="0" w:firstColumn="1" w:lastColumn="0" w:oddVBand="0" w:evenVBand="0" w:oddHBand="0" w:evenHBand="0" w:firstRowFirstColumn="0" w:firstRowLastColumn="0" w:lastRowFirstColumn="0" w:lastRowLastColumn="0"/>
            <w:tcW w:w="8894" w:type="dxa"/>
          </w:tcPr>
          <w:p w14:paraId="42BAB360" w14:textId="77777777" w:rsidR="00B73CCC" w:rsidRPr="00911014" w:rsidRDefault="00B73CCC" w:rsidP="00A959DB">
            <w:pPr>
              <w:widowControl/>
              <w:autoSpaceDE/>
              <w:autoSpaceDN/>
              <w:spacing w:line="336" w:lineRule="atLeast"/>
              <w:rPr>
                <w:rFonts w:eastAsia="Times New Roman" w:cs="Times New Roman"/>
                <w:b w:val="0"/>
                <w:bCs w:val="0"/>
                <w:lang w:val="en-US" w:eastAsia="el-GR"/>
              </w:rPr>
            </w:pPr>
            <w:r w:rsidRPr="00911014">
              <w:rPr>
                <w:rFonts w:cstheme="minorHAnsi"/>
                <w:b w:val="0"/>
                <w:bCs w:val="0"/>
              </w:rPr>
              <w:t>Ημερομηνία Αποκοπής Μερίσματος Χρήσης 202</w:t>
            </w:r>
            <w:r>
              <w:rPr>
                <w:rFonts w:cstheme="minorHAnsi"/>
                <w:b w:val="0"/>
                <w:bCs w:val="0"/>
                <w:lang w:val="en-US"/>
              </w:rPr>
              <w:t>4</w:t>
            </w:r>
          </w:p>
        </w:tc>
        <w:tc>
          <w:tcPr>
            <w:tcW w:w="1737" w:type="dxa"/>
          </w:tcPr>
          <w:p w14:paraId="0F804E22" w14:textId="77777777" w:rsidR="00B73CCC" w:rsidRPr="00911014" w:rsidRDefault="00B73CCC" w:rsidP="00A959DB">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2</w:t>
            </w:r>
            <w:r>
              <w:rPr>
                <w:rFonts w:eastAsia="Times New Roman" w:cs="Calibri"/>
                <w:color w:val="000000"/>
                <w:lang w:val="en-US" w:eastAsia="el-GR"/>
              </w:rPr>
              <w:t>6</w:t>
            </w:r>
            <w:r w:rsidRPr="00911014">
              <w:rPr>
                <w:rFonts w:eastAsia="Times New Roman" w:cs="Calibri"/>
                <w:color w:val="000000"/>
                <w:lang w:val="en-US" w:eastAsia="el-GR"/>
              </w:rPr>
              <w:t>.06.</w:t>
            </w:r>
            <w:r>
              <w:rPr>
                <w:rFonts w:eastAsia="Times New Roman" w:cs="Calibri"/>
                <w:color w:val="000000"/>
                <w:lang w:val="en-US" w:eastAsia="el-GR"/>
              </w:rPr>
              <w:t>2025</w:t>
            </w:r>
          </w:p>
        </w:tc>
      </w:tr>
      <w:tr w:rsidR="00B73CCC" w:rsidRPr="00911014" w14:paraId="76FF2863" w14:textId="77777777" w:rsidTr="00A959D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894" w:type="dxa"/>
          </w:tcPr>
          <w:p w14:paraId="2C4C515C"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911014">
              <w:rPr>
                <w:rFonts w:cstheme="minorHAnsi"/>
                <w:b w:val="0"/>
                <w:bCs w:val="0"/>
              </w:rPr>
              <w:t>Ημερομηνία Προσδιορισμού Δικαιούχων Μερίσματος Χρήσης 202</w:t>
            </w:r>
            <w:r w:rsidRPr="006B117A">
              <w:rPr>
                <w:rFonts w:cstheme="minorHAnsi"/>
                <w:b w:val="0"/>
                <w:bCs w:val="0"/>
              </w:rPr>
              <w:t>4</w:t>
            </w:r>
          </w:p>
        </w:tc>
        <w:tc>
          <w:tcPr>
            <w:tcW w:w="1737" w:type="dxa"/>
          </w:tcPr>
          <w:p w14:paraId="06DA125D" w14:textId="77777777" w:rsidR="00B73CCC" w:rsidRPr="00911014" w:rsidRDefault="00B73CCC" w:rsidP="00A959DB">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2</w:t>
            </w:r>
            <w:r>
              <w:rPr>
                <w:rFonts w:eastAsia="Times New Roman" w:cs="Calibri"/>
                <w:color w:val="000000"/>
                <w:lang w:val="en-US" w:eastAsia="el-GR"/>
              </w:rPr>
              <w:t>7</w:t>
            </w:r>
            <w:r w:rsidRPr="00911014">
              <w:rPr>
                <w:rFonts w:eastAsia="Times New Roman" w:cs="Calibri"/>
                <w:color w:val="000000"/>
                <w:lang w:val="en-US" w:eastAsia="el-GR"/>
              </w:rPr>
              <w:t>.06.</w:t>
            </w:r>
            <w:r>
              <w:rPr>
                <w:rFonts w:eastAsia="Times New Roman" w:cs="Calibri"/>
                <w:color w:val="000000"/>
                <w:lang w:val="en-US" w:eastAsia="el-GR"/>
              </w:rPr>
              <w:t>2025</w:t>
            </w:r>
          </w:p>
        </w:tc>
      </w:tr>
      <w:tr w:rsidR="00B73CCC" w:rsidRPr="00911014" w14:paraId="2060F89A" w14:textId="77777777" w:rsidTr="00A959DB">
        <w:trPr>
          <w:trHeight w:val="54"/>
        </w:trPr>
        <w:tc>
          <w:tcPr>
            <w:cnfStyle w:val="001000000000" w:firstRow="0" w:lastRow="0" w:firstColumn="1" w:lastColumn="0" w:oddVBand="0" w:evenVBand="0" w:oddHBand="0" w:evenHBand="0" w:firstRowFirstColumn="0" w:firstRowLastColumn="0" w:lastRowFirstColumn="0" w:lastRowLastColumn="0"/>
            <w:tcW w:w="8894" w:type="dxa"/>
          </w:tcPr>
          <w:p w14:paraId="35BD5D6B"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911014">
              <w:rPr>
                <w:rFonts w:cstheme="minorHAnsi"/>
                <w:b w:val="0"/>
                <w:bCs w:val="0"/>
              </w:rPr>
              <w:t>Ημερομηνία Έναρξης Καταβολής Μερίσματος Χρήσης 202</w:t>
            </w:r>
            <w:r w:rsidRPr="006B117A">
              <w:rPr>
                <w:rFonts w:cstheme="minorHAnsi"/>
                <w:b w:val="0"/>
                <w:bCs w:val="0"/>
              </w:rPr>
              <w:t>4</w:t>
            </w:r>
          </w:p>
        </w:tc>
        <w:tc>
          <w:tcPr>
            <w:tcW w:w="1737" w:type="dxa"/>
          </w:tcPr>
          <w:p w14:paraId="3CB5AAA9" w14:textId="77777777" w:rsidR="00B73CCC" w:rsidRPr="00911014" w:rsidRDefault="00B73CCC" w:rsidP="00A959DB">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0</w:t>
            </w:r>
            <w:r>
              <w:rPr>
                <w:rFonts w:eastAsia="Times New Roman" w:cs="Calibri"/>
                <w:color w:val="000000"/>
                <w:lang w:val="en-US" w:eastAsia="el-GR"/>
              </w:rPr>
              <w:t>2</w:t>
            </w:r>
            <w:r w:rsidRPr="00911014">
              <w:rPr>
                <w:rFonts w:eastAsia="Times New Roman" w:cs="Calibri"/>
                <w:color w:val="000000"/>
                <w:lang w:val="en-US" w:eastAsia="el-GR"/>
              </w:rPr>
              <w:t>.07.</w:t>
            </w:r>
            <w:r>
              <w:rPr>
                <w:rFonts w:eastAsia="Times New Roman" w:cs="Calibri"/>
                <w:color w:val="000000"/>
                <w:lang w:val="en-US" w:eastAsia="el-GR"/>
              </w:rPr>
              <w:t>2025</w:t>
            </w:r>
          </w:p>
        </w:tc>
      </w:tr>
      <w:tr w:rsidR="00B73CCC" w:rsidRPr="00911014" w14:paraId="4DAFF11E" w14:textId="77777777" w:rsidTr="00A959D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894" w:type="dxa"/>
          </w:tcPr>
          <w:p w14:paraId="432DF24E"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6B117A">
              <w:rPr>
                <w:rFonts w:cstheme="minorHAnsi"/>
                <w:b w:val="0"/>
                <w:bCs w:val="0"/>
              </w:rPr>
              <w:t>Ανακοίνωση των Οικονομικών Αποτελεσμάτων Α’ Εξαμήνου 2025 και δημοσίευση της Εξαμηνιαίας Οικονομικής Έκθεσης 2025</w:t>
            </w:r>
          </w:p>
        </w:tc>
        <w:tc>
          <w:tcPr>
            <w:tcW w:w="1737" w:type="dxa"/>
          </w:tcPr>
          <w:p w14:paraId="54B56351" w14:textId="77777777" w:rsidR="00B73CCC" w:rsidRPr="00911014" w:rsidRDefault="00B73CCC" w:rsidP="00A959DB">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1</w:t>
            </w:r>
            <w:r>
              <w:rPr>
                <w:rFonts w:eastAsia="Times New Roman" w:cs="Calibri"/>
                <w:color w:val="000000"/>
                <w:lang w:val="en-US" w:eastAsia="el-GR"/>
              </w:rPr>
              <w:t>0</w:t>
            </w:r>
            <w:r w:rsidRPr="00911014">
              <w:rPr>
                <w:rFonts w:eastAsia="Times New Roman" w:cs="Calibri"/>
                <w:color w:val="000000"/>
                <w:lang w:val="en-US" w:eastAsia="el-GR"/>
              </w:rPr>
              <w:t>.09.</w:t>
            </w:r>
            <w:r>
              <w:rPr>
                <w:rFonts w:eastAsia="Times New Roman" w:cs="Calibri"/>
                <w:color w:val="000000"/>
                <w:lang w:val="en-US" w:eastAsia="el-GR"/>
              </w:rPr>
              <w:t>2025</w:t>
            </w:r>
          </w:p>
        </w:tc>
      </w:tr>
      <w:tr w:rsidR="00B73CCC" w:rsidRPr="00911014" w14:paraId="4AF8F87D" w14:textId="77777777" w:rsidTr="00A959DB">
        <w:trPr>
          <w:trHeight w:val="54"/>
        </w:trPr>
        <w:tc>
          <w:tcPr>
            <w:cnfStyle w:val="001000000000" w:firstRow="0" w:lastRow="0" w:firstColumn="1" w:lastColumn="0" w:oddVBand="0" w:evenVBand="0" w:oddHBand="0" w:evenHBand="0" w:firstRowFirstColumn="0" w:firstRowLastColumn="0" w:lastRowFirstColumn="0" w:lastRowLastColumn="0"/>
            <w:tcW w:w="8894" w:type="dxa"/>
          </w:tcPr>
          <w:p w14:paraId="71C1EBCE"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6B117A">
              <w:rPr>
                <w:rFonts w:cstheme="minorHAnsi"/>
                <w:b w:val="0"/>
                <w:bCs w:val="0"/>
              </w:rPr>
              <w:t>Ενημέρωση Αναλυτών επί των Οικονομικών Αποτελεσμάτων Α’ Εξαμήνου 2025</w:t>
            </w:r>
          </w:p>
        </w:tc>
        <w:tc>
          <w:tcPr>
            <w:tcW w:w="1737" w:type="dxa"/>
          </w:tcPr>
          <w:p w14:paraId="37802ADC" w14:textId="77777777" w:rsidR="00B73CCC" w:rsidRPr="00911014" w:rsidRDefault="00B73CCC" w:rsidP="00A959DB">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911014">
              <w:rPr>
                <w:rFonts w:eastAsia="Times New Roman" w:cs="Calibri"/>
                <w:color w:val="000000"/>
                <w:lang w:val="en-US" w:eastAsia="el-GR"/>
              </w:rPr>
              <w:t>1</w:t>
            </w:r>
            <w:r>
              <w:rPr>
                <w:rFonts w:eastAsia="Times New Roman" w:cs="Calibri"/>
                <w:color w:val="000000"/>
                <w:lang w:val="en-US" w:eastAsia="el-GR"/>
              </w:rPr>
              <w:t>1</w:t>
            </w:r>
            <w:r w:rsidRPr="00911014">
              <w:rPr>
                <w:rFonts w:eastAsia="Times New Roman" w:cs="Calibri"/>
                <w:color w:val="000000"/>
                <w:lang w:val="en-US" w:eastAsia="el-GR"/>
              </w:rPr>
              <w:t>.09.</w:t>
            </w:r>
            <w:r>
              <w:rPr>
                <w:rFonts w:eastAsia="Times New Roman" w:cs="Calibri"/>
                <w:color w:val="000000"/>
                <w:lang w:val="en-US" w:eastAsia="el-GR"/>
              </w:rPr>
              <w:t>2025</w:t>
            </w:r>
          </w:p>
        </w:tc>
      </w:tr>
      <w:tr w:rsidR="00B73CCC" w:rsidRPr="00911014" w14:paraId="21B1EC9B" w14:textId="77777777" w:rsidTr="00A959D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894" w:type="dxa"/>
          </w:tcPr>
          <w:p w14:paraId="4C61A096"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911014">
              <w:rPr>
                <w:rFonts w:cstheme="minorHAnsi"/>
                <w:b w:val="0"/>
                <w:bCs w:val="0"/>
              </w:rPr>
              <w:t>Ανακοίνωση των Βασικών Οικονομικών Μεγεθών Γ΄ Τριμήνου 202</w:t>
            </w:r>
            <w:r w:rsidRPr="006B117A">
              <w:rPr>
                <w:rFonts w:cstheme="minorHAnsi"/>
                <w:b w:val="0"/>
                <w:bCs w:val="0"/>
              </w:rPr>
              <w:t>5</w:t>
            </w:r>
          </w:p>
        </w:tc>
        <w:tc>
          <w:tcPr>
            <w:tcW w:w="1737" w:type="dxa"/>
          </w:tcPr>
          <w:p w14:paraId="585A77C7" w14:textId="77777777" w:rsidR="00B73CCC" w:rsidRPr="00911014" w:rsidRDefault="00B73CCC" w:rsidP="00A959DB">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Pr>
                <w:rFonts w:eastAsia="Times New Roman" w:cs="Times New Roman"/>
                <w:lang w:val="en-US" w:eastAsia="el-GR"/>
              </w:rPr>
              <w:t>19</w:t>
            </w:r>
            <w:r w:rsidRPr="00911014">
              <w:rPr>
                <w:rFonts w:eastAsia="Times New Roman" w:cs="Times New Roman"/>
                <w:lang w:eastAsia="el-GR"/>
              </w:rPr>
              <w:t>.11.</w:t>
            </w:r>
            <w:r>
              <w:rPr>
                <w:rFonts w:eastAsia="Times New Roman" w:cs="Times New Roman"/>
                <w:lang w:eastAsia="el-GR"/>
              </w:rPr>
              <w:t>2025</w:t>
            </w:r>
          </w:p>
        </w:tc>
      </w:tr>
      <w:tr w:rsidR="00B73CCC" w:rsidRPr="00911014" w14:paraId="05022E12" w14:textId="77777777" w:rsidTr="00A959DB">
        <w:trPr>
          <w:trHeight w:val="54"/>
        </w:trPr>
        <w:tc>
          <w:tcPr>
            <w:cnfStyle w:val="001000000000" w:firstRow="0" w:lastRow="0" w:firstColumn="1" w:lastColumn="0" w:oddVBand="0" w:evenVBand="0" w:oddHBand="0" w:evenHBand="0" w:firstRowFirstColumn="0" w:firstRowLastColumn="0" w:lastRowFirstColumn="0" w:lastRowLastColumn="0"/>
            <w:tcW w:w="8894" w:type="dxa"/>
          </w:tcPr>
          <w:p w14:paraId="41CEAB95" w14:textId="77777777" w:rsidR="00B73CCC" w:rsidRPr="00911014" w:rsidRDefault="00B73CCC" w:rsidP="00A959DB">
            <w:pPr>
              <w:widowControl/>
              <w:autoSpaceDE/>
              <w:autoSpaceDN/>
              <w:spacing w:line="336" w:lineRule="atLeast"/>
              <w:rPr>
                <w:rFonts w:eastAsia="Times New Roman" w:cs="Times New Roman"/>
                <w:b w:val="0"/>
                <w:bCs w:val="0"/>
                <w:lang w:eastAsia="el-GR"/>
              </w:rPr>
            </w:pPr>
            <w:r w:rsidRPr="00911014">
              <w:rPr>
                <w:rFonts w:cstheme="minorHAnsi"/>
                <w:b w:val="0"/>
                <w:bCs w:val="0"/>
              </w:rPr>
              <w:t>Ενημέρωση Αναλυτών επί των Βασικών Οικονομικών Μεγεθών Γ’ Τριμήνου 202</w:t>
            </w:r>
            <w:r w:rsidRPr="00E265DE">
              <w:rPr>
                <w:rFonts w:cstheme="minorHAnsi"/>
                <w:b w:val="0"/>
                <w:bCs w:val="0"/>
              </w:rPr>
              <w:t>5</w:t>
            </w:r>
          </w:p>
        </w:tc>
        <w:tc>
          <w:tcPr>
            <w:tcW w:w="1737" w:type="dxa"/>
          </w:tcPr>
          <w:p w14:paraId="30995297" w14:textId="77777777" w:rsidR="00B73CCC" w:rsidRPr="00911014" w:rsidRDefault="00B73CCC" w:rsidP="00A959DB">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911014">
              <w:rPr>
                <w:rFonts w:eastAsia="Times New Roman" w:cs="Times New Roman"/>
                <w:lang w:eastAsia="el-GR"/>
              </w:rPr>
              <w:t>2</w:t>
            </w:r>
            <w:r>
              <w:rPr>
                <w:rFonts w:eastAsia="Times New Roman" w:cs="Times New Roman"/>
                <w:lang w:val="en-US" w:eastAsia="el-GR"/>
              </w:rPr>
              <w:t>0</w:t>
            </w:r>
            <w:r w:rsidRPr="00911014">
              <w:rPr>
                <w:rFonts w:eastAsia="Times New Roman" w:cs="Times New Roman"/>
                <w:lang w:eastAsia="el-GR"/>
              </w:rPr>
              <w:t>.11.</w:t>
            </w:r>
            <w:r>
              <w:rPr>
                <w:rFonts w:eastAsia="Times New Roman" w:cs="Times New Roman"/>
                <w:lang w:eastAsia="el-GR"/>
              </w:rPr>
              <w:t>2025</w:t>
            </w:r>
          </w:p>
        </w:tc>
      </w:tr>
    </w:tbl>
    <w:p w14:paraId="3FAE1965" w14:textId="77777777" w:rsidR="00B73CCC" w:rsidRPr="003A6F5B" w:rsidRDefault="00B73CCC" w:rsidP="00B73CCC">
      <w:pPr>
        <w:rPr>
          <w:b/>
          <w:bCs/>
          <w:color w:val="A6A6A6" w:themeColor="background1" w:themeShade="A6"/>
          <w:sz w:val="24"/>
          <w:szCs w:val="24"/>
        </w:rPr>
        <w:sectPr w:rsidR="00B73CCC" w:rsidRPr="003A6F5B" w:rsidSect="00B73CCC">
          <w:pgSz w:w="11910" w:h="16840"/>
          <w:pgMar w:top="1440" w:right="570" w:bottom="1440" w:left="709" w:header="0" w:footer="749" w:gutter="0"/>
          <w:pgBorders w:offsetFrom="page">
            <w:bottom w:val="single" w:sz="4" w:space="24" w:color="auto"/>
          </w:pgBorders>
          <w:cols w:space="720"/>
          <w:docGrid w:linePitch="299"/>
        </w:sectPr>
      </w:pPr>
    </w:p>
    <w:p w14:paraId="1510FBA8" w14:textId="77777777" w:rsidR="00B73CCC" w:rsidRPr="003A6F5B" w:rsidRDefault="00B73CCC" w:rsidP="00B73CCC">
      <w:pPr>
        <w:rPr>
          <w:b/>
          <w:bCs/>
          <w:color w:val="A6A6A6" w:themeColor="background1" w:themeShade="A6"/>
          <w:sz w:val="24"/>
          <w:szCs w:val="24"/>
        </w:rPr>
      </w:pPr>
      <w:r w:rsidRPr="003A6F5B">
        <w:rPr>
          <w:b/>
          <w:bCs/>
          <w:color w:val="A6A6A6" w:themeColor="background1" w:themeShade="A6"/>
          <w:sz w:val="24"/>
          <w:szCs w:val="24"/>
        </w:rPr>
        <w:lastRenderedPageBreak/>
        <w:t>Παράρτημα</w:t>
      </w:r>
    </w:p>
    <w:p w14:paraId="479305D7" w14:textId="77777777" w:rsidR="00B73CCC" w:rsidRPr="003A6F5B" w:rsidRDefault="00B73CCC" w:rsidP="00B73CCC">
      <w:pPr>
        <w:jc w:val="both"/>
        <w:rPr>
          <w:rFonts w:asciiTheme="minorHAnsi" w:hAnsiTheme="minorHAnsi"/>
          <w:color w:val="231F20"/>
          <w:sz w:val="20"/>
          <w:szCs w:val="18"/>
        </w:rPr>
      </w:pPr>
    </w:p>
    <w:p w14:paraId="6E53F094" w14:textId="77777777" w:rsidR="00B73CCC" w:rsidRPr="003A6F5B" w:rsidRDefault="00B73CCC" w:rsidP="00B73CCC">
      <w:pPr>
        <w:jc w:val="both"/>
        <w:rPr>
          <w:rFonts w:asciiTheme="minorHAnsi" w:hAnsiTheme="minorHAnsi"/>
          <w:color w:val="231F20"/>
          <w:sz w:val="20"/>
          <w:szCs w:val="18"/>
        </w:rPr>
      </w:pPr>
    </w:p>
    <w:tbl>
      <w:tblPr>
        <w:tblW w:w="8801" w:type="dxa"/>
        <w:tblInd w:w="993" w:type="dxa"/>
        <w:tblLook w:val="04A0" w:firstRow="1" w:lastRow="0" w:firstColumn="1" w:lastColumn="0" w:noHBand="0" w:noVBand="1"/>
      </w:tblPr>
      <w:tblGrid>
        <w:gridCol w:w="5954"/>
        <w:gridCol w:w="1417"/>
        <w:gridCol w:w="1430"/>
      </w:tblGrid>
      <w:tr w:rsidR="00B73CCC" w:rsidRPr="003A6F5B" w14:paraId="30B9116D" w14:textId="77777777" w:rsidTr="00A959DB">
        <w:trPr>
          <w:trHeight w:val="288"/>
        </w:trPr>
        <w:tc>
          <w:tcPr>
            <w:tcW w:w="5954" w:type="dxa"/>
            <w:tcBorders>
              <w:top w:val="nil"/>
              <w:left w:val="nil"/>
              <w:bottom w:val="nil"/>
              <w:right w:val="nil"/>
            </w:tcBorders>
            <w:shd w:val="clear" w:color="auto" w:fill="auto"/>
            <w:noWrap/>
            <w:vAlign w:val="bottom"/>
            <w:hideMark/>
          </w:tcPr>
          <w:p w14:paraId="2541580D" w14:textId="77777777" w:rsidR="00B73CCC" w:rsidRPr="003A6F5B" w:rsidRDefault="00B73CCC" w:rsidP="00A959DB">
            <w:pPr>
              <w:widowControl/>
              <w:autoSpaceDE/>
              <w:autoSpaceDN/>
              <w:rPr>
                <w:rFonts w:eastAsia="Times New Roman" w:cs="Calibri"/>
                <w:b/>
                <w:bCs/>
                <w:color w:val="365F91"/>
                <w:sz w:val="20"/>
                <w:szCs w:val="20"/>
                <w:lang w:eastAsia="el-GR"/>
              </w:rPr>
            </w:pPr>
            <w:r w:rsidRPr="003A6F5B">
              <w:rPr>
                <w:rFonts w:eastAsia="Times New Roman" w:cs="Calibri"/>
                <w:b/>
                <w:bCs/>
                <w:color w:val="365F91"/>
                <w:sz w:val="20"/>
                <w:szCs w:val="20"/>
                <w:lang w:eastAsia="el-GR"/>
              </w:rPr>
              <w:t>Ενοποιημένη Συνοπτική Κατάσταση Οικονομικής Θέσης  (€’000)</w:t>
            </w:r>
          </w:p>
        </w:tc>
        <w:tc>
          <w:tcPr>
            <w:tcW w:w="1417" w:type="dxa"/>
            <w:tcBorders>
              <w:top w:val="nil"/>
              <w:left w:val="nil"/>
              <w:bottom w:val="single" w:sz="4" w:space="0" w:color="auto"/>
              <w:right w:val="nil"/>
            </w:tcBorders>
            <w:shd w:val="clear" w:color="auto" w:fill="auto"/>
            <w:noWrap/>
            <w:vAlign w:val="bottom"/>
            <w:hideMark/>
          </w:tcPr>
          <w:p w14:paraId="56DBAEFB" w14:textId="77777777" w:rsidR="00B73CCC" w:rsidRPr="00F554D3" w:rsidRDefault="00B73CCC" w:rsidP="00A959DB">
            <w:pPr>
              <w:widowControl/>
              <w:autoSpaceDE/>
              <w:autoSpaceDN/>
              <w:jc w:val="center"/>
              <w:rPr>
                <w:rFonts w:eastAsia="Times New Roman" w:cs="Calibri"/>
                <w:b/>
                <w:bCs/>
                <w:lang w:eastAsia="el-GR"/>
              </w:rPr>
            </w:pPr>
            <w:r>
              <w:rPr>
                <w:rFonts w:eastAsia="Times New Roman" w:cstheme="minorBidi"/>
                <w:b/>
                <w:bCs/>
                <w:lang w:eastAsia="el-GR"/>
              </w:rPr>
              <w:t>31.12.2024</w:t>
            </w:r>
          </w:p>
        </w:tc>
        <w:tc>
          <w:tcPr>
            <w:tcW w:w="1430" w:type="dxa"/>
            <w:tcBorders>
              <w:top w:val="nil"/>
              <w:left w:val="nil"/>
              <w:bottom w:val="single" w:sz="4" w:space="0" w:color="auto"/>
              <w:right w:val="nil"/>
            </w:tcBorders>
            <w:shd w:val="clear" w:color="auto" w:fill="auto"/>
            <w:noWrap/>
            <w:vAlign w:val="bottom"/>
            <w:hideMark/>
          </w:tcPr>
          <w:p w14:paraId="44D4BF3B" w14:textId="77777777" w:rsidR="00B73CCC" w:rsidRPr="003A6F5B" w:rsidRDefault="00B73CCC" w:rsidP="00A959DB">
            <w:pPr>
              <w:widowControl/>
              <w:autoSpaceDE/>
              <w:autoSpaceDN/>
              <w:jc w:val="center"/>
              <w:rPr>
                <w:rFonts w:eastAsia="Times New Roman" w:cs="Calibri"/>
                <w:b/>
                <w:bCs/>
                <w:lang w:eastAsia="el-GR"/>
              </w:rPr>
            </w:pPr>
            <w:r w:rsidRPr="003A6F5B">
              <w:rPr>
                <w:rFonts w:eastAsia="Times New Roman" w:cstheme="minorBidi"/>
                <w:b/>
                <w:bCs/>
                <w:lang w:val="en-GB" w:eastAsia="el-GR"/>
              </w:rPr>
              <w:t>31.12.2023</w:t>
            </w:r>
          </w:p>
        </w:tc>
      </w:tr>
      <w:tr w:rsidR="00B73CCC" w:rsidRPr="003A6F5B" w14:paraId="1E760DD4" w14:textId="77777777" w:rsidTr="00A959DB">
        <w:trPr>
          <w:trHeight w:val="288"/>
        </w:trPr>
        <w:tc>
          <w:tcPr>
            <w:tcW w:w="5954" w:type="dxa"/>
            <w:tcBorders>
              <w:top w:val="nil"/>
              <w:left w:val="nil"/>
              <w:bottom w:val="nil"/>
              <w:right w:val="nil"/>
            </w:tcBorders>
            <w:shd w:val="clear" w:color="auto" w:fill="0277B6"/>
            <w:vAlign w:val="bottom"/>
            <w:hideMark/>
          </w:tcPr>
          <w:p w14:paraId="46DE5804" w14:textId="77777777" w:rsidR="00B73CCC" w:rsidRPr="003A6F5B" w:rsidRDefault="00B73CCC" w:rsidP="00A959DB">
            <w:pPr>
              <w:widowControl/>
              <w:autoSpaceDE/>
              <w:autoSpaceDN/>
              <w:rPr>
                <w:rFonts w:eastAsia="Times New Roman" w:cs="Calibri"/>
                <w:b/>
                <w:bCs/>
                <w:color w:val="FFFFFF"/>
                <w:sz w:val="20"/>
                <w:szCs w:val="20"/>
                <w:lang w:eastAsia="el-GR"/>
              </w:rPr>
            </w:pPr>
            <w:r w:rsidRPr="003A6F5B">
              <w:rPr>
                <w:rFonts w:eastAsia="Times New Roman" w:cs="Calibri"/>
                <w:b/>
                <w:bCs/>
                <w:color w:val="FFFFFF"/>
                <w:sz w:val="20"/>
                <w:szCs w:val="20"/>
                <w:lang w:eastAsia="el-GR"/>
              </w:rPr>
              <w:t>ΕΝΕΡΓΗΤΙΚΟ</w:t>
            </w:r>
          </w:p>
        </w:tc>
        <w:tc>
          <w:tcPr>
            <w:tcW w:w="1417" w:type="dxa"/>
            <w:tcBorders>
              <w:top w:val="single" w:sz="4" w:space="0" w:color="auto"/>
              <w:left w:val="nil"/>
              <w:bottom w:val="nil"/>
              <w:right w:val="nil"/>
            </w:tcBorders>
            <w:shd w:val="clear" w:color="auto" w:fill="auto"/>
            <w:noWrap/>
            <w:vAlign w:val="center"/>
          </w:tcPr>
          <w:p w14:paraId="5AE36DFD" w14:textId="77777777" w:rsidR="00B73CCC" w:rsidRPr="003A6F5B" w:rsidRDefault="00B73CCC" w:rsidP="00A959DB">
            <w:pPr>
              <w:widowControl/>
              <w:autoSpaceDE/>
              <w:autoSpaceDN/>
              <w:jc w:val="center"/>
              <w:rPr>
                <w:rFonts w:eastAsia="Times New Roman" w:cs="Calibri"/>
                <w:b/>
                <w:bCs/>
                <w:sz w:val="18"/>
                <w:szCs w:val="18"/>
                <w:lang w:eastAsia="el-GR"/>
              </w:rPr>
            </w:pPr>
          </w:p>
        </w:tc>
        <w:tc>
          <w:tcPr>
            <w:tcW w:w="1430" w:type="dxa"/>
            <w:tcBorders>
              <w:top w:val="single" w:sz="4" w:space="0" w:color="auto"/>
              <w:left w:val="nil"/>
              <w:bottom w:val="nil"/>
              <w:right w:val="nil"/>
            </w:tcBorders>
            <w:shd w:val="clear" w:color="auto" w:fill="auto"/>
            <w:noWrap/>
            <w:vAlign w:val="center"/>
          </w:tcPr>
          <w:p w14:paraId="61FF6943" w14:textId="77777777" w:rsidR="00B73CCC" w:rsidRPr="003A6F5B" w:rsidRDefault="00B73CCC" w:rsidP="00A959DB">
            <w:pPr>
              <w:widowControl/>
              <w:autoSpaceDE/>
              <w:autoSpaceDN/>
              <w:jc w:val="center"/>
              <w:rPr>
                <w:rFonts w:eastAsia="Times New Roman" w:cs="Calibri"/>
                <w:b/>
                <w:bCs/>
                <w:sz w:val="18"/>
                <w:szCs w:val="18"/>
                <w:lang w:eastAsia="el-GR"/>
              </w:rPr>
            </w:pPr>
          </w:p>
        </w:tc>
      </w:tr>
      <w:tr w:rsidR="00B73CCC" w:rsidRPr="003A6F5B" w14:paraId="24177822" w14:textId="77777777" w:rsidTr="00A959DB">
        <w:trPr>
          <w:trHeight w:val="288"/>
        </w:trPr>
        <w:tc>
          <w:tcPr>
            <w:tcW w:w="5954" w:type="dxa"/>
            <w:tcBorders>
              <w:top w:val="nil"/>
              <w:left w:val="nil"/>
              <w:bottom w:val="nil"/>
              <w:right w:val="nil"/>
            </w:tcBorders>
            <w:shd w:val="clear" w:color="auto" w:fill="auto"/>
            <w:vAlign w:val="bottom"/>
            <w:hideMark/>
          </w:tcPr>
          <w:p w14:paraId="31FD335E"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Μη κυκλοφορούντα στοιχεία ενεργητικού</w:t>
            </w:r>
          </w:p>
        </w:tc>
        <w:tc>
          <w:tcPr>
            <w:tcW w:w="1417" w:type="dxa"/>
            <w:tcBorders>
              <w:top w:val="nil"/>
              <w:left w:val="nil"/>
              <w:bottom w:val="nil"/>
              <w:right w:val="nil"/>
            </w:tcBorders>
            <w:shd w:val="clear" w:color="000000" w:fill="C5D9F1"/>
            <w:noWrap/>
            <w:vAlign w:val="center"/>
            <w:hideMark/>
          </w:tcPr>
          <w:p w14:paraId="59A85D36"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1.256.791</w:t>
            </w:r>
          </w:p>
        </w:tc>
        <w:tc>
          <w:tcPr>
            <w:tcW w:w="1430" w:type="dxa"/>
            <w:tcBorders>
              <w:top w:val="nil"/>
              <w:left w:val="nil"/>
              <w:bottom w:val="nil"/>
              <w:right w:val="nil"/>
            </w:tcBorders>
            <w:shd w:val="clear" w:color="auto" w:fill="auto"/>
            <w:noWrap/>
            <w:vAlign w:val="center"/>
            <w:hideMark/>
          </w:tcPr>
          <w:p w14:paraId="2B0CC612"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1.256.318</w:t>
            </w:r>
          </w:p>
        </w:tc>
      </w:tr>
      <w:tr w:rsidR="00B73CCC" w:rsidRPr="003A6F5B" w14:paraId="578301D1" w14:textId="77777777" w:rsidTr="00A959DB">
        <w:trPr>
          <w:trHeight w:val="288"/>
        </w:trPr>
        <w:tc>
          <w:tcPr>
            <w:tcW w:w="5954" w:type="dxa"/>
            <w:tcBorders>
              <w:top w:val="nil"/>
              <w:left w:val="nil"/>
              <w:bottom w:val="nil"/>
              <w:right w:val="nil"/>
            </w:tcBorders>
            <w:shd w:val="clear" w:color="auto" w:fill="auto"/>
            <w:vAlign w:val="bottom"/>
            <w:hideMark/>
          </w:tcPr>
          <w:p w14:paraId="336870CA"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Αποθέματα</w:t>
            </w:r>
          </w:p>
        </w:tc>
        <w:tc>
          <w:tcPr>
            <w:tcW w:w="1417" w:type="dxa"/>
            <w:tcBorders>
              <w:top w:val="nil"/>
              <w:left w:val="nil"/>
              <w:bottom w:val="nil"/>
              <w:right w:val="nil"/>
            </w:tcBorders>
            <w:shd w:val="clear" w:color="000000" w:fill="C5D9F1"/>
            <w:noWrap/>
            <w:vAlign w:val="center"/>
            <w:hideMark/>
          </w:tcPr>
          <w:p w14:paraId="48BBD750"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802.017</w:t>
            </w:r>
          </w:p>
        </w:tc>
        <w:tc>
          <w:tcPr>
            <w:tcW w:w="1430" w:type="dxa"/>
            <w:tcBorders>
              <w:top w:val="nil"/>
              <w:left w:val="nil"/>
              <w:bottom w:val="nil"/>
              <w:right w:val="nil"/>
            </w:tcBorders>
            <w:shd w:val="clear" w:color="auto" w:fill="auto"/>
            <w:noWrap/>
            <w:vAlign w:val="center"/>
            <w:hideMark/>
          </w:tcPr>
          <w:p w14:paraId="69400169"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734.729</w:t>
            </w:r>
          </w:p>
        </w:tc>
      </w:tr>
      <w:tr w:rsidR="00B73CCC" w:rsidRPr="003A6F5B" w14:paraId="5FE6A57E" w14:textId="77777777" w:rsidTr="00A959DB">
        <w:trPr>
          <w:trHeight w:val="288"/>
        </w:trPr>
        <w:tc>
          <w:tcPr>
            <w:tcW w:w="5954" w:type="dxa"/>
            <w:tcBorders>
              <w:top w:val="nil"/>
              <w:left w:val="nil"/>
              <w:bottom w:val="nil"/>
              <w:right w:val="nil"/>
            </w:tcBorders>
            <w:shd w:val="clear" w:color="auto" w:fill="auto"/>
            <w:vAlign w:val="bottom"/>
            <w:hideMark/>
          </w:tcPr>
          <w:p w14:paraId="57E9A59C"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Απαιτήσεις από πελάτες</w:t>
            </w:r>
          </w:p>
        </w:tc>
        <w:tc>
          <w:tcPr>
            <w:tcW w:w="1417" w:type="dxa"/>
            <w:tcBorders>
              <w:top w:val="nil"/>
              <w:left w:val="nil"/>
              <w:bottom w:val="nil"/>
              <w:right w:val="nil"/>
            </w:tcBorders>
            <w:shd w:val="clear" w:color="000000" w:fill="C5D9F1"/>
            <w:noWrap/>
            <w:vAlign w:val="center"/>
            <w:hideMark/>
          </w:tcPr>
          <w:p w14:paraId="39834716"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301.717</w:t>
            </w:r>
          </w:p>
        </w:tc>
        <w:tc>
          <w:tcPr>
            <w:tcW w:w="1430" w:type="dxa"/>
            <w:tcBorders>
              <w:top w:val="nil"/>
              <w:left w:val="nil"/>
              <w:bottom w:val="nil"/>
              <w:right w:val="nil"/>
            </w:tcBorders>
            <w:shd w:val="clear" w:color="auto" w:fill="auto"/>
            <w:noWrap/>
            <w:vAlign w:val="center"/>
            <w:hideMark/>
          </w:tcPr>
          <w:p w14:paraId="7C4AE2AB"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291.116</w:t>
            </w:r>
          </w:p>
        </w:tc>
      </w:tr>
      <w:tr w:rsidR="00B73CCC" w:rsidRPr="003A6F5B" w14:paraId="4D2C4115" w14:textId="77777777" w:rsidTr="00A959DB">
        <w:trPr>
          <w:trHeight w:val="288"/>
        </w:trPr>
        <w:tc>
          <w:tcPr>
            <w:tcW w:w="5954" w:type="dxa"/>
            <w:tcBorders>
              <w:top w:val="nil"/>
              <w:left w:val="nil"/>
              <w:bottom w:val="nil"/>
              <w:right w:val="nil"/>
            </w:tcBorders>
            <w:shd w:val="clear" w:color="auto" w:fill="auto"/>
            <w:vAlign w:val="bottom"/>
            <w:hideMark/>
          </w:tcPr>
          <w:p w14:paraId="2E67B7DA"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Λοιπά κυκλοφορούντα περιουσιακά στοιχεία</w:t>
            </w:r>
          </w:p>
        </w:tc>
        <w:tc>
          <w:tcPr>
            <w:tcW w:w="1417" w:type="dxa"/>
            <w:tcBorders>
              <w:top w:val="nil"/>
              <w:left w:val="nil"/>
              <w:bottom w:val="nil"/>
              <w:right w:val="nil"/>
            </w:tcBorders>
            <w:shd w:val="clear" w:color="000000" w:fill="C5D9F1"/>
            <w:noWrap/>
            <w:vAlign w:val="center"/>
            <w:hideMark/>
          </w:tcPr>
          <w:p w14:paraId="5C05014F"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5.693</w:t>
            </w:r>
          </w:p>
        </w:tc>
        <w:tc>
          <w:tcPr>
            <w:tcW w:w="1430" w:type="dxa"/>
            <w:tcBorders>
              <w:top w:val="nil"/>
              <w:left w:val="nil"/>
              <w:bottom w:val="nil"/>
              <w:right w:val="nil"/>
            </w:tcBorders>
            <w:shd w:val="clear" w:color="auto" w:fill="auto"/>
            <w:noWrap/>
            <w:vAlign w:val="center"/>
            <w:hideMark/>
          </w:tcPr>
          <w:p w14:paraId="471008BE"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9.240</w:t>
            </w:r>
          </w:p>
        </w:tc>
      </w:tr>
      <w:tr w:rsidR="00B73CCC" w:rsidRPr="003A6F5B" w14:paraId="15651BC1" w14:textId="77777777" w:rsidTr="00A959DB">
        <w:trPr>
          <w:trHeight w:val="288"/>
        </w:trPr>
        <w:tc>
          <w:tcPr>
            <w:tcW w:w="5954" w:type="dxa"/>
            <w:tcBorders>
              <w:top w:val="nil"/>
              <w:left w:val="nil"/>
              <w:bottom w:val="nil"/>
              <w:right w:val="nil"/>
            </w:tcBorders>
            <w:shd w:val="clear" w:color="auto" w:fill="auto"/>
            <w:vAlign w:val="bottom"/>
            <w:hideMark/>
          </w:tcPr>
          <w:p w14:paraId="35C99739"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Διαθέσιμα και ταμειακά ισοδύναμα</w:t>
            </w:r>
          </w:p>
        </w:tc>
        <w:tc>
          <w:tcPr>
            <w:tcW w:w="1417" w:type="dxa"/>
            <w:tcBorders>
              <w:top w:val="nil"/>
              <w:left w:val="nil"/>
              <w:bottom w:val="nil"/>
              <w:right w:val="nil"/>
            </w:tcBorders>
            <w:shd w:val="clear" w:color="000000" w:fill="C5D9F1"/>
            <w:noWrap/>
            <w:vAlign w:val="center"/>
            <w:hideMark/>
          </w:tcPr>
          <w:p w14:paraId="11BB4252"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79.687</w:t>
            </w:r>
          </w:p>
        </w:tc>
        <w:tc>
          <w:tcPr>
            <w:tcW w:w="1430" w:type="dxa"/>
            <w:tcBorders>
              <w:top w:val="nil"/>
              <w:left w:val="nil"/>
              <w:bottom w:val="nil"/>
              <w:right w:val="nil"/>
            </w:tcBorders>
            <w:shd w:val="clear" w:color="auto" w:fill="auto"/>
            <w:noWrap/>
            <w:vAlign w:val="center"/>
            <w:hideMark/>
          </w:tcPr>
          <w:p w14:paraId="57EC0ABF"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40.517</w:t>
            </w:r>
          </w:p>
        </w:tc>
      </w:tr>
      <w:tr w:rsidR="00B73CCC" w:rsidRPr="003A6F5B" w14:paraId="6879C2A1" w14:textId="77777777" w:rsidTr="00A959DB">
        <w:trPr>
          <w:trHeight w:val="229"/>
        </w:trPr>
        <w:tc>
          <w:tcPr>
            <w:tcW w:w="5954" w:type="dxa"/>
            <w:tcBorders>
              <w:top w:val="nil"/>
              <w:left w:val="nil"/>
              <w:bottom w:val="nil"/>
              <w:right w:val="nil"/>
            </w:tcBorders>
            <w:shd w:val="clear" w:color="auto" w:fill="auto"/>
            <w:vAlign w:val="bottom"/>
            <w:hideMark/>
          </w:tcPr>
          <w:p w14:paraId="62E670D6"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Περιουσιακά στοιχεία διακρατούμενα προς πώληση</w:t>
            </w:r>
          </w:p>
        </w:tc>
        <w:tc>
          <w:tcPr>
            <w:tcW w:w="1417" w:type="dxa"/>
            <w:tcBorders>
              <w:top w:val="nil"/>
              <w:left w:val="nil"/>
              <w:bottom w:val="nil"/>
              <w:right w:val="nil"/>
            </w:tcBorders>
            <w:shd w:val="clear" w:color="000000" w:fill="C5D9F1"/>
            <w:noWrap/>
            <w:vAlign w:val="center"/>
            <w:hideMark/>
          </w:tcPr>
          <w:p w14:paraId="3D83A4A6" w14:textId="77777777" w:rsidR="00B73CCC" w:rsidRPr="00BF4429" w:rsidRDefault="00B73CCC" w:rsidP="00A959DB">
            <w:pPr>
              <w:widowControl/>
              <w:autoSpaceDE/>
              <w:autoSpaceDN/>
              <w:rPr>
                <w:rFonts w:eastAsia="Times New Roman" w:cs="Calibri"/>
                <w:color w:val="000000"/>
                <w:sz w:val="20"/>
                <w:szCs w:val="20"/>
                <w:lang w:eastAsia="el-GR"/>
              </w:rPr>
            </w:pPr>
            <w:r w:rsidRPr="00BF4429">
              <w:rPr>
                <w:rFonts w:cs="Calibri"/>
                <w:color w:val="000000"/>
                <w:sz w:val="20"/>
                <w:szCs w:val="20"/>
              </w:rPr>
              <w:t xml:space="preserve">                    - </w:t>
            </w:r>
          </w:p>
        </w:tc>
        <w:tc>
          <w:tcPr>
            <w:tcW w:w="1430" w:type="dxa"/>
            <w:tcBorders>
              <w:top w:val="nil"/>
              <w:left w:val="nil"/>
              <w:bottom w:val="nil"/>
              <w:right w:val="nil"/>
            </w:tcBorders>
            <w:shd w:val="clear" w:color="auto" w:fill="auto"/>
            <w:noWrap/>
            <w:vAlign w:val="center"/>
            <w:hideMark/>
          </w:tcPr>
          <w:p w14:paraId="7E504526"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1.529</w:t>
            </w:r>
          </w:p>
        </w:tc>
      </w:tr>
      <w:tr w:rsidR="00B73CCC" w:rsidRPr="003A6F5B" w14:paraId="5FE6BCE4" w14:textId="77777777" w:rsidTr="00A959DB">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222C9632" w14:textId="77777777" w:rsidR="00B73CCC" w:rsidRPr="003A6F5B" w:rsidRDefault="00B73CCC" w:rsidP="00A959DB">
            <w:pPr>
              <w:widowControl/>
              <w:autoSpaceDE/>
              <w:autoSpaceDN/>
              <w:rPr>
                <w:rFonts w:eastAsia="Times New Roman" w:cs="Calibri"/>
                <w:b/>
                <w:bCs/>
                <w:sz w:val="20"/>
                <w:szCs w:val="20"/>
                <w:lang w:eastAsia="el-GR"/>
              </w:rPr>
            </w:pPr>
            <w:r w:rsidRPr="003A6F5B">
              <w:rPr>
                <w:rFonts w:eastAsia="Times New Roman" w:cs="Calibri"/>
                <w:b/>
                <w:bCs/>
                <w:sz w:val="20"/>
                <w:szCs w:val="20"/>
                <w:lang w:eastAsia="el-GR"/>
              </w:rPr>
              <w:t>ΣΥΝΟΛΟ ΕΝΕΡΓΗΤΙΚΟΥ</w:t>
            </w:r>
          </w:p>
        </w:tc>
        <w:tc>
          <w:tcPr>
            <w:tcW w:w="1417" w:type="dxa"/>
            <w:tcBorders>
              <w:top w:val="single" w:sz="4" w:space="0" w:color="auto"/>
              <w:left w:val="nil"/>
              <w:bottom w:val="single" w:sz="4" w:space="0" w:color="auto"/>
              <w:right w:val="nil"/>
            </w:tcBorders>
            <w:shd w:val="clear" w:color="000000" w:fill="C5D9F1"/>
            <w:noWrap/>
            <w:vAlign w:val="center"/>
            <w:hideMark/>
          </w:tcPr>
          <w:p w14:paraId="238AD1BC" w14:textId="77777777" w:rsidR="00B73CCC" w:rsidRPr="00BF4429" w:rsidRDefault="00B73CCC" w:rsidP="00A959DB">
            <w:pPr>
              <w:widowControl/>
              <w:autoSpaceDE/>
              <w:autoSpaceDN/>
              <w:jc w:val="right"/>
              <w:rPr>
                <w:rFonts w:eastAsia="Times New Roman" w:cs="Calibri"/>
                <w:b/>
                <w:bCs/>
                <w:color w:val="000000"/>
                <w:sz w:val="20"/>
                <w:szCs w:val="20"/>
                <w:lang w:eastAsia="el-GR"/>
              </w:rPr>
            </w:pPr>
            <w:r w:rsidRPr="00BF4429">
              <w:rPr>
                <w:rFonts w:cs="Calibri"/>
                <w:b/>
                <w:bCs/>
                <w:color w:val="000000"/>
                <w:sz w:val="20"/>
                <w:szCs w:val="20"/>
              </w:rPr>
              <w:t>2.445.906</w:t>
            </w:r>
          </w:p>
        </w:tc>
        <w:tc>
          <w:tcPr>
            <w:tcW w:w="1430" w:type="dxa"/>
            <w:tcBorders>
              <w:top w:val="single" w:sz="4" w:space="0" w:color="auto"/>
              <w:left w:val="nil"/>
              <w:bottom w:val="single" w:sz="4" w:space="0" w:color="auto"/>
              <w:right w:val="nil"/>
            </w:tcBorders>
            <w:shd w:val="clear" w:color="auto" w:fill="auto"/>
            <w:noWrap/>
            <w:vAlign w:val="center"/>
            <w:hideMark/>
          </w:tcPr>
          <w:p w14:paraId="1F9CDD69" w14:textId="77777777" w:rsidR="00B73CCC" w:rsidRPr="00185BCA" w:rsidRDefault="00B73CCC" w:rsidP="00A959DB">
            <w:pPr>
              <w:widowControl/>
              <w:autoSpaceDE/>
              <w:autoSpaceDN/>
              <w:jc w:val="right"/>
              <w:rPr>
                <w:rFonts w:eastAsia="Times New Roman" w:cs="Calibri"/>
                <w:b/>
                <w:bCs/>
                <w:color w:val="000000"/>
                <w:sz w:val="20"/>
                <w:szCs w:val="20"/>
                <w:lang w:val="en-US" w:eastAsia="el-GR"/>
              </w:rPr>
            </w:pPr>
            <w:r w:rsidRPr="00185BCA">
              <w:rPr>
                <w:rFonts w:cs="Calibri"/>
                <w:b/>
                <w:bCs/>
                <w:color w:val="000000"/>
                <w:sz w:val="20"/>
                <w:szCs w:val="20"/>
              </w:rPr>
              <w:t>2.333.450</w:t>
            </w:r>
          </w:p>
        </w:tc>
      </w:tr>
      <w:tr w:rsidR="00B73CCC" w:rsidRPr="003A6F5B" w14:paraId="0528F58B" w14:textId="77777777" w:rsidTr="00A959DB">
        <w:trPr>
          <w:trHeight w:hRule="exact" w:val="288"/>
        </w:trPr>
        <w:tc>
          <w:tcPr>
            <w:tcW w:w="5954" w:type="dxa"/>
            <w:tcBorders>
              <w:top w:val="nil"/>
              <w:left w:val="nil"/>
              <w:bottom w:val="nil"/>
              <w:right w:val="nil"/>
            </w:tcBorders>
            <w:shd w:val="clear" w:color="auto" w:fill="auto"/>
            <w:vAlign w:val="bottom"/>
            <w:hideMark/>
          </w:tcPr>
          <w:p w14:paraId="31E95610" w14:textId="77777777" w:rsidR="00B73CCC" w:rsidRPr="003A6F5B" w:rsidRDefault="00B73CCC" w:rsidP="00A959DB">
            <w:pPr>
              <w:widowControl/>
              <w:autoSpaceDE/>
              <w:autoSpaceDN/>
              <w:rPr>
                <w:rFonts w:eastAsia="Times New Roman" w:cs="Calibri"/>
                <w:b/>
                <w:bCs/>
                <w:color w:val="FFFFFF"/>
                <w:sz w:val="20"/>
                <w:szCs w:val="20"/>
                <w:lang w:eastAsia="el-GR"/>
              </w:rPr>
            </w:pPr>
            <w:r w:rsidRPr="003A6F5B">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5F97787B" w14:textId="77777777" w:rsidR="00B73CCC" w:rsidRPr="00BF4429" w:rsidRDefault="00B73CCC" w:rsidP="00A959DB">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50F5EA43" w14:textId="77777777" w:rsidR="00B73CCC" w:rsidRPr="003A6F5B" w:rsidRDefault="00B73CCC" w:rsidP="00A959DB">
            <w:pPr>
              <w:widowControl/>
              <w:autoSpaceDE/>
              <w:autoSpaceDN/>
              <w:rPr>
                <w:rFonts w:eastAsia="Times New Roman" w:cs="Times New Roman"/>
                <w:sz w:val="20"/>
                <w:szCs w:val="20"/>
                <w:lang w:eastAsia="el-GR"/>
              </w:rPr>
            </w:pPr>
          </w:p>
        </w:tc>
      </w:tr>
      <w:tr w:rsidR="00B73CCC" w:rsidRPr="003A6F5B" w14:paraId="46E132E6" w14:textId="77777777" w:rsidTr="00A959DB">
        <w:trPr>
          <w:trHeight w:val="288"/>
        </w:trPr>
        <w:tc>
          <w:tcPr>
            <w:tcW w:w="5954" w:type="dxa"/>
            <w:tcBorders>
              <w:top w:val="nil"/>
              <w:left w:val="nil"/>
              <w:bottom w:val="nil"/>
              <w:right w:val="nil"/>
            </w:tcBorders>
            <w:shd w:val="clear" w:color="auto" w:fill="0277B6"/>
            <w:vAlign w:val="bottom"/>
            <w:hideMark/>
          </w:tcPr>
          <w:p w14:paraId="0F6089E0" w14:textId="77777777" w:rsidR="00B73CCC" w:rsidRPr="003A6F5B" w:rsidRDefault="00B73CCC" w:rsidP="00A959DB">
            <w:pPr>
              <w:widowControl/>
              <w:autoSpaceDE/>
              <w:autoSpaceDN/>
              <w:rPr>
                <w:rFonts w:eastAsia="Times New Roman" w:cs="Calibri"/>
                <w:b/>
                <w:bCs/>
                <w:color w:val="FFFFFF"/>
                <w:sz w:val="20"/>
                <w:szCs w:val="20"/>
                <w:lang w:eastAsia="el-GR"/>
              </w:rPr>
            </w:pPr>
            <w:r w:rsidRPr="003A6F5B">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05960895" w14:textId="77777777" w:rsidR="00B73CCC" w:rsidRPr="00BF4429" w:rsidRDefault="00B73CCC" w:rsidP="00A959DB">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67D3E410" w14:textId="77777777" w:rsidR="00B73CCC" w:rsidRPr="003A6F5B" w:rsidRDefault="00B73CCC" w:rsidP="00A959DB">
            <w:pPr>
              <w:widowControl/>
              <w:autoSpaceDE/>
              <w:autoSpaceDN/>
              <w:rPr>
                <w:rFonts w:eastAsia="Times New Roman" w:cs="Times New Roman"/>
                <w:sz w:val="20"/>
                <w:szCs w:val="20"/>
                <w:lang w:eastAsia="el-GR"/>
              </w:rPr>
            </w:pPr>
          </w:p>
        </w:tc>
      </w:tr>
      <w:tr w:rsidR="00B73CCC" w:rsidRPr="003A6F5B" w14:paraId="495C5BE9" w14:textId="77777777" w:rsidTr="00A959DB">
        <w:trPr>
          <w:trHeight w:hRule="exact" w:val="288"/>
        </w:trPr>
        <w:tc>
          <w:tcPr>
            <w:tcW w:w="5954" w:type="dxa"/>
            <w:tcBorders>
              <w:top w:val="nil"/>
              <w:left w:val="nil"/>
              <w:bottom w:val="nil"/>
              <w:right w:val="nil"/>
            </w:tcBorders>
            <w:shd w:val="clear" w:color="auto" w:fill="auto"/>
            <w:vAlign w:val="bottom"/>
            <w:hideMark/>
          </w:tcPr>
          <w:p w14:paraId="486A6969"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Μετοχικό κεφάλαιο</w:t>
            </w:r>
          </w:p>
        </w:tc>
        <w:tc>
          <w:tcPr>
            <w:tcW w:w="1417" w:type="dxa"/>
            <w:tcBorders>
              <w:top w:val="nil"/>
              <w:left w:val="nil"/>
              <w:bottom w:val="nil"/>
              <w:right w:val="nil"/>
            </w:tcBorders>
            <w:shd w:val="clear" w:color="000000" w:fill="C5D9F1"/>
            <w:noWrap/>
            <w:vAlign w:val="center"/>
            <w:hideMark/>
          </w:tcPr>
          <w:p w14:paraId="355AC267"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146.344</w:t>
            </w:r>
          </w:p>
        </w:tc>
        <w:tc>
          <w:tcPr>
            <w:tcW w:w="1430" w:type="dxa"/>
            <w:tcBorders>
              <w:top w:val="nil"/>
              <w:left w:val="nil"/>
              <w:bottom w:val="nil"/>
              <w:right w:val="nil"/>
            </w:tcBorders>
            <w:shd w:val="clear" w:color="auto" w:fill="auto"/>
            <w:noWrap/>
            <w:vAlign w:val="center"/>
            <w:hideMark/>
          </w:tcPr>
          <w:p w14:paraId="75E0BA6A"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146.344</w:t>
            </w:r>
          </w:p>
        </w:tc>
      </w:tr>
      <w:tr w:rsidR="00B73CCC" w:rsidRPr="003A6F5B" w14:paraId="279419E4" w14:textId="77777777" w:rsidTr="00A959DB">
        <w:trPr>
          <w:trHeight w:val="288"/>
        </w:trPr>
        <w:tc>
          <w:tcPr>
            <w:tcW w:w="5954" w:type="dxa"/>
            <w:tcBorders>
              <w:top w:val="nil"/>
              <w:left w:val="nil"/>
              <w:bottom w:val="single" w:sz="4" w:space="0" w:color="auto"/>
              <w:right w:val="nil"/>
            </w:tcBorders>
            <w:shd w:val="clear" w:color="auto" w:fill="auto"/>
            <w:vAlign w:val="bottom"/>
            <w:hideMark/>
          </w:tcPr>
          <w:p w14:paraId="773EC698"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Λοιπά στοιχεία ιδίων κεφαλαίων</w:t>
            </w:r>
          </w:p>
        </w:tc>
        <w:tc>
          <w:tcPr>
            <w:tcW w:w="1417" w:type="dxa"/>
            <w:tcBorders>
              <w:top w:val="nil"/>
              <w:left w:val="nil"/>
              <w:bottom w:val="nil"/>
              <w:right w:val="nil"/>
            </w:tcBorders>
            <w:shd w:val="clear" w:color="000000" w:fill="C5D9F1"/>
            <w:noWrap/>
            <w:vAlign w:val="center"/>
            <w:hideMark/>
          </w:tcPr>
          <w:p w14:paraId="3E55A3F7" w14:textId="77777777" w:rsidR="00B73CCC" w:rsidRPr="00BF4429" w:rsidRDefault="00B73CCC" w:rsidP="00A959DB">
            <w:pPr>
              <w:widowControl/>
              <w:autoSpaceDE/>
              <w:autoSpaceDN/>
              <w:jc w:val="right"/>
              <w:rPr>
                <w:rFonts w:eastAsia="Times New Roman" w:cs="Calibri"/>
                <w:color w:val="000000"/>
                <w:sz w:val="20"/>
                <w:szCs w:val="20"/>
                <w:lang w:val="en-US" w:eastAsia="el-GR"/>
              </w:rPr>
            </w:pPr>
            <w:r w:rsidRPr="00BF4429">
              <w:rPr>
                <w:rFonts w:cs="Calibri"/>
                <w:color w:val="000000"/>
                <w:sz w:val="20"/>
                <w:szCs w:val="20"/>
              </w:rPr>
              <w:t>878.632</w:t>
            </w:r>
          </w:p>
        </w:tc>
        <w:tc>
          <w:tcPr>
            <w:tcW w:w="1430" w:type="dxa"/>
            <w:tcBorders>
              <w:top w:val="nil"/>
              <w:left w:val="nil"/>
              <w:bottom w:val="nil"/>
              <w:right w:val="nil"/>
            </w:tcBorders>
            <w:shd w:val="clear" w:color="auto" w:fill="auto"/>
            <w:noWrap/>
            <w:vAlign w:val="center"/>
            <w:hideMark/>
          </w:tcPr>
          <w:p w14:paraId="76800030"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793.273</w:t>
            </w:r>
          </w:p>
        </w:tc>
      </w:tr>
      <w:tr w:rsidR="00B73CCC" w:rsidRPr="003A6F5B" w14:paraId="483D81C4" w14:textId="77777777" w:rsidTr="00A959DB">
        <w:trPr>
          <w:trHeight w:val="292"/>
        </w:trPr>
        <w:tc>
          <w:tcPr>
            <w:tcW w:w="5954" w:type="dxa"/>
            <w:tcBorders>
              <w:top w:val="nil"/>
              <w:left w:val="nil"/>
              <w:bottom w:val="nil"/>
              <w:right w:val="nil"/>
            </w:tcBorders>
            <w:shd w:val="clear" w:color="auto" w:fill="auto"/>
            <w:vAlign w:val="bottom"/>
            <w:hideMark/>
          </w:tcPr>
          <w:p w14:paraId="77B1FB65" w14:textId="77777777" w:rsidR="00B73CCC" w:rsidRPr="003A6F5B" w:rsidRDefault="00B73CCC" w:rsidP="00A959DB">
            <w:pPr>
              <w:widowControl/>
              <w:autoSpaceDE/>
              <w:autoSpaceDN/>
              <w:rPr>
                <w:rFonts w:eastAsia="Times New Roman" w:cs="Calibri"/>
                <w:b/>
                <w:bCs/>
                <w:color w:val="000000"/>
                <w:sz w:val="20"/>
                <w:szCs w:val="20"/>
                <w:lang w:eastAsia="el-GR"/>
              </w:rPr>
            </w:pPr>
            <w:r w:rsidRPr="003A6F5B">
              <w:rPr>
                <w:rFonts w:eastAsia="Times New Roman" w:cs="Calibri"/>
                <w:b/>
                <w:bCs/>
                <w:color w:val="000000"/>
                <w:sz w:val="20"/>
                <w:szCs w:val="20"/>
                <w:lang w:eastAsia="el-GR"/>
              </w:rPr>
              <w:t>Σύνολο ιδίων κεφαλαίων αποδιδόμενα σε μετόχους</w:t>
            </w:r>
          </w:p>
        </w:tc>
        <w:tc>
          <w:tcPr>
            <w:tcW w:w="1417" w:type="dxa"/>
            <w:tcBorders>
              <w:top w:val="single" w:sz="4" w:space="0" w:color="auto"/>
              <w:left w:val="nil"/>
              <w:bottom w:val="nil"/>
              <w:right w:val="nil"/>
            </w:tcBorders>
            <w:shd w:val="clear" w:color="000000" w:fill="C5D9F1"/>
            <w:noWrap/>
            <w:vAlign w:val="center"/>
            <w:hideMark/>
          </w:tcPr>
          <w:p w14:paraId="02063B0B" w14:textId="77777777" w:rsidR="00B73CCC" w:rsidRPr="00BF4429" w:rsidRDefault="00B73CCC" w:rsidP="00A959DB">
            <w:pPr>
              <w:widowControl/>
              <w:autoSpaceDE/>
              <w:autoSpaceDN/>
              <w:jc w:val="right"/>
              <w:rPr>
                <w:rFonts w:eastAsia="Times New Roman" w:cs="Calibri"/>
                <w:b/>
                <w:bCs/>
                <w:color w:val="000000"/>
                <w:sz w:val="20"/>
                <w:szCs w:val="20"/>
                <w:lang w:val="en-US" w:eastAsia="el-GR"/>
              </w:rPr>
            </w:pPr>
            <w:r w:rsidRPr="00BF4429">
              <w:rPr>
                <w:rFonts w:cs="Calibri"/>
                <w:b/>
                <w:bCs/>
                <w:color w:val="000000"/>
                <w:sz w:val="20"/>
                <w:szCs w:val="20"/>
              </w:rPr>
              <w:t>1.024.976</w:t>
            </w:r>
          </w:p>
        </w:tc>
        <w:tc>
          <w:tcPr>
            <w:tcW w:w="1430" w:type="dxa"/>
            <w:tcBorders>
              <w:top w:val="single" w:sz="4" w:space="0" w:color="auto"/>
              <w:left w:val="nil"/>
              <w:bottom w:val="nil"/>
              <w:right w:val="nil"/>
            </w:tcBorders>
            <w:shd w:val="clear" w:color="auto" w:fill="auto"/>
            <w:noWrap/>
            <w:vAlign w:val="center"/>
            <w:hideMark/>
          </w:tcPr>
          <w:p w14:paraId="4413D775" w14:textId="77777777" w:rsidR="00B73CCC" w:rsidRPr="00185BCA" w:rsidRDefault="00B73CCC" w:rsidP="00A959DB">
            <w:pPr>
              <w:widowControl/>
              <w:autoSpaceDE/>
              <w:autoSpaceDN/>
              <w:jc w:val="right"/>
              <w:rPr>
                <w:rFonts w:eastAsia="Times New Roman" w:cs="Calibri"/>
                <w:b/>
                <w:bCs/>
                <w:color w:val="000000"/>
                <w:sz w:val="20"/>
                <w:szCs w:val="20"/>
                <w:lang w:eastAsia="el-GR"/>
              </w:rPr>
            </w:pPr>
            <w:r w:rsidRPr="00185BCA">
              <w:rPr>
                <w:rFonts w:cs="Calibri"/>
                <w:b/>
                <w:bCs/>
                <w:color w:val="000000"/>
                <w:sz w:val="20"/>
                <w:szCs w:val="20"/>
              </w:rPr>
              <w:t>939.617</w:t>
            </w:r>
          </w:p>
        </w:tc>
      </w:tr>
      <w:tr w:rsidR="00B73CCC" w:rsidRPr="003A6F5B" w14:paraId="6A8EBC6E" w14:textId="77777777" w:rsidTr="00A959DB">
        <w:trPr>
          <w:trHeight w:val="288"/>
        </w:trPr>
        <w:tc>
          <w:tcPr>
            <w:tcW w:w="5954" w:type="dxa"/>
            <w:tcBorders>
              <w:top w:val="nil"/>
              <w:left w:val="nil"/>
              <w:bottom w:val="single" w:sz="4" w:space="0" w:color="auto"/>
              <w:right w:val="nil"/>
            </w:tcBorders>
            <w:shd w:val="clear" w:color="auto" w:fill="auto"/>
            <w:vAlign w:val="bottom"/>
            <w:hideMark/>
          </w:tcPr>
          <w:p w14:paraId="7AA81A03"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Δικαιώματα μειοψηφίας</w:t>
            </w:r>
          </w:p>
        </w:tc>
        <w:tc>
          <w:tcPr>
            <w:tcW w:w="1417" w:type="dxa"/>
            <w:tcBorders>
              <w:top w:val="nil"/>
              <w:left w:val="nil"/>
              <w:bottom w:val="nil"/>
              <w:right w:val="nil"/>
            </w:tcBorders>
            <w:shd w:val="clear" w:color="000000" w:fill="C5D9F1"/>
            <w:noWrap/>
            <w:vAlign w:val="center"/>
            <w:hideMark/>
          </w:tcPr>
          <w:p w14:paraId="1DFACED1"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27.042</w:t>
            </w:r>
          </w:p>
        </w:tc>
        <w:tc>
          <w:tcPr>
            <w:tcW w:w="1430" w:type="dxa"/>
            <w:tcBorders>
              <w:top w:val="nil"/>
              <w:left w:val="nil"/>
              <w:bottom w:val="nil"/>
              <w:right w:val="nil"/>
            </w:tcBorders>
            <w:shd w:val="clear" w:color="auto" w:fill="auto"/>
            <w:noWrap/>
            <w:vAlign w:val="center"/>
            <w:hideMark/>
          </w:tcPr>
          <w:p w14:paraId="39DCE6CB"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22.765</w:t>
            </w:r>
          </w:p>
        </w:tc>
      </w:tr>
      <w:tr w:rsidR="00B73CCC" w:rsidRPr="003A6F5B" w14:paraId="63AC7CA4" w14:textId="77777777" w:rsidTr="00A959DB">
        <w:trPr>
          <w:trHeight w:val="288"/>
        </w:trPr>
        <w:tc>
          <w:tcPr>
            <w:tcW w:w="5954" w:type="dxa"/>
            <w:tcBorders>
              <w:top w:val="nil"/>
              <w:left w:val="nil"/>
              <w:bottom w:val="nil"/>
              <w:right w:val="nil"/>
            </w:tcBorders>
            <w:shd w:val="clear" w:color="auto" w:fill="auto"/>
            <w:vAlign w:val="bottom"/>
            <w:hideMark/>
          </w:tcPr>
          <w:p w14:paraId="00DFBB21" w14:textId="77777777" w:rsidR="00B73CCC" w:rsidRPr="003A6F5B" w:rsidRDefault="00B73CCC" w:rsidP="00A959DB">
            <w:pPr>
              <w:widowControl/>
              <w:autoSpaceDE/>
              <w:autoSpaceDN/>
              <w:rPr>
                <w:rFonts w:eastAsia="Times New Roman" w:cs="Calibri"/>
                <w:b/>
                <w:bCs/>
                <w:color w:val="000000"/>
                <w:sz w:val="20"/>
                <w:szCs w:val="20"/>
                <w:lang w:eastAsia="el-GR"/>
              </w:rPr>
            </w:pPr>
            <w:r w:rsidRPr="003A6F5B">
              <w:rPr>
                <w:rFonts w:eastAsia="Times New Roman" w:cs="Calibri"/>
                <w:b/>
                <w:bCs/>
                <w:color w:val="000000"/>
                <w:sz w:val="20"/>
                <w:szCs w:val="20"/>
                <w:lang w:eastAsia="el-GR"/>
              </w:rPr>
              <w:t>Σύνολο ιδίων κεφαλαίων</w:t>
            </w:r>
          </w:p>
        </w:tc>
        <w:tc>
          <w:tcPr>
            <w:tcW w:w="1417" w:type="dxa"/>
            <w:tcBorders>
              <w:top w:val="single" w:sz="4" w:space="0" w:color="auto"/>
              <w:left w:val="nil"/>
              <w:bottom w:val="nil"/>
              <w:right w:val="nil"/>
            </w:tcBorders>
            <w:shd w:val="clear" w:color="000000" w:fill="C5D9F1"/>
            <w:noWrap/>
            <w:vAlign w:val="center"/>
            <w:hideMark/>
          </w:tcPr>
          <w:p w14:paraId="221A9B6F" w14:textId="77777777" w:rsidR="00B73CCC" w:rsidRPr="00BF4429" w:rsidRDefault="00B73CCC" w:rsidP="00A959DB">
            <w:pPr>
              <w:widowControl/>
              <w:autoSpaceDE/>
              <w:autoSpaceDN/>
              <w:jc w:val="right"/>
              <w:rPr>
                <w:rFonts w:eastAsia="Times New Roman" w:cs="Calibri"/>
                <w:b/>
                <w:bCs/>
                <w:color w:val="000000"/>
                <w:sz w:val="20"/>
                <w:szCs w:val="20"/>
                <w:lang w:eastAsia="el-GR"/>
              </w:rPr>
            </w:pPr>
            <w:r w:rsidRPr="00BF4429">
              <w:rPr>
                <w:rFonts w:cs="Calibri"/>
                <w:b/>
                <w:bCs/>
                <w:color w:val="000000"/>
                <w:sz w:val="20"/>
                <w:szCs w:val="20"/>
              </w:rPr>
              <w:t>1.052.018</w:t>
            </w:r>
          </w:p>
        </w:tc>
        <w:tc>
          <w:tcPr>
            <w:tcW w:w="1430" w:type="dxa"/>
            <w:tcBorders>
              <w:top w:val="single" w:sz="4" w:space="0" w:color="auto"/>
              <w:left w:val="nil"/>
              <w:bottom w:val="nil"/>
              <w:right w:val="nil"/>
            </w:tcBorders>
            <w:shd w:val="clear" w:color="auto" w:fill="auto"/>
            <w:noWrap/>
            <w:vAlign w:val="center"/>
            <w:hideMark/>
          </w:tcPr>
          <w:p w14:paraId="71C9BEE0" w14:textId="77777777" w:rsidR="00B73CCC" w:rsidRPr="00185BCA" w:rsidRDefault="00B73CCC" w:rsidP="00A959DB">
            <w:pPr>
              <w:widowControl/>
              <w:autoSpaceDE/>
              <w:autoSpaceDN/>
              <w:jc w:val="right"/>
              <w:rPr>
                <w:rFonts w:eastAsia="Times New Roman" w:cs="Calibri"/>
                <w:b/>
                <w:bCs/>
                <w:color w:val="000000"/>
                <w:sz w:val="20"/>
                <w:szCs w:val="20"/>
                <w:lang w:eastAsia="el-GR"/>
              </w:rPr>
            </w:pPr>
            <w:r w:rsidRPr="00185BCA">
              <w:rPr>
                <w:rFonts w:cs="Calibri"/>
                <w:b/>
                <w:bCs/>
                <w:color w:val="000000"/>
                <w:sz w:val="20"/>
                <w:szCs w:val="20"/>
              </w:rPr>
              <w:t>962.382</w:t>
            </w:r>
          </w:p>
        </w:tc>
      </w:tr>
      <w:tr w:rsidR="00B73CCC" w:rsidRPr="003A6F5B" w14:paraId="0080517A" w14:textId="77777777" w:rsidTr="00A959DB">
        <w:trPr>
          <w:trHeight w:val="288"/>
        </w:trPr>
        <w:tc>
          <w:tcPr>
            <w:tcW w:w="5954" w:type="dxa"/>
            <w:tcBorders>
              <w:top w:val="nil"/>
              <w:left w:val="nil"/>
              <w:bottom w:val="nil"/>
              <w:right w:val="nil"/>
            </w:tcBorders>
            <w:shd w:val="clear" w:color="auto" w:fill="auto"/>
            <w:vAlign w:val="bottom"/>
            <w:hideMark/>
          </w:tcPr>
          <w:p w14:paraId="6B3678F7"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Μακροπρόθεσμες δανειακές υποχρεώσεις</w:t>
            </w:r>
          </w:p>
        </w:tc>
        <w:tc>
          <w:tcPr>
            <w:tcW w:w="1417" w:type="dxa"/>
            <w:tcBorders>
              <w:top w:val="nil"/>
              <w:left w:val="nil"/>
              <w:bottom w:val="nil"/>
              <w:right w:val="nil"/>
            </w:tcBorders>
            <w:shd w:val="clear" w:color="000000" w:fill="C5D9F1"/>
            <w:noWrap/>
            <w:vAlign w:val="center"/>
            <w:hideMark/>
          </w:tcPr>
          <w:p w14:paraId="23CB9052"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586.738</w:t>
            </w:r>
          </w:p>
        </w:tc>
        <w:tc>
          <w:tcPr>
            <w:tcW w:w="1430" w:type="dxa"/>
            <w:tcBorders>
              <w:top w:val="nil"/>
              <w:left w:val="nil"/>
              <w:bottom w:val="nil"/>
              <w:right w:val="nil"/>
            </w:tcBorders>
            <w:shd w:val="clear" w:color="auto" w:fill="auto"/>
            <w:noWrap/>
            <w:vAlign w:val="center"/>
            <w:hideMark/>
          </w:tcPr>
          <w:p w14:paraId="536C658A"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702.352</w:t>
            </w:r>
          </w:p>
        </w:tc>
      </w:tr>
      <w:tr w:rsidR="00B73CCC" w:rsidRPr="003A6F5B" w14:paraId="0CB9E6DC" w14:textId="77777777" w:rsidTr="00A959DB">
        <w:trPr>
          <w:trHeight w:val="210"/>
        </w:trPr>
        <w:tc>
          <w:tcPr>
            <w:tcW w:w="5954" w:type="dxa"/>
            <w:tcBorders>
              <w:top w:val="nil"/>
              <w:left w:val="nil"/>
              <w:bottom w:val="nil"/>
              <w:right w:val="nil"/>
            </w:tcBorders>
            <w:shd w:val="clear" w:color="auto" w:fill="auto"/>
            <w:vAlign w:val="bottom"/>
            <w:hideMark/>
          </w:tcPr>
          <w:p w14:paraId="55C26FD7"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Προβλέψεις/ Λοιπές μακροπρόθεσμες υποχρεώσεις</w:t>
            </w:r>
          </w:p>
        </w:tc>
        <w:tc>
          <w:tcPr>
            <w:tcW w:w="1417" w:type="dxa"/>
            <w:tcBorders>
              <w:top w:val="nil"/>
              <w:left w:val="nil"/>
              <w:bottom w:val="nil"/>
              <w:right w:val="nil"/>
            </w:tcBorders>
            <w:shd w:val="clear" w:color="000000" w:fill="C5D9F1"/>
            <w:noWrap/>
            <w:vAlign w:val="center"/>
            <w:hideMark/>
          </w:tcPr>
          <w:p w14:paraId="1F495FA1"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98.041</w:t>
            </w:r>
          </w:p>
        </w:tc>
        <w:tc>
          <w:tcPr>
            <w:tcW w:w="1430" w:type="dxa"/>
            <w:tcBorders>
              <w:top w:val="nil"/>
              <w:left w:val="nil"/>
              <w:bottom w:val="nil"/>
              <w:right w:val="nil"/>
            </w:tcBorders>
            <w:shd w:val="clear" w:color="auto" w:fill="auto"/>
            <w:noWrap/>
            <w:vAlign w:val="center"/>
            <w:hideMark/>
          </w:tcPr>
          <w:p w14:paraId="5CE65E3B"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100.541</w:t>
            </w:r>
          </w:p>
        </w:tc>
      </w:tr>
      <w:tr w:rsidR="00B73CCC" w:rsidRPr="003A6F5B" w14:paraId="48193599" w14:textId="77777777" w:rsidTr="00A959DB">
        <w:trPr>
          <w:trHeight w:val="288"/>
        </w:trPr>
        <w:tc>
          <w:tcPr>
            <w:tcW w:w="5954" w:type="dxa"/>
            <w:tcBorders>
              <w:top w:val="nil"/>
              <w:left w:val="nil"/>
              <w:bottom w:val="nil"/>
              <w:right w:val="nil"/>
            </w:tcBorders>
            <w:shd w:val="clear" w:color="auto" w:fill="auto"/>
            <w:vAlign w:val="bottom"/>
            <w:hideMark/>
          </w:tcPr>
          <w:p w14:paraId="52DA4F33"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Βραχυπρόθεσμες δανειακές υποχρεώσεις</w:t>
            </w:r>
          </w:p>
        </w:tc>
        <w:tc>
          <w:tcPr>
            <w:tcW w:w="1417" w:type="dxa"/>
            <w:tcBorders>
              <w:top w:val="nil"/>
              <w:left w:val="nil"/>
              <w:bottom w:val="nil"/>
              <w:right w:val="nil"/>
            </w:tcBorders>
            <w:shd w:val="clear" w:color="000000" w:fill="C5D9F1"/>
            <w:noWrap/>
            <w:vAlign w:val="center"/>
            <w:hideMark/>
          </w:tcPr>
          <w:p w14:paraId="1C1D4A18"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136.384</w:t>
            </w:r>
          </w:p>
        </w:tc>
        <w:tc>
          <w:tcPr>
            <w:tcW w:w="1430" w:type="dxa"/>
            <w:tcBorders>
              <w:top w:val="nil"/>
              <w:left w:val="nil"/>
              <w:bottom w:val="nil"/>
              <w:right w:val="nil"/>
            </w:tcBorders>
            <w:shd w:val="clear" w:color="auto" w:fill="auto"/>
            <w:noWrap/>
            <w:vAlign w:val="center"/>
            <w:hideMark/>
          </w:tcPr>
          <w:p w14:paraId="2AB04A25"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151.515</w:t>
            </w:r>
          </w:p>
        </w:tc>
      </w:tr>
      <w:tr w:rsidR="00B73CCC" w:rsidRPr="003A6F5B" w14:paraId="595EED65" w14:textId="77777777" w:rsidTr="00A959DB">
        <w:trPr>
          <w:trHeight w:val="288"/>
        </w:trPr>
        <w:tc>
          <w:tcPr>
            <w:tcW w:w="5954" w:type="dxa"/>
            <w:tcBorders>
              <w:top w:val="nil"/>
              <w:left w:val="nil"/>
              <w:bottom w:val="nil"/>
              <w:right w:val="nil"/>
            </w:tcBorders>
            <w:shd w:val="clear" w:color="auto" w:fill="auto"/>
            <w:vAlign w:val="bottom"/>
            <w:hideMark/>
          </w:tcPr>
          <w:p w14:paraId="0A2A055A"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Λοιπές βραχυπρόθεσμες υποχρεώσεις</w:t>
            </w:r>
          </w:p>
        </w:tc>
        <w:tc>
          <w:tcPr>
            <w:tcW w:w="1417" w:type="dxa"/>
            <w:tcBorders>
              <w:top w:val="nil"/>
              <w:left w:val="nil"/>
              <w:bottom w:val="nil"/>
              <w:right w:val="nil"/>
            </w:tcBorders>
            <w:shd w:val="clear" w:color="000000" w:fill="C5D9F1"/>
            <w:noWrap/>
            <w:vAlign w:val="center"/>
            <w:hideMark/>
          </w:tcPr>
          <w:p w14:paraId="091C0E36" w14:textId="77777777" w:rsidR="00B73CCC" w:rsidRPr="00BF4429" w:rsidRDefault="00B73CCC" w:rsidP="00A959DB">
            <w:pPr>
              <w:widowControl/>
              <w:autoSpaceDE/>
              <w:autoSpaceDN/>
              <w:jc w:val="right"/>
              <w:rPr>
                <w:rFonts w:eastAsia="Times New Roman" w:cs="Calibri"/>
                <w:color w:val="000000"/>
                <w:sz w:val="20"/>
                <w:szCs w:val="20"/>
                <w:lang w:val="en-US" w:eastAsia="el-GR"/>
              </w:rPr>
            </w:pPr>
            <w:r w:rsidRPr="00BF4429">
              <w:rPr>
                <w:rFonts w:cs="Calibri"/>
                <w:color w:val="000000"/>
                <w:sz w:val="20"/>
                <w:szCs w:val="20"/>
              </w:rPr>
              <w:t>572.726</w:t>
            </w:r>
          </w:p>
        </w:tc>
        <w:tc>
          <w:tcPr>
            <w:tcW w:w="1430" w:type="dxa"/>
            <w:tcBorders>
              <w:top w:val="nil"/>
              <w:left w:val="nil"/>
              <w:bottom w:val="nil"/>
              <w:right w:val="nil"/>
            </w:tcBorders>
            <w:shd w:val="clear" w:color="auto" w:fill="auto"/>
            <w:noWrap/>
            <w:vAlign w:val="center"/>
            <w:hideMark/>
          </w:tcPr>
          <w:p w14:paraId="1459F028" w14:textId="77777777" w:rsidR="00B73CCC" w:rsidRPr="00185BCA" w:rsidRDefault="00B73CCC" w:rsidP="00A959DB">
            <w:pPr>
              <w:widowControl/>
              <w:autoSpaceDE/>
              <w:autoSpaceDN/>
              <w:jc w:val="right"/>
              <w:rPr>
                <w:rFonts w:eastAsia="Times New Roman" w:cs="Calibri"/>
                <w:color w:val="000000"/>
                <w:sz w:val="20"/>
                <w:szCs w:val="20"/>
                <w:lang w:val="en-US" w:eastAsia="el-GR"/>
              </w:rPr>
            </w:pPr>
            <w:r w:rsidRPr="00185BCA">
              <w:rPr>
                <w:rFonts w:cs="Calibri"/>
                <w:color w:val="000000"/>
                <w:sz w:val="20"/>
                <w:szCs w:val="20"/>
              </w:rPr>
              <w:t>415.498</w:t>
            </w:r>
          </w:p>
        </w:tc>
      </w:tr>
      <w:tr w:rsidR="00B73CCC" w:rsidRPr="003A6F5B" w14:paraId="2479806C" w14:textId="77777777" w:rsidTr="00A959DB">
        <w:trPr>
          <w:trHeight w:val="397"/>
        </w:trPr>
        <w:tc>
          <w:tcPr>
            <w:tcW w:w="5954" w:type="dxa"/>
            <w:tcBorders>
              <w:top w:val="nil"/>
              <w:left w:val="nil"/>
              <w:bottom w:val="nil"/>
              <w:right w:val="nil"/>
            </w:tcBorders>
            <w:shd w:val="clear" w:color="auto" w:fill="auto"/>
            <w:vAlign w:val="center"/>
            <w:hideMark/>
          </w:tcPr>
          <w:p w14:paraId="29C624BE"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Υποχρεώσεις που συνδέονται με τα περιουσιακά στοιχεία διακρατούμενα προς πώληση</w:t>
            </w:r>
          </w:p>
        </w:tc>
        <w:tc>
          <w:tcPr>
            <w:tcW w:w="1417" w:type="dxa"/>
            <w:tcBorders>
              <w:top w:val="nil"/>
              <w:left w:val="nil"/>
              <w:bottom w:val="nil"/>
              <w:right w:val="nil"/>
            </w:tcBorders>
            <w:shd w:val="clear" w:color="000000" w:fill="C5D9F1"/>
            <w:noWrap/>
            <w:vAlign w:val="center"/>
          </w:tcPr>
          <w:p w14:paraId="317C59D3" w14:textId="77777777" w:rsidR="00B73CCC" w:rsidRPr="00BF4429" w:rsidRDefault="00B73CCC" w:rsidP="00A959DB">
            <w:pPr>
              <w:widowControl/>
              <w:autoSpaceDE/>
              <w:autoSpaceDN/>
              <w:jc w:val="right"/>
              <w:rPr>
                <w:rFonts w:cs="Calibri"/>
                <w:color w:val="000000"/>
                <w:sz w:val="20"/>
                <w:szCs w:val="20"/>
              </w:rPr>
            </w:pPr>
            <w:r w:rsidRPr="00BF4429">
              <w:rPr>
                <w:rFonts w:cs="Calibri"/>
                <w:color w:val="000000"/>
                <w:sz w:val="20"/>
                <w:szCs w:val="20"/>
              </w:rPr>
              <w:t xml:space="preserve">- </w:t>
            </w:r>
          </w:p>
        </w:tc>
        <w:tc>
          <w:tcPr>
            <w:tcW w:w="1430" w:type="dxa"/>
            <w:tcBorders>
              <w:top w:val="nil"/>
              <w:left w:val="nil"/>
              <w:bottom w:val="nil"/>
              <w:right w:val="nil"/>
            </w:tcBorders>
            <w:shd w:val="clear" w:color="auto" w:fill="auto"/>
            <w:noWrap/>
            <w:vAlign w:val="center"/>
            <w:hideMark/>
          </w:tcPr>
          <w:p w14:paraId="0A8ED477" w14:textId="77777777" w:rsidR="00B73CCC" w:rsidRPr="00185BCA" w:rsidRDefault="00B73CCC" w:rsidP="00A959DB">
            <w:pPr>
              <w:widowControl/>
              <w:autoSpaceDE/>
              <w:autoSpaceDN/>
              <w:jc w:val="right"/>
              <w:rPr>
                <w:rFonts w:eastAsia="Times New Roman" w:cs="Calibri"/>
                <w:color w:val="000000"/>
                <w:sz w:val="20"/>
                <w:szCs w:val="20"/>
                <w:lang w:eastAsia="el-GR"/>
              </w:rPr>
            </w:pPr>
            <w:r w:rsidRPr="00185BCA">
              <w:rPr>
                <w:rFonts w:cs="Calibri"/>
                <w:color w:val="000000"/>
                <w:sz w:val="20"/>
                <w:szCs w:val="20"/>
              </w:rPr>
              <w:t>1.163</w:t>
            </w:r>
          </w:p>
        </w:tc>
      </w:tr>
      <w:tr w:rsidR="00B73CCC" w:rsidRPr="003A6F5B" w14:paraId="794308F3" w14:textId="77777777" w:rsidTr="00A959DB">
        <w:trPr>
          <w:trHeight w:val="288"/>
        </w:trPr>
        <w:tc>
          <w:tcPr>
            <w:tcW w:w="5954" w:type="dxa"/>
            <w:tcBorders>
              <w:top w:val="single" w:sz="4" w:space="0" w:color="auto"/>
              <w:left w:val="nil"/>
              <w:bottom w:val="single" w:sz="4" w:space="0" w:color="auto"/>
              <w:right w:val="nil"/>
            </w:tcBorders>
            <w:shd w:val="clear" w:color="auto" w:fill="auto"/>
            <w:vAlign w:val="bottom"/>
            <w:hideMark/>
          </w:tcPr>
          <w:p w14:paraId="644062A2" w14:textId="77777777" w:rsidR="00B73CCC" w:rsidRPr="003A6F5B" w:rsidRDefault="00B73CCC" w:rsidP="00A959DB">
            <w:pPr>
              <w:widowControl/>
              <w:autoSpaceDE/>
              <w:autoSpaceDN/>
              <w:rPr>
                <w:rFonts w:eastAsia="Times New Roman" w:cs="Calibri"/>
                <w:b/>
                <w:bCs/>
                <w:color w:val="000000"/>
                <w:sz w:val="20"/>
                <w:szCs w:val="20"/>
                <w:lang w:eastAsia="el-GR"/>
              </w:rPr>
            </w:pPr>
            <w:r w:rsidRPr="003A6F5B">
              <w:rPr>
                <w:rFonts w:eastAsia="Times New Roman" w:cs="Calibri"/>
                <w:b/>
                <w:bCs/>
                <w:color w:val="000000"/>
                <w:sz w:val="20"/>
                <w:szCs w:val="20"/>
                <w:lang w:eastAsia="el-GR"/>
              </w:rPr>
              <w:t>Σύνολο υποχρεώσεων</w:t>
            </w:r>
          </w:p>
        </w:tc>
        <w:tc>
          <w:tcPr>
            <w:tcW w:w="1417" w:type="dxa"/>
            <w:tcBorders>
              <w:top w:val="single" w:sz="4" w:space="0" w:color="auto"/>
              <w:left w:val="nil"/>
              <w:bottom w:val="single" w:sz="4" w:space="0" w:color="auto"/>
              <w:right w:val="nil"/>
            </w:tcBorders>
            <w:shd w:val="clear" w:color="000000" w:fill="C5D9F1"/>
            <w:noWrap/>
            <w:vAlign w:val="center"/>
            <w:hideMark/>
          </w:tcPr>
          <w:p w14:paraId="1514D1EC" w14:textId="77777777" w:rsidR="00B73CCC" w:rsidRPr="00BF4429" w:rsidRDefault="00B73CCC" w:rsidP="00A959DB">
            <w:pPr>
              <w:widowControl/>
              <w:autoSpaceDE/>
              <w:autoSpaceDN/>
              <w:jc w:val="right"/>
              <w:rPr>
                <w:rFonts w:eastAsia="Times New Roman" w:cs="Calibri"/>
                <w:b/>
                <w:bCs/>
                <w:color w:val="000000"/>
                <w:sz w:val="20"/>
                <w:szCs w:val="20"/>
                <w:lang w:val="en-US" w:eastAsia="el-GR"/>
              </w:rPr>
            </w:pPr>
            <w:r w:rsidRPr="00BF4429">
              <w:rPr>
                <w:rFonts w:cs="Calibri"/>
                <w:b/>
                <w:bCs/>
                <w:color w:val="000000"/>
                <w:sz w:val="20"/>
                <w:szCs w:val="20"/>
              </w:rPr>
              <w:t>1.393.888</w:t>
            </w:r>
          </w:p>
        </w:tc>
        <w:tc>
          <w:tcPr>
            <w:tcW w:w="1430" w:type="dxa"/>
            <w:tcBorders>
              <w:top w:val="single" w:sz="4" w:space="0" w:color="auto"/>
              <w:left w:val="nil"/>
              <w:bottom w:val="single" w:sz="4" w:space="0" w:color="auto"/>
              <w:right w:val="nil"/>
            </w:tcBorders>
            <w:shd w:val="clear" w:color="auto" w:fill="auto"/>
            <w:noWrap/>
            <w:vAlign w:val="center"/>
            <w:hideMark/>
          </w:tcPr>
          <w:p w14:paraId="5AC601E1" w14:textId="77777777" w:rsidR="00B73CCC" w:rsidRPr="00185BCA" w:rsidRDefault="00B73CCC" w:rsidP="00A959DB">
            <w:pPr>
              <w:widowControl/>
              <w:autoSpaceDE/>
              <w:autoSpaceDN/>
              <w:jc w:val="right"/>
              <w:rPr>
                <w:rFonts w:eastAsia="Times New Roman" w:cs="Calibri"/>
                <w:b/>
                <w:bCs/>
                <w:color w:val="000000"/>
                <w:sz w:val="20"/>
                <w:szCs w:val="20"/>
                <w:lang w:eastAsia="el-GR"/>
              </w:rPr>
            </w:pPr>
            <w:r w:rsidRPr="00185BCA">
              <w:rPr>
                <w:rFonts w:cs="Calibri"/>
                <w:b/>
                <w:bCs/>
                <w:color w:val="000000"/>
                <w:sz w:val="20"/>
                <w:szCs w:val="20"/>
              </w:rPr>
              <w:t>1.371.068</w:t>
            </w:r>
          </w:p>
        </w:tc>
      </w:tr>
      <w:tr w:rsidR="00B73CCC" w:rsidRPr="003A6F5B" w14:paraId="042B9759" w14:textId="77777777" w:rsidTr="00A959DB">
        <w:trPr>
          <w:trHeight w:val="288"/>
        </w:trPr>
        <w:tc>
          <w:tcPr>
            <w:tcW w:w="5954" w:type="dxa"/>
            <w:tcBorders>
              <w:top w:val="nil"/>
              <w:left w:val="nil"/>
              <w:bottom w:val="single" w:sz="4" w:space="0" w:color="auto"/>
              <w:right w:val="nil"/>
            </w:tcBorders>
            <w:shd w:val="clear" w:color="auto" w:fill="auto"/>
            <w:vAlign w:val="bottom"/>
            <w:hideMark/>
          </w:tcPr>
          <w:p w14:paraId="1BBB47EB" w14:textId="77777777" w:rsidR="00B73CCC" w:rsidRPr="003A6F5B" w:rsidRDefault="00B73CCC" w:rsidP="00A959DB">
            <w:pPr>
              <w:widowControl/>
              <w:autoSpaceDE/>
              <w:autoSpaceDN/>
              <w:rPr>
                <w:rFonts w:eastAsia="Times New Roman" w:cs="Calibri"/>
                <w:b/>
                <w:bCs/>
                <w:color w:val="000000"/>
                <w:sz w:val="20"/>
                <w:szCs w:val="20"/>
                <w:lang w:eastAsia="el-GR"/>
              </w:rPr>
            </w:pPr>
            <w:r w:rsidRPr="003A6F5B">
              <w:rPr>
                <w:rFonts w:eastAsia="Times New Roman" w:cs="Calibri"/>
                <w:b/>
                <w:bCs/>
                <w:color w:val="000000"/>
                <w:sz w:val="20"/>
                <w:szCs w:val="20"/>
                <w:lang w:eastAsia="el-GR"/>
              </w:rPr>
              <w:t>ΣΥΝΟΛΟ ΙΔΙΩΝ ΚΕΦΑΛΑΙΩΝ ΚΑΙ ΥΠΟΧΡΕΩΣΕΩΝ</w:t>
            </w:r>
          </w:p>
        </w:tc>
        <w:tc>
          <w:tcPr>
            <w:tcW w:w="1417" w:type="dxa"/>
            <w:tcBorders>
              <w:top w:val="nil"/>
              <w:left w:val="nil"/>
              <w:bottom w:val="single" w:sz="4" w:space="0" w:color="auto"/>
              <w:right w:val="nil"/>
            </w:tcBorders>
            <w:shd w:val="clear" w:color="000000" w:fill="C5D9F1"/>
            <w:noWrap/>
            <w:vAlign w:val="center"/>
            <w:hideMark/>
          </w:tcPr>
          <w:p w14:paraId="7AC2BCBD" w14:textId="77777777" w:rsidR="00B73CCC" w:rsidRPr="00BF4429" w:rsidRDefault="00B73CCC" w:rsidP="00A959DB">
            <w:pPr>
              <w:widowControl/>
              <w:autoSpaceDE/>
              <w:autoSpaceDN/>
              <w:jc w:val="right"/>
              <w:rPr>
                <w:rFonts w:eastAsia="Times New Roman" w:cs="Calibri"/>
                <w:b/>
                <w:bCs/>
                <w:color w:val="000000"/>
                <w:sz w:val="20"/>
                <w:szCs w:val="20"/>
                <w:lang w:val="en-US" w:eastAsia="el-GR"/>
              </w:rPr>
            </w:pPr>
            <w:r w:rsidRPr="00BF4429">
              <w:rPr>
                <w:rFonts w:cs="Calibri"/>
                <w:b/>
                <w:bCs/>
                <w:color w:val="000000"/>
                <w:sz w:val="20"/>
                <w:szCs w:val="20"/>
              </w:rPr>
              <w:t>2.445.906</w:t>
            </w:r>
          </w:p>
        </w:tc>
        <w:tc>
          <w:tcPr>
            <w:tcW w:w="1430" w:type="dxa"/>
            <w:tcBorders>
              <w:top w:val="nil"/>
              <w:left w:val="nil"/>
              <w:bottom w:val="single" w:sz="4" w:space="0" w:color="auto"/>
              <w:right w:val="nil"/>
            </w:tcBorders>
            <w:shd w:val="clear" w:color="auto" w:fill="auto"/>
            <w:noWrap/>
            <w:vAlign w:val="center"/>
            <w:hideMark/>
          </w:tcPr>
          <w:p w14:paraId="1BCF8B9C" w14:textId="77777777" w:rsidR="00B73CCC" w:rsidRPr="00185BCA" w:rsidRDefault="00B73CCC" w:rsidP="00A959DB">
            <w:pPr>
              <w:widowControl/>
              <w:autoSpaceDE/>
              <w:autoSpaceDN/>
              <w:jc w:val="right"/>
              <w:rPr>
                <w:rFonts w:eastAsia="Times New Roman" w:cs="Calibri"/>
                <w:b/>
                <w:bCs/>
                <w:color w:val="000000"/>
                <w:sz w:val="20"/>
                <w:szCs w:val="20"/>
                <w:lang w:eastAsia="el-GR"/>
              </w:rPr>
            </w:pPr>
            <w:r w:rsidRPr="00185BCA">
              <w:rPr>
                <w:rFonts w:cs="Calibri"/>
                <w:b/>
                <w:bCs/>
                <w:color w:val="000000"/>
                <w:sz w:val="20"/>
                <w:szCs w:val="20"/>
              </w:rPr>
              <w:t>2.333.450</w:t>
            </w:r>
          </w:p>
        </w:tc>
      </w:tr>
    </w:tbl>
    <w:p w14:paraId="1759E33D" w14:textId="77777777" w:rsidR="00B73CCC" w:rsidRPr="003A6F5B" w:rsidRDefault="00B73CCC" w:rsidP="00B73CCC">
      <w:pPr>
        <w:ind w:right="426"/>
        <w:jc w:val="both"/>
        <w:rPr>
          <w:color w:val="231F20"/>
          <w:sz w:val="20"/>
          <w:szCs w:val="18"/>
        </w:rPr>
      </w:pPr>
    </w:p>
    <w:p w14:paraId="6E6F4D96" w14:textId="77777777" w:rsidR="00B73CCC" w:rsidRPr="003A6F5B" w:rsidRDefault="00B73CCC" w:rsidP="00B73CCC">
      <w:pPr>
        <w:ind w:right="426"/>
        <w:jc w:val="both"/>
        <w:rPr>
          <w:color w:val="231F20"/>
          <w:sz w:val="20"/>
          <w:szCs w:val="18"/>
        </w:rPr>
      </w:pPr>
    </w:p>
    <w:p w14:paraId="3F0056B3" w14:textId="77777777" w:rsidR="00B73CCC" w:rsidRPr="003A6F5B" w:rsidRDefault="00B73CCC" w:rsidP="00B73CCC">
      <w:pPr>
        <w:ind w:right="426"/>
        <w:jc w:val="both"/>
        <w:rPr>
          <w:color w:val="231F20"/>
          <w:sz w:val="20"/>
          <w:szCs w:val="18"/>
        </w:rPr>
      </w:pPr>
    </w:p>
    <w:tbl>
      <w:tblPr>
        <w:tblW w:w="8787" w:type="dxa"/>
        <w:tblInd w:w="993" w:type="dxa"/>
        <w:tblLook w:val="04A0" w:firstRow="1" w:lastRow="0" w:firstColumn="1" w:lastColumn="0" w:noHBand="0" w:noVBand="1"/>
      </w:tblPr>
      <w:tblGrid>
        <w:gridCol w:w="5954"/>
        <w:gridCol w:w="1393"/>
        <w:gridCol w:w="1440"/>
      </w:tblGrid>
      <w:tr w:rsidR="00B73CCC" w:rsidRPr="003A6F5B" w14:paraId="3859CD38" w14:textId="77777777" w:rsidTr="00A959DB">
        <w:trPr>
          <w:trHeight w:val="270"/>
        </w:trPr>
        <w:tc>
          <w:tcPr>
            <w:tcW w:w="5954" w:type="dxa"/>
            <w:tcBorders>
              <w:top w:val="nil"/>
              <w:left w:val="nil"/>
              <w:bottom w:val="nil"/>
              <w:right w:val="nil"/>
            </w:tcBorders>
            <w:shd w:val="clear" w:color="auto" w:fill="auto"/>
            <w:vAlign w:val="bottom"/>
            <w:hideMark/>
          </w:tcPr>
          <w:p w14:paraId="0B0AD763" w14:textId="77777777" w:rsidR="00B73CCC" w:rsidRPr="003A6F5B" w:rsidRDefault="00B73CCC" w:rsidP="00A959DB">
            <w:pPr>
              <w:widowControl/>
              <w:autoSpaceDE/>
              <w:autoSpaceDN/>
              <w:rPr>
                <w:rFonts w:eastAsia="Times New Roman" w:cs="Calibri"/>
                <w:b/>
                <w:bCs/>
                <w:color w:val="365F91"/>
                <w:sz w:val="20"/>
                <w:szCs w:val="20"/>
                <w:lang w:eastAsia="el-GR"/>
              </w:rPr>
            </w:pPr>
            <w:r w:rsidRPr="003A6F5B">
              <w:rPr>
                <w:rFonts w:eastAsia="Times New Roman" w:cs="Calibri"/>
                <w:b/>
                <w:bCs/>
                <w:color w:val="365F91"/>
                <w:sz w:val="20"/>
                <w:szCs w:val="20"/>
                <w:lang w:eastAsia="el-GR"/>
              </w:rPr>
              <w:t>Συνοπτική Ενοποιημένη Κατάσταση Ταμειακών Ροών (€’000)</w:t>
            </w:r>
          </w:p>
        </w:tc>
        <w:tc>
          <w:tcPr>
            <w:tcW w:w="1393" w:type="dxa"/>
            <w:tcBorders>
              <w:top w:val="nil"/>
              <w:left w:val="nil"/>
              <w:bottom w:val="single" w:sz="4" w:space="0" w:color="auto"/>
              <w:right w:val="nil"/>
            </w:tcBorders>
            <w:shd w:val="clear" w:color="auto" w:fill="auto"/>
            <w:noWrap/>
            <w:vAlign w:val="bottom"/>
            <w:hideMark/>
          </w:tcPr>
          <w:p w14:paraId="39F5B9F2" w14:textId="77777777" w:rsidR="00B73CCC" w:rsidRPr="003A6F5B" w:rsidRDefault="00B73CCC" w:rsidP="00A959DB">
            <w:pPr>
              <w:widowControl/>
              <w:autoSpaceDE/>
              <w:autoSpaceDN/>
              <w:jc w:val="center"/>
              <w:rPr>
                <w:rFonts w:eastAsia="Times New Roman" w:cs="Calibri"/>
                <w:b/>
                <w:bCs/>
                <w:sz w:val="20"/>
                <w:szCs w:val="20"/>
                <w:lang w:eastAsia="el-GR"/>
              </w:rPr>
            </w:pPr>
            <w:r w:rsidRPr="003A6F5B">
              <w:rPr>
                <w:rFonts w:eastAsia="Times New Roman" w:cs="Calibri"/>
                <w:b/>
                <w:bCs/>
                <w:sz w:val="20"/>
                <w:szCs w:val="20"/>
                <w:lang w:eastAsia="el-GR"/>
              </w:rPr>
              <w:t>3</w:t>
            </w:r>
            <w:r>
              <w:rPr>
                <w:rFonts w:eastAsia="Times New Roman" w:cs="Calibri"/>
                <w:b/>
                <w:bCs/>
                <w:sz w:val="20"/>
                <w:szCs w:val="20"/>
                <w:lang w:eastAsia="el-GR"/>
              </w:rPr>
              <w:t>1</w:t>
            </w:r>
            <w:r w:rsidRPr="003A6F5B">
              <w:rPr>
                <w:rFonts w:eastAsia="Times New Roman" w:cs="Calibri"/>
                <w:b/>
                <w:bCs/>
                <w:sz w:val="20"/>
                <w:szCs w:val="20"/>
                <w:lang w:eastAsia="el-GR"/>
              </w:rPr>
              <w:t>.</w:t>
            </w:r>
            <w:r>
              <w:rPr>
                <w:rFonts w:eastAsia="Times New Roman" w:cs="Calibri"/>
                <w:b/>
                <w:bCs/>
                <w:sz w:val="20"/>
                <w:szCs w:val="20"/>
                <w:lang w:eastAsia="el-GR"/>
              </w:rPr>
              <w:t>12</w:t>
            </w:r>
            <w:r w:rsidRPr="003A6F5B">
              <w:rPr>
                <w:rFonts w:eastAsia="Times New Roman" w:cs="Calibri"/>
                <w:b/>
                <w:bCs/>
                <w:sz w:val="20"/>
                <w:szCs w:val="20"/>
                <w:lang w:eastAsia="el-GR"/>
              </w:rPr>
              <w:t>.2024</w:t>
            </w:r>
          </w:p>
        </w:tc>
        <w:tc>
          <w:tcPr>
            <w:tcW w:w="1440" w:type="dxa"/>
            <w:tcBorders>
              <w:top w:val="nil"/>
              <w:left w:val="nil"/>
              <w:bottom w:val="single" w:sz="4" w:space="0" w:color="auto"/>
              <w:right w:val="nil"/>
            </w:tcBorders>
            <w:shd w:val="clear" w:color="auto" w:fill="auto"/>
            <w:noWrap/>
            <w:vAlign w:val="bottom"/>
            <w:hideMark/>
          </w:tcPr>
          <w:p w14:paraId="22EB4F9C" w14:textId="77777777" w:rsidR="00B73CCC" w:rsidRPr="003A6F5B" w:rsidRDefault="00B73CCC" w:rsidP="00A959DB">
            <w:pPr>
              <w:widowControl/>
              <w:autoSpaceDE/>
              <w:autoSpaceDN/>
              <w:jc w:val="center"/>
              <w:rPr>
                <w:rFonts w:eastAsia="Times New Roman" w:cs="Calibri"/>
                <w:b/>
                <w:bCs/>
                <w:sz w:val="20"/>
                <w:szCs w:val="20"/>
                <w:lang w:val="en-US" w:eastAsia="el-GR"/>
              </w:rPr>
            </w:pPr>
            <w:r w:rsidRPr="003A6F5B">
              <w:rPr>
                <w:rFonts w:eastAsia="Times New Roman" w:cs="Calibri"/>
                <w:b/>
                <w:bCs/>
                <w:sz w:val="20"/>
                <w:szCs w:val="20"/>
                <w:lang w:eastAsia="el-GR"/>
              </w:rPr>
              <w:t>3</w:t>
            </w:r>
            <w:r>
              <w:rPr>
                <w:rFonts w:eastAsia="Times New Roman" w:cs="Calibri"/>
                <w:b/>
                <w:bCs/>
                <w:sz w:val="20"/>
                <w:szCs w:val="20"/>
                <w:lang w:eastAsia="el-GR"/>
              </w:rPr>
              <w:t>1</w:t>
            </w:r>
            <w:r w:rsidRPr="003A6F5B">
              <w:rPr>
                <w:rFonts w:eastAsia="Times New Roman" w:cs="Calibri"/>
                <w:b/>
                <w:bCs/>
                <w:sz w:val="20"/>
                <w:szCs w:val="20"/>
                <w:lang w:eastAsia="el-GR"/>
              </w:rPr>
              <w:t>.</w:t>
            </w:r>
            <w:r>
              <w:rPr>
                <w:rFonts w:eastAsia="Times New Roman" w:cs="Calibri"/>
                <w:b/>
                <w:bCs/>
                <w:sz w:val="20"/>
                <w:szCs w:val="20"/>
                <w:lang w:eastAsia="el-GR"/>
              </w:rPr>
              <w:t>12</w:t>
            </w:r>
            <w:r w:rsidRPr="003A6F5B">
              <w:rPr>
                <w:rFonts w:eastAsia="Times New Roman" w:cs="Calibri"/>
                <w:b/>
                <w:bCs/>
                <w:sz w:val="20"/>
                <w:szCs w:val="20"/>
                <w:lang w:eastAsia="el-GR"/>
              </w:rPr>
              <w:t>.2023</w:t>
            </w:r>
          </w:p>
        </w:tc>
      </w:tr>
      <w:tr w:rsidR="00B73CCC" w:rsidRPr="003A6F5B" w14:paraId="6164539C" w14:textId="77777777" w:rsidTr="00A959DB">
        <w:trPr>
          <w:trHeight w:val="318"/>
        </w:trPr>
        <w:tc>
          <w:tcPr>
            <w:tcW w:w="5954" w:type="dxa"/>
            <w:tcBorders>
              <w:top w:val="nil"/>
              <w:left w:val="nil"/>
              <w:bottom w:val="nil"/>
              <w:right w:val="nil"/>
            </w:tcBorders>
            <w:shd w:val="clear" w:color="auto" w:fill="auto"/>
            <w:vAlign w:val="center"/>
            <w:hideMark/>
          </w:tcPr>
          <w:p w14:paraId="6822A400"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Καθαρές ταμειακές ροές από λειτουργικές δραστηριότητες</w:t>
            </w:r>
          </w:p>
        </w:tc>
        <w:tc>
          <w:tcPr>
            <w:tcW w:w="1393" w:type="dxa"/>
            <w:tcBorders>
              <w:top w:val="nil"/>
              <w:left w:val="nil"/>
              <w:bottom w:val="nil"/>
              <w:right w:val="nil"/>
            </w:tcBorders>
            <w:shd w:val="clear" w:color="000000" w:fill="C5D9F1"/>
            <w:noWrap/>
            <w:vAlign w:val="center"/>
            <w:hideMark/>
          </w:tcPr>
          <w:p w14:paraId="13FA78DB" w14:textId="677377D5" w:rsidR="00B73CCC" w:rsidRPr="00BF4429" w:rsidRDefault="00B73CCC" w:rsidP="00A959DB">
            <w:pPr>
              <w:widowControl/>
              <w:autoSpaceDE/>
              <w:autoSpaceDN/>
              <w:jc w:val="right"/>
              <w:rPr>
                <w:rFonts w:cs="Calibri"/>
                <w:color w:val="000000"/>
                <w:sz w:val="20"/>
                <w:szCs w:val="20"/>
                <w:lang w:val="en-US"/>
              </w:rPr>
            </w:pPr>
            <w:r w:rsidRPr="00BF4429">
              <w:rPr>
                <w:rFonts w:cs="Calibri"/>
                <w:color w:val="000000"/>
                <w:sz w:val="20"/>
                <w:szCs w:val="20"/>
              </w:rPr>
              <w:t>2</w:t>
            </w:r>
            <w:r w:rsidR="00F02224">
              <w:rPr>
                <w:rFonts w:cs="Calibri"/>
                <w:color w:val="000000"/>
                <w:sz w:val="20"/>
                <w:szCs w:val="20"/>
              </w:rPr>
              <w:t>63</w:t>
            </w:r>
            <w:r w:rsidRPr="00BF4429">
              <w:rPr>
                <w:rFonts w:cs="Calibri"/>
                <w:color w:val="000000"/>
                <w:sz w:val="20"/>
                <w:szCs w:val="20"/>
              </w:rPr>
              <w:t>.1</w:t>
            </w:r>
            <w:r w:rsidR="00F02224">
              <w:rPr>
                <w:rFonts w:cs="Calibri"/>
                <w:color w:val="000000"/>
                <w:sz w:val="20"/>
                <w:szCs w:val="20"/>
              </w:rPr>
              <w:t>3</w:t>
            </w:r>
            <w:r w:rsidRPr="00BF4429">
              <w:rPr>
                <w:rFonts w:cs="Calibri"/>
                <w:color w:val="000000"/>
                <w:sz w:val="20"/>
                <w:szCs w:val="20"/>
              </w:rPr>
              <w:t>0</w:t>
            </w:r>
          </w:p>
        </w:tc>
        <w:tc>
          <w:tcPr>
            <w:tcW w:w="1440" w:type="dxa"/>
            <w:tcBorders>
              <w:top w:val="nil"/>
              <w:left w:val="nil"/>
              <w:bottom w:val="nil"/>
              <w:right w:val="nil"/>
            </w:tcBorders>
            <w:shd w:val="clear" w:color="auto" w:fill="auto"/>
            <w:noWrap/>
            <w:vAlign w:val="center"/>
            <w:hideMark/>
          </w:tcPr>
          <w:p w14:paraId="0AFB2FC5"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269.755</w:t>
            </w:r>
          </w:p>
        </w:tc>
      </w:tr>
      <w:tr w:rsidR="00B73CCC" w:rsidRPr="003A6F5B" w14:paraId="2A23C8F3" w14:textId="77777777" w:rsidTr="00A959DB">
        <w:trPr>
          <w:trHeight w:val="318"/>
        </w:trPr>
        <w:tc>
          <w:tcPr>
            <w:tcW w:w="5954" w:type="dxa"/>
            <w:tcBorders>
              <w:top w:val="nil"/>
              <w:left w:val="nil"/>
              <w:bottom w:val="nil"/>
              <w:right w:val="nil"/>
            </w:tcBorders>
            <w:shd w:val="clear" w:color="auto" w:fill="auto"/>
            <w:vAlign w:val="center"/>
            <w:hideMark/>
          </w:tcPr>
          <w:p w14:paraId="60E8669B" w14:textId="4496F456"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 xml:space="preserve">Καθαρές ταμειακές ροές από </w:t>
            </w:r>
            <w:r w:rsidR="00446603">
              <w:rPr>
                <w:rFonts w:eastAsia="Times New Roman" w:cs="Calibri"/>
                <w:color w:val="000000"/>
                <w:sz w:val="20"/>
                <w:szCs w:val="20"/>
                <w:lang w:eastAsia="el-GR"/>
              </w:rPr>
              <w:t>ε</w:t>
            </w:r>
            <w:r w:rsidRPr="003A6F5B">
              <w:rPr>
                <w:rFonts w:eastAsia="Times New Roman" w:cs="Calibri"/>
                <w:color w:val="000000"/>
                <w:sz w:val="20"/>
                <w:szCs w:val="20"/>
                <w:lang w:eastAsia="el-GR"/>
              </w:rPr>
              <w:t>πενδυτικές δραστηριότητες</w:t>
            </w:r>
          </w:p>
        </w:tc>
        <w:tc>
          <w:tcPr>
            <w:tcW w:w="1393" w:type="dxa"/>
            <w:tcBorders>
              <w:top w:val="nil"/>
              <w:left w:val="nil"/>
              <w:bottom w:val="nil"/>
              <w:right w:val="nil"/>
            </w:tcBorders>
            <w:shd w:val="clear" w:color="000000" w:fill="C5D9F1"/>
            <w:noWrap/>
            <w:vAlign w:val="center"/>
            <w:hideMark/>
          </w:tcPr>
          <w:p w14:paraId="4EB52778" w14:textId="16632589"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w:t>
            </w:r>
            <w:r w:rsidR="00F02224">
              <w:rPr>
                <w:rFonts w:cs="Calibri"/>
                <w:color w:val="000000"/>
                <w:sz w:val="20"/>
                <w:szCs w:val="20"/>
              </w:rPr>
              <w:t>68</w:t>
            </w:r>
            <w:r w:rsidRPr="00BF4429">
              <w:rPr>
                <w:rFonts w:cs="Calibri"/>
                <w:color w:val="000000"/>
                <w:sz w:val="20"/>
                <w:szCs w:val="20"/>
              </w:rPr>
              <w:t>.</w:t>
            </w:r>
            <w:r w:rsidR="00F02224">
              <w:rPr>
                <w:rFonts w:cs="Calibri"/>
                <w:color w:val="000000"/>
                <w:sz w:val="20"/>
                <w:szCs w:val="20"/>
              </w:rPr>
              <w:t>094</w:t>
            </w:r>
            <w:r w:rsidRPr="00BF4429">
              <w:rPr>
                <w:rFonts w:cs="Calibri"/>
                <w:color w:val="000000"/>
                <w:sz w:val="20"/>
                <w:szCs w:val="20"/>
              </w:rPr>
              <w:t>)</w:t>
            </w:r>
          </w:p>
        </w:tc>
        <w:tc>
          <w:tcPr>
            <w:tcW w:w="1440" w:type="dxa"/>
            <w:tcBorders>
              <w:top w:val="nil"/>
              <w:left w:val="nil"/>
              <w:bottom w:val="nil"/>
              <w:right w:val="nil"/>
            </w:tcBorders>
            <w:shd w:val="clear" w:color="auto" w:fill="auto"/>
            <w:noWrap/>
            <w:vAlign w:val="center"/>
            <w:hideMark/>
          </w:tcPr>
          <w:p w14:paraId="16B7F44C" w14:textId="77777777" w:rsidR="00B73CCC" w:rsidRPr="00BF4429" w:rsidRDefault="00B73CCC" w:rsidP="00A959DB">
            <w:pPr>
              <w:widowControl/>
              <w:autoSpaceDE/>
              <w:autoSpaceDN/>
              <w:jc w:val="right"/>
              <w:rPr>
                <w:rFonts w:eastAsia="Times New Roman" w:cs="Calibri"/>
                <w:color w:val="000000"/>
                <w:sz w:val="20"/>
                <w:szCs w:val="20"/>
                <w:lang w:val="en-GB" w:eastAsia="el-GR"/>
              </w:rPr>
            </w:pPr>
            <w:r w:rsidRPr="00BF4429">
              <w:rPr>
                <w:rFonts w:cs="Calibri"/>
                <w:color w:val="000000"/>
                <w:sz w:val="20"/>
                <w:szCs w:val="20"/>
              </w:rPr>
              <w:t>(94.963)</w:t>
            </w:r>
          </w:p>
        </w:tc>
      </w:tr>
      <w:tr w:rsidR="00B73CCC" w:rsidRPr="003A6F5B" w14:paraId="2FC188ED" w14:textId="77777777" w:rsidTr="00A959DB">
        <w:trPr>
          <w:trHeight w:val="318"/>
        </w:trPr>
        <w:tc>
          <w:tcPr>
            <w:tcW w:w="5954" w:type="dxa"/>
            <w:tcBorders>
              <w:top w:val="nil"/>
              <w:left w:val="nil"/>
              <w:bottom w:val="single" w:sz="4" w:space="0" w:color="auto"/>
              <w:right w:val="nil"/>
            </w:tcBorders>
            <w:shd w:val="clear" w:color="auto" w:fill="auto"/>
            <w:vAlign w:val="center"/>
            <w:hideMark/>
          </w:tcPr>
          <w:p w14:paraId="39E0D4BD" w14:textId="77777777" w:rsidR="00B73CCC" w:rsidRPr="003A6F5B" w:rsidRDefault="00B73CCC" w:rsidP="00A959DB">
            <w:pPr>
              <w:widowControl/>
              <w:autoSpaceDE/>
              <w:autoSpaceDN/>
              <w:rPr>
                <w:rFonts w:eastAsia="Times New Roman" w:cs="Calibri"/>
                <w:color w:val="000000"/>
                <w:sz w:val="20"/>
                <w:szCs w:val="20"/>
                <w:lang w:eastAsia="el-GR"/>
              </w:rPr>
            </w:pPr>
            <w:r w:rsidRPr="003A6F5B">
              <w:rPr>
                <w:rFonts w:eastAsia="Times New Roman" w:cs="Calibri"/>
                <w:color w:val="000000"/>
                <w:sz w:val="20"/>
                <w:szCs w:val="20"/>
                <w:lang w:eastAsia="el-GR"/>
              </w:rPr>
              <w:t>Καθαρές ταμειακές ροές από χρηματοοικονομικές δραστηριότητες</w:t>
            </w:r>
          </w:p>
        </w:tc>
        <w:tc>
          <w:tcPr>
            <w:tcW w:w="1393" w:type="dxa"/>
            <w:tcBorders>
              <w:top w:val="nil"/>
              <w:left w:val="nil"/>
              <w:bottom w:val="nil"/>
              <w:right w:val="nil"/>
            </w:tcBorders>
            <w:shd w:val="clear" w:color="000000" w:fill="C5D9F1"/>
            <w:noWrap/>
            <w:vAlign w:val="center"/>
            <w:hideMark/>
          </w:tcPr>
          <w:p w14:paraId="014E34ED" w14:textId="77777777" w:rsidR="00B73CCC" w:rsidRPr="00BF4429" w:rsidRDefault="00B73CCC" w:rsidP="00A959DB">
            <w:pPr>
              <w:widowControl/>
              <w:autoSpaceDE/>
              <w:autoSpaceDN/>
              <w:jc w:val="right"/>
              <w:rPr>
                <w:rFonts w:eastAsia="Times New Roman" w:cs="Calibri"/>
                <w:color w:val="000000"/>
                <w:sz w:val="20"/>
                <w:szCs w:val="20"/>
                <w:lang w:eastAsia="el-GR"/>
              </w:rPr>
            </w:pPr>
            <w:r w:rsidRPr="00BF4429">
              <w:rPr>
                <w:rFonts w:cs="Calibri"/>
                <w:color w:val="000000"/>
                <w:sz w:val="20"/>
                <w:szCs w:val="20"/>
              </w:rPr>
              <w:t>(155.866)</w:t>
            </w:r>
          </w:p>
        </w:tc>
        <w:tc>
          <w:tcPr>
            <w:tcW w:w="1440" w:type="dxa"/>
            <w:tcBorders>
              <w:top w:val="nil"/>
              <w:left w:val="nil"/>
              <w:bottom w:val="nil"/>
              <w:right w:val="nil"/>
            </w:tcBorders>
            <w:shd w:val="clear" w:color="auto" w:fill="auto"/>
            <w:noWrap/>
            <w:vAlign w:val="center"/>
            <w:hideMark/>
          </w:tcPr>
          <w:p w14:paraId="3051088B" w14:textId="77777777" w:rsidR="00B73CCC" w:rsidRPr="00BF4429" w:rsidRDefault="00B73CCC" w:rsidP="00A959DB">
            <w:pPr>
              <w:widowControl/>
              <w:autoSpaceDE/>
              <w:autoSpaceDN/>
              <w:jc w:val="right"/>
              <w:rPr>
                <w:rFonts w:eastAsia="Times New Roman" w:cs="Calibri"/>
                <w:color w:val="000000"/>
                <w:sz w:val="20"/>
                <w:szCs w:val="20"/>
                <w:lang w:val="en-GB" w:eastAsia="el-GR"/>
              </w:rPr>
            </w:pPr>
            <w:r w:rsidRPr="00BF4429">
              <w:rPr>
                <w:rFonts w:cs="Calibri"/>
                <w:color w:val="000000"/>
                <w:sz w:val="20"/>
                <w:szCs w:val="20"/>
              </w:rPr>
              <w:t>(169.470)</w:t>
            </w:r>
          </w:p>
        </w:tc>
      </w:tr>
      <w:tr w:rsidR="00B73CCC" w:rsidRPr="003A6F5B" w14:paraId="1E682519" w14:textId="77777777" w:rsidTr="00A959DB">
        <w:trPr>
          <w:trHeight w:val="525"/>
        </w:trPr>
        <w:tc>
          <w:tcPr>
            <w:tcW w:w="5954" w:type="dxa"/>
            <w:tcBorders>
              <w:top w:val="nil"/>
              <w:left w:val="nil"/>
              <w:bottom w:val="single" w:sz="4" w:space="0" w:color="auto"/>
              <w:right w:val="nil"/>
            </w:tcBorders>
            <w:shd w:val="clear" w:color="auto" w:fill="auto"/>
            <w:vAlign w:val="center"/>
            <w:hideMark/>
          </w:tcPr>
          <w:p w14:paraId="2EAEB591" w14:textId="77777777" w:rsidR="00B73CCC" w:rsidRPr="003A6F5B" w:rsidRDefault="00B73CCC" w:rsidP="00A959DB">
            <w:pPr>
              <w:widowControl/>
              <w:autoSpaceDE/>
              <w:autoSpaceDN/>
              <w:rPr>
                <w:rFonts w:eastAsia="Times New Roman" w:cs="Calibri"/>
                <w:b/>
                <w:bCs/>
                <w:color w:val="000000"/>
                <w:sz w:val="20"/>
                <w:szCs w:val="20"/>
                <w:lang w:eastAsia="el-GR"/>
              </w:rPr>
            </w:pPr>
            <w:r w:rsidRPr="003A6F5B">
              <w:rPr>
                <w:rFonts w:eastAsia="Times New Roman" w:cs="Calibri"/>
                <w:b/>
                <w:bCs/>
                <w:color w:val="000000"/>
                <w:sz w:val="20"/>
                <w:szCs w:val="20"/>
                <w:lang w:eastAsia="el-GR"/>
              </w:rPr>
              <w:t>Καθαρή (μείωση)/ αύξηση στα ταμειακά διαθέσιμα και ισοδύναμα αυτών</w:t>
            </w:r>
          </w:p>
        </w:tc>
        <w:tc>
          <w:tcPr>
            <w:tcW w:w="1393" w:type="dxa"/>
            <w:tcBorders>
              <w:top w:val="single" w:sz="4" w:space="0" w:color="auto"/>
              <w:left w:val="nil"/>
              <w:bottom w:val="single" w:sz="4" w:space="0" w:color="auto"/>
              <w:right w:val="nil"/>
            </w:tcBorders>
            <w:shd w:val="clear" w:color="000000" w:fill="C5D9F1"/>
            <w:noWrap/>
            <w:vAlign w:val="center"/>
            <w:hideMark/>
          </w:tcPr>
          <w:p w14:paraId="7F78461D" w14:textId="77777777" w:rsidR="00B73CCC" w:rsidRPr="00BF4429" w:rsidRDefault="00B73CCC" w:rsidP="00A959DB">
            <w:pPr>
              <w:widowControl/>
              <w:autoSpaceDE/>
              <w:autoSpaceDN/>
              <w:jc w:val="right"/>
              <w:rPr>
                <w:rFonts w:eastAsia="Times New Roman" w:cs="Calibri"/>
                <w:b/>
                <w:bCs/>
                <w:color w:val="000000"/>
                <w:sz w:val="20"/>
                <w:szCs w:val="20"/>
                <w:lang w:eastAsia="el-GR"/>
              </w:rPr>
            </w:pPr>
            <w:r w:rsidRPr="00BF4429">
              <w:rPr>
                <w:rFonts w:cs="Calibri"/>
                <w:b/>
                <w:bCs/>
                <w:color w:val="000000"/>
                <w:sz w:val="20"/>
                <w:szCs w:val="20"/>
              </w:rPr>
              <w:t>39.169</w:t>
            </w:r>
          </w:p>
        </w:tc>
        <w:tc>
          <w:tcPr>
            <w:tcW w:w="1440" w:type="dxa"/>
            <w:tcBorders>
              <w:top w:val="single" w:sz="4" w:space="0" w:color="auto"/>
              <w:left w:val="nil"/>
              <w:bottom w:val="single" w:sz="4" w:space="0" w:color="auto"/>
              <w:right w:val="nil"/>
            </w:tcBorders>
            <w:shd w:val="clear" w:color="auto" w:fill="auto"/>
            <w:noWrap/>
            <w:vAlign w:val="center"/>
            <w:hideMark/>
          </w:tcPr>
          <w:p w14:paraId="4426C534" w14:textId="77777777" w:rsidR="00B73CCC" w:rsidRPr="00BF4429" w:rsidRDefault="00B73CCC" w:rsidP="00A959DB">
            <w:pPr>
              <w:widowControl/>
              <w:autoSpaceDE/>
              <w:autoSpaceDN/>
              <w:jc w:val="right"/>
              <w:rPr>
                <w:rFonts w:eastAsia="Times New Roman" w:cs="Calibri"/>
                <w:b/>
                <w:color w:val="000000"/>
                <w:sz w:val="20"/>
                <w:szCs w:val="20"/>
                <w:lang w:val="en-GB" w:eastAsia="el-GR"/>
              </w:rPr>
            </w:pPr>
            <w:r w:rsidRPr="00BF4429">
              <w:rPr>
                <w:rFonts w:cs="Calibri"/>
                <w:b/>
                <w:bCs/>
                <w:color w:val="000000"/>
                <w:sz w:val="20"/>
                <w:szCs w:val="20"/>
              </w:rPr>
              <w:t>5.322</w:t>
            </w:r>
          </w:p>
        </w:tc>
      </w:tr>
    </w:tbl>
    <w:p w14:paraId="1C63F551" w14:textId="77777777" w:rsidR="00B73CCC" w:rsidRDefault="00B73CCC" w:rsidP="00B73CCC">
      <w:pPr>
        <w:ind w:right="570"/>
        <w:jc w:val="both"/>
        <w:rPr>
          <w:color w:val="231F20"/>
          <w:sz w:val="18"/>
          <w:szCs w:val="18"/>
          <w:lang w:val="en-US"/>
        </w:rPr>
      </w:pPr>
    </w:p>
    <w:p w14:paraId="41C6F7F9" w14:textId="77777777" w:rsidR="00B73CCC" w:rsidRDefault="00B73CCC" w:rsidP="00B73CCC">
      <w:pPr>
        <w:ind w:right="570"/>
        <w:jc w:val="both"/>
        <w:rPr>
          <w:color w:val="231F20"/>
          <w:sz w:val="18"/>
          <w:szCs w:val="18"/>
          <w:lang w:val="en-US"/>
        </w:rPr>
      </w:pPr>
    </w:p>
    <w:p w14:paraId="0923D33E" w14:textId="77777777" w:rsidR="00B73CCC" w:rsidRDefault="00B73CCC" w:rsidP="00B73CCC">
      <w:pPr>
        <w:ind w:right="570"/>
        <w:jc w:val="both"/>
        <w:rPr>
          <w:color w:val="231F20"/>
          <w:sz w:val="18"/>
          <w:szCs w:val="18"/>
          <w:lang w:val="en-US"/>
        </w:rPr>
      </w:pPr>
    </w:p>
    <w:p w14:paraId="3E6BA573" w14:textId="77777777" w:rsidR="00B73CCC" w:rsidRDefault="00B73CCC" w:rsidP="00B73CCC">
      <w:pPr>
        <w:ind w:right="570"/>
        <w:jc w:val="both"/>
        <w:rPr>
          <w:color w:val="231F20"/>
          <w:sz w:val="18"/>
          <w:szCs w:val="18"/>
          <w:lang w:val="en-US"/>
        </w:rPr>
      </w:pPr>
    </w:p>
    <w:p w14:paraId="42B701E5" w14:textId="77777777" w:rsidR="00B73CCC" w:rsidRDefault="00B73CCC" w:rsidP="00B73CCC">
      <w:pPr>
        <w:ind w:right="570"/>
        <w:jc w:val="both"/>
        <w:rPr>
          <w:color w:val="231F20"/>
          <w:sz w:val="18"/>
          <w:szCs w:val="18"/>
          <w:lang w:val="en-US"/>
        </w:rPr>
      </w:pPr>
    </w:p>
    <w:p w14:paraId="01D09539" w14:textId="77777777" w:rsidR="00B73CCC" w:rsidRDefault="00B73CCC" w:rsidP="00B73CCC">
      <w:pPr>
        <w:ind w:right="570"/>
        <w:jc w:val="both"/>
        <w:rPr>
          <w:color w:val="231F20"/>
          <w:sz w:val="18"/>
          <w:szCs w:val="18"/>
          <w:lang w:val="en-US"/>
        </w:rPr>
      </w:pPr>
    </w:p>
    <w:p w14:paraId="39F955D1" w14:textId="77777777" w:rsidR="00B73CCC" w:rsidRDefault="00B73CCC" w:rsidP="00B73CCC">
      <w:pPr>
        <w:ind w:right="570"/>
        <w:jc w:val="both"/>
        <w:rPr>
          <w:color w:val="231F20"/>
          <w:sz w:val="18"/>
          <w:szCs w:val="18"/>
          <w:lang w:val="en-US"/>
        </w:rPr>
      </w:pPr>
    </w:p>
    <w:p w14:paraId="2D5E0FEA" w14:textId="77777777" w:rsidR="00B73CCC" w:rsidRDefault="00B73CCC" w:rsidP="00B73CCC">
      <w:pPr>
        <w:ind w:right="570"/>
        <w:jc w:val="both"/>
        <w:rPr>
          <w:color w:val="231F20"/>
          <w:sz w:val="18"/>
          <w:szCs w:val="18"/>
          <w:lang w:val="en-US"/>
        </w:rPr>
      </w:pPr>
    </w:p>
    <w:p w14:paraId="0C955E73" w14:textId="77777777" w:rsidR="00B73CCC" w:rsidRDefault="00B73CCC" w:rsidP="00B73CCC">
      <w:pPr>
        <w:ind w:right="570"/>
        <w:jc w:val="both"/>
        <w:rPr>
          <w:color w:val="231F20"/>
          <w:sz w:val="18"/>
          <w:szCs w:val="18"/>
          <w:lang w:val="en-US"/>
        </w:rPr>
      </w:pPr>
    </w:p>
    <w:p w14:paraId="59551E78" w14:textId="77777777" w:rsidR="00B73CCC" w:rsidRDefault="00B73CCC" w:rsidP="00B73CCC">
      <w:pPr>
        <w:ind w:right="570"/>
        <w:jc w:val="both"/>
        <w:rPr>
          <w:color w:val="231F20"/>
          <w:sz w:val="18"/>
          <w:szCs w:val="18"/>
          <w:lang w:val="en-US"/>
        </w:rPr>
      </w:pPr>
    </w:p>
    <w:p w14:paraId="317EC061" w14:textId="77777777" w:rsidR="00B73CCC" w:rsidRDefault="00B73CCC" w:rsidP="00B73CCC">
      <w:pPr>
        <w:ind w:right="570"/>
        <w:jc w:val="both"/>
        <w:rPr>
          <w:color w:val="231F20"/>
          <w:sz w:val="18"/>
          <w:szCs w:val="18"/>
          <w:lang w:val="en-US"/>
        </w:rPr>
      </w:pPr>
    </w:p>
    <w:p w14:paraId="66A71A75" w14:textId="77777777" w:rsidR="00B73CCC" w:rsidRDefault="00B73CCC" w:rsidP="00B73CCC">
      <w:pPr>
        <w:ind w:right="570"/>
        <w:jc w:val="both"/>
        <w:rPr>
          <w:color w:val="231F20"/>
          <w:sz w:val="18"/>
          <w:szCs w:val="18"/>
          <w:lang w:val="en-US"/>
        </w:rPr>
      </w:pPr>
    </w:p>
    <w:p w14:paraId="33AEF6D0" w14:textId="77777777" w:rsidR="00B73CCC" w:rsidRDefault="00B73CCC" w:rsidP="00B73CCC">
      <w:pPr>
        <w:ind w:right="570"/>
        <w:jc w:val="both"/>
        <w:rPr>
          <w:color w:val="231F20"/>
          <w:sz w:val="18"/>
          <w:szCs w:val="18"/>
          <w:lang w:val="en-US"/>
        </w:rPr>
      </w:pPr>
    </w:p>
    <w:p w14:paraId="5A3F4A26" w14:textId="77777777" w:rsidR="00B73CCC" w:rsidRDefault="00B73CCC" w:rsidP="00B73CCC">
      <w:pPr>
        <w:ind w:right="570"/>
        <w:jc w:val="both"/>
        <w:rPr>
          <w:color w:val="231F20"/>
          <w:sz w:val="18"/>
          <w:szCs w:val="18"/>
          <w:lang w:val="en-US"/>
        </w:rPr>
      </w:pPr>
    </w:p>
    <w:p w14:paraId="490C83AC" w14:textId="77777777" w:rsidR="00B73CCC" w:rsidRDefault="00B73CCC" w:rsidP="00B73CCC">
      <w:pPr>
        <w:ind w:right="570"/>
        <w:jc w:val="both"/>
        <w:rPr>
          <w:color w:val="231F20"/>
          <w:sz w:val="18"/>
          <w:szCs w:val="18"/>
          <w:lang w:val="en-US"/>
        </w:rPr>
      </w:pPr>
    </w:p>
    <w:p w14:paraId="00243E98" w14:textId="77777777" w:rsidR="00B73CCC" w:rsidRDefault="00B73CCC" w:rsidP="00B73CCC">
      <w:pPr>
        <w:ind w:right="570"/>
        <w:jc w:val="both"/>
        <w:rPr>
          <w:color w:val="231F20"/>
          <w:sz w:val="18"/>
          <w:szCs w:val="18"/>
          <w:lang w:val="en-US"/>
        </w:rPr>
      </w:pPr>
    </w:p>
    <w:p w14:paraId="09821049" w14:textId="77777777" w:rsidR="00B73CCC" w:rsidRDefault="00B73CCC" w:rsidP="00B73CCC">
      <w:pPr>
        <w:ind w:right="570"/>
        <w:jc w:val="both"/>
        <w:rPr>
          <w:color w:val="231F20"/>
          <w:sz w:val="18"/>
          <w:szCs w:val="18"/>
          <w:lang w:val="en-US"/>
        </w:rPr>
      </w:pPr>
    </w:p>
    <w:p w14:paraId="5DB76370" w14:textId="77777777" w:rsidR="00B73CCC" w:rsidRDefault="00B73CCC" w:rsidP="00B73CCC">
      <w:pPr>
        <w:ind w:right="570"/>
        <w:jc w:val="both"/>
        <w:rPr>
          <w:color w:val="231F20"/>
          <w:sz w:val="18"/>
          <w:szCs w:val="18"/>
          <w:lang w:val="en-US"/>
        </w:rPr>
      </w:pPr>
    </w:p>
    <w:p w14:paraId="5F6E9A44" w14:textId="77777777" w:rsidR="00B73CCC" w:rsidRDefault="00B73CCC" w:rsidP="00B73CCC">
      <w:pPr>
        <w:ind w:right="570"/>
        <w:jc w:val="both"/>
        <w:rPr>
          <w:color w:val="231F20"/>
          <w:sz w:val="18"/>
          <w:szCs w:val="18"/>
          <w:lang w:val="en-US"/>
        </w:rPr>
      </w:pPr>
    </w:p>
    <w:p w14:paraId="31210469" w14:textId="77777777" w:rsidR="00B73CCC" w:rsidRDefault="00B73CCC" w:rsidP="00B73CCC">
      <w:pPr>
        <w:ind w:right="570"/>
        <w:jc w:val="both"/>
        <w:rPr>
          <w:color w:val="231F20"/>
          <w:sz w:val="18"/>
          <w:szCs w:val="18"/>
        </w:rPr>
      </w:pPr>
    </w:p>
    <w:p w14:paraId="5AB30496" w14:textId="77777777" w:rsidR="00B73CCC" w:rsidRPr="00F578EA" w:rsidRDefault="00B73CCC" w:rsidP="00B73CCC">
      <w:pPr>
        <w:rPr>
          <w:b/>
          <w:bCs/>
          <w:color w:val="A6A6A6" w:themeColor="background1" w:themeShade="A6"/>
          <w:sz w:val="24"/>
          <w:szCs w:val="24"/>
        </w:rPr>
      </w:pPr>
      <w:r w:rsidRPr="00F578EA">
        <w:rPr>
          <w:b/>
          <w:bCs/>
          <w:color w:val="A6A6A6" w:themeColor="background1" w:themeShade="A6"/>
          <w:sz w:val="24"/>
          <w:szCs w:val="24"/>
        </w:rPr>
        <w:lastRenderedPageBreak/>
        <w:t>Σημειώσεις για τις πληροφορίες που παρουσιάζονται</w:t>
      </w:r>
      <w:r>
        <w:rPr>
          <w:b/>
          <w:bCs/>
          <w:color w:val="A6A6A6" w:themeColor="background1" w:themeShade="A6"/>
          <w:sz w:val="24"/>
          <w:szCs w:val="24"/>
        </w:rPr>
        <w:t xml:space="preserve"> στο Δελτίο Τύπου</w:t>
      </w:r>
    </w:p>
    <w:p w14:paraId="20C3E388" w14:textId="77777777" w:rsidR="00B73CCC" w:rsidRDefault="00B73CCC" w:rsidP="00B73CCC">
      <w:pPr>
        <w:jc w:val="both"/>
        <w:rPr>
          <w:color w:val="231F20"/>
          <w:sz w:val="20"/>
          <w:szCs w:val="18"/>
        </w:rPr>
      </w:pPr>
    </w:p>
    <w:p w14:paraId="15FCA79C" w14:textId="77777777" w:rsidR="00B73CCC" w:rsidRDefault="00B73CCC" w:rsidP="00B73CCC">
      <w:pPr>
        <w:ind w:right="658"/>
        <w:jc w:val="both"/>
        <w:rPr>
          <w:color w:val="231F20"/>
          <w:sz w:val="20"/>
          <w:szCs w:val="18"/>
        </w:rPr>
      </w:pPr>
      <w:r w:rsidRPr="00ED0542">
        <w:rPr>
          <w:color w:val="231F20"/>
          <w:sz w:val="20"/>
          <w:szCs w:val="18"/>
        </w:rPr>
        <w:t xml:space="preserve">Στο παρόν </w:t>
      </w:r>
      <w:r>
        <w:rPr>
          <w:color w:val="231F20"/>
          <w:sz w:val="20"/>
          <w:szCs w:val="18"/>
        </w:rPr>
        <w:t>Δελτίο Τύπου</w:t>
      </w:r>
      <w:r w:rsidRPr="00ED0542">
        <w:rPr>
          <w:color w:val="231F20"/>
          <w:sz w:val="20"/>
          <w:szCs w:val="18"/>
        </w:rPr>
        <w:t xml:space="preserve"> παρουσιάζονται τα οικονομικά αποτελέσματα και οι λοιπές βασικές χρηματοοικονομικές πληροφορίες </w:t>
      </w:r>
      <w:r>
        <w:rPr>
          <w:color w:val="231F20"/>
          <w:sz w:val="20"/>
          <w:szCs w:val="18"/>
        </w:rPr>
        <w:t>της Εταιρείας και του Ομίλου της ΕΛΒΑΛΧΑΛΚΟΡ</w:t>
      </w:r>
      <w:r w:rsidRPr="00ED0542">
        <w:rPr>
          <w:color w:val="231F20"/>
          <w:sz w:val="20"/>
          <w:szCs w:val="18"/>
        </w:rPr>
        <w:t xml:space="preserve"> για  τη χρήση που έληξε στις 31 Δεκεμβρίου 2024 </w:t>
      </w:r>
      <w:r>
        <w:rPr>
          <w:color w:val="231F20"/>
          <w:sz w:val="20"/>
          <w:szCs w:val="18"/>
        </w:rPr>
        <w:t>που</w:t>
      </w:r>
      <w:r w:rsidRPr="00ED0542">
        <w:rPr>
          <w:color w:val="231F20"/>
          <w:sz w:val="20"/>
          <w:szCs w:val="18"/>
        </w:rPr>
        <w:t xml:space="preserve"> έχουν συνταχθεί, σε όλα τα ουσιώδη σημεία, από τα υποκείμενα λογιστικά και χρηματοοικονομικά</w:t>
      </w:r>
      <w:r>
        <w:rPr>
          <w:color w:val="231F20"/>
          <w:sz w:val="20"/>
          <w:szCs w:val="18"/>
        </w:rPr>
        <w:t xml:space="preserve"> </w:t>
      </w:r>
      <w:r w:rsidRPr="00ED0542">
        <w:rPr>
          <w:color w:val="231F20"/>
          <w:sz w:val="20"/>
          <w:szCs w:val="18"/>
        </w:rPr>
        <w:t xml:space="preserve">αρχεία και τις λογιστικές πολιτικές που εφαρμόζει </w:t>
      </w:r>
      <w:r>
        <w:rPr>
          <w:color w:val="231F20"/>
          <w:sz w:val="20"/>
          <w:szCs w:val="18"/>
        </w:rPr>
        <w:t>ο</w:t>
      </w:r>
      <w:r w:rsidRPr="00ED0542">
        <w:rPr>
          <w:color w:val="231F20"/>
          <w:sz w:val="20"/>
          <w:szCs w:val="18"/>
        </w:rPr>
        <w:t xml:space="preserve"> </w:t>
      </w:r>
      <w:r>
        <w:rPr>
          <w:color w:val="231F20"/>
          <w:sz w:val="20"/>
          <w:szCs w:val="18"/>
        </w:rPr>
        <w:t xml:space="preserve">Όμιλος </w:t>
      </w:r>
      <w:r w:rsidRPr="00ED0542">
        <w:rPr>
          <w:color w:val="231F20"/>
          <w:sz w:val="20"/>
          <w:szCs w:val="18"/>
        </w:rPr>
        <w:t>για την προετοιμασία των ετήσιων οικονομικών της καταστάσεων, σύμφωνα με τα Διεθνή Πρότυπα Χρηματοοικονομικής Αναφοράς (IFRS).</w:t>
      </w:r>
      <w:r>
        <w:rPr>
          <w:color w:val="231F20"/>
          <w:sz w:val="20"/>
          <w:szCs w:val="18"/>
        </w:rPr>
        <w:t xml:space="preserve"> </w:t>
      </w:r>
    </w:p>
    <w:p w14:paraId="18B6BEED" w14:textId="77777777" w:rsidR="00B73CCC" w:rsidRDefault="00B73CCC" w:rsidP="00B73CCC">
      <w:pPr>
        <w:ind w:right="658"/>
        <w:jc w:val="both"/>
        <w:rPr>
          <w:color w:val="231F20"/>
          <w:sz w:val="20"/>
          <w:szCs w:val="18"/>
        </w:rPr>
      </w:pPr>
    </w:p>
    <w:p w14:paraId="35C746DE" w14:textId="77777777" w:rsidR="00B73CCC" w:rsidRPr="00ED0542" w:rsidRDefault="00B73CCC" w:rsidP="00B73CCC">
      <w:pPr>
        <w:ind w:right="658"/>
        <w:jc w:val="both"/>
        <w:rPr>
          <w:color w:val="231F20"/>
          <w:sz w:val="20"/>
          <w:szCs w:val="18"/>
        </w:rPr>
      </w:pPr>
      <w:r w:rsidRPr="00ED0542">
        <w:rPr>
          <w:color w:val="231F20"/>
          <w:sz w:val="20"/>
          <w:szCs w:val="18"/>
        </w:rPr>
        <w:t>Τα οικονομικά αποτελέσματα και οι λοιπές βασικές χρηματοοικονομικές πληροφορίες</w:t>
      </w:r>
      <w:r>
        <w:rPr>
          <w:color w:val="231F20"/>
          <w:sz w:val="20"/>
          <w:szCs w:val="18"/>
        </w:rPr>
        <w:t>,</w:t>
      </w:r>
      <w:r w:rsidRPr="00ED0542">
        <w:rPr>
          <w:color w:val="231F20"/>
          <w:sz w:val="20"/>
          <w:szCs w:val="18"/>
        </w:rPr>
        <w:t xml:space="preserve"> που παρουσιάζονται στο παρόν έγγραφο</w:t>
      </w:r>
      <w:r>
        <w:rPr>
          <w:color w:val="231F20"/>
          <w:sz w:val="20"/>
          <w:szCs w:val="18"/>
        </w:rPr>
        <w:t>,</w:t>
      </w:r>
      <w:r w:rsidRPr="00ED0542">
        <w:rPr>
          <w:color w:val="231F20"/>
          <w:sz w:val="20"/>
          <w:szCs w:val="18"/>
        </w:rPr>
        <w:t xml:space="preserve"> αναφέρονται σε μη ελεγμένα χρηματοοικονομικά μεγέθη</w:t>
      </w:r>
      <w:r>
        <w:rPr>
          <w:color w:val="231F20"/>
          <w:sz w:val="20"/>
          <w:szCs w:val="18"/>
        </w:rPr>
        <w:t>, ενώ έχουν εγκριθεί από το Διοικητικό Συμβούλιο στις 04</w:t>
      </w:r>
      <w:r w:rsidRPr="0094061E">
        <w:rPr>
          <w:color w:val="231F20"/>
          <w:sz w:val="20"/>
          <w:szCs w:val="18"/>
        </w:rPr>
        <w:t>.</w:t>
      </w:r>
      <w:r>
        <w:rPr>
          <w:color w:val="231F20"/>
          <w:sz w:val="20"/>
          <w:szCs w:val="18"/>
        </w:rPr>
        <w:t>03</w:t>
      </w:r>
      <w:r w:rsidRPr="0094061E">
        <w:rPr>
          <w:color w:val="231F20"/>
          <w:sz w:val="20"/>
          <w:szCs w:val="18"/>
        </w:rPr>
        <w:t>.</w:t>
      </w:r>
      <w:r>
        <w:rPr>
          <w:color w:val="231F20"/>
          <w:sz w:val="20"/>
          <w:szCs w:val="18"/>
        </w:rPr>
        <w:t>2025</w:t>
      </w:r>
      <w:r w:rsidRPr="00ED0542">
        <w:rPr>
          <w:color w:val="231F20"/>
          <w:sz w:val="20"/>
          <w:szCs w:val="18"/>
        </w:rPr>
        <w:t>.</w:t>
      </w:r>
      <w:r>
        <w:rPr>
          <w:color w:val="231F20"/>
          <w:sz w:val="20"/>
          <w:szCs w:val="18"/>
        </w:rPr>
        <w:t xml:space="preserve"> </w:t>
      </w:r>
      <w:r w:rsidRPr="00ED0542">
        <w:rPr>
          <w:color w:val="231F20"/>
          <w:sz w:val="20"/>
          <w:szCs w:val="18"/>
        </w:rPr>
        <w:t xml:space="preserve">Στο διάστημα που θα ακολουθήσει έως τη δημοσίευση των ελεγμένων </w:t>
      </w:r>
      <w:r>
        <w:rPr>
          <w:color w:val="231F20"/>
          <w:sz w:val="20"/>
          <w:szCs w:val="18"/>
        </w:rPr>
        <w:t xml:space="preserve">ετήσιων (εταιρικών και ενοποιημένων) </w:t>
      </w:r>
      <w:r w:rsidRPr="00ED0542">
        <w:rPr>
          <w:color w:val="231F20"/>
          <w:sz w:val="20"/>
          <w:szCs w:val="18"/>
        </w:rPr>
        <w:t>οικονομικών καταστάσεων (</w:t>
      </w:r>
      <w:r>
        <w:rPr>
          <w:color w:val="231F20"/>
          <w:sz w:val="20"/>
          <w:szCs w:val="18"/>
        </w:rPr>
        <w:t>14</w:t>
      </w:r>
      <w:r w:rsidRPr="0094061E">
        <w:rPr>
          <w:color w:val="231F20"/>
          <w:sz w:val="20"/>
          <w:szCs w:val="18"/>
        </w:rPr>
        <w:t>.</w:t>
      </w:r>
      <w:r w:rsidRPr="00ED0542">
        <w:rPr>
          <w:color w:val="231F20"/>
          <w:sz w:val="20"/>
          <w:szCs w:val="18"/>
        </w:rPr>
        <w:t>0</w:t>
      </w:r>
      <w:r>
        <w:rPr>
          <w:color w:val="231F20"/>
          <w:sz w:val="20"/>
          <w:szCs w:val="18"/>
        </w:rPr>
        <w:t>4</w:t>
      </w:r>
      <w:r w:rsidRPr="000C1284">
        <w:rPr>
          <w:color w:val="231F20"/>
          <w:sz w:val="20"/>
          <w:szCs w:val="18"/>
        </w:rPr>
        <w:t>.</w:t>
      </w:r>
      <w:r w:rsidRPr="00ED0542">
        <w:rPr>
          <w:color w:val="231F20"/>
          <w:sz w:val="20"/>
          <w:szCs w:val="18"/>
        </w:rPr>
        <w:t xml:space="preserve">2025) και σε περίπτωση επέλευσης γεγονότων, τα οποία ουσιωδώς θα επηρέαζαν τα παρουσιαζόμενα στο παρόν </w:t>
      </w:r>
      <w:r>
        <w:rPr>
          <w:color w:val="231F20"/>
          <w:sz w:val="20"/>
          <w:szCs w:val="18"/>
        </w:rPr>
        <w:t>Δελτίο Τύπου</w:t>
      </w:r>
      <w:r w:rsidRPr="00ED0542">
        <w:rPr>
          <w:color w:val="231F20"/>
          <w:sz w:val="20"/>
          <w:szCs w:val="18"/>
        </w:rPr>
        <w:t xml:space="preserve"> ποσοτικά και μη στοιχεία, η </w:t>
      </w:r>
      <w:r>
        <w:rPr>
          <w:color w:val="231F20"/>
          <w:sz w:val="20"/>
          <w:szCs w:val="18"/>
        </w:rPr>
        <w:t>Διοίκηση της ΕΛΒΑΛΧΑΛΚΟΡ</w:t>
      </w:r>
      <w:r w:rsidRPr="00ED0542">
        <w:rPr>
          <w:color w:val="231F20"/>
          <w:sz w:val="20"/>
          <w:szCs w:val="18"/>
        </w:rPr>
        <w:t xml:space="preserve"> δεσμεύεται να ενημερώσει εγκαίρως το επενδυτικό κοινό</w:t>
      </w:r>
      <w:r>
        <w:rPr>
          <w:color w:val="231F20"/>
          <w:sz w:val="20"/>
          <w:szCs w:val="18"/>
        </w:rPr>
        <w:t xml:space="preserve"> </w:t>
      </w:r>
      <w:r w:rsidRPr="005D1BFE">
        <w:rPr>
          <w:color w:val="231F20"/>
          <w:sz w:val="20"/>
          <w:szCs w:val="18"/>
        </w:rPr>
        <w:t>σύμφωνα με σχετικές διατάξεις του</w:t>
      </w:r>
      <w:r>
        <w:rPr>
          <w:color w:val="231F20"/>
          <w:sz w:val="20"/>
          <w:szCs w:val="18"/>
        </w:rPr>
        <w:t xml:space="preserve"> </w:t>
      </w:r>
      <w:r w:rsidRPr="005D1BFE">
        <w:rPr>
          <w:color w:val="231F20"/>
          <w:sz w:val="20"/>
          <w:szCs w:val="18"/>
        </w:rPr>
        <w:t>Κανονισμού (ΕΕ) 596/2014 για τη δημοσιοποίηση προνομιακών πληροφοριών</w:t>
      </w:r>
      <w:r w:rsidRPr="00ED0542">
        <w:rPr>
          <w:color w:val="231F20"/>
          <w:sz w:val="20"/>
          <w:szCs w:val="18"/>
        </w:rPr>
        <w:t>.</w:t>
      </w:r>
    </w:p>
    <w:p w14:paraId="32AB429C" w14:textId="77777777" w:rsidR="00B73CCC" w:rsidRPr="00B73CCC" w:rsidRDefault="00B73CCC" w:rsidP="00B73CCC"/>
    <w:sectPr w:rsidR="00B73CCC" w:rsidRPr="00B73CCC">
      <w:pgSz w:w="11910" w:h="16840"/>
      <w:pgMar w:top="0" w:right="1680" w:bottom="280" w:left="8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E800" w14:textId="77777777" w:rsidR="00B73CCC" w:rsidRDefault="00B73CCC" w:rsidP="00B73CCC">
      <w:r>
        <w:separator/>
      </w:r>
    </w:p>
  </w:endnote>
  <w:endnote w:type="continuationSeparator" w:id="0">
    <w:p w14:paraId="2A7C146F" w14:textId="77777777" w:rsidR="00B73CCC" w:rsidRDefault="00B73CCC" w:rsidP="00B7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altName w:val="Calibri"/>
    <w:charset w:val="00"/>
    <w:family w:val="swiss"/>
    <w:pitch w:val="variable"/>
    <w:sig w:usb0="E00002FF" w:usb1="5000205B" w:usb2="00000000" w:usb3="00000000" w:csb0="0000009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Ubuntu Light">
    <w:charset w:val="00"/>
    <w:family w:val="swiss"/>
    <w:pitch w:val="variable"/>
    <w:sig w:usb0="E00002FF" w:usb1="5000205B" w:usb2="00000000" w:usb3="00000000" w:csb0="000000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88469"/>
      <w:docPartObj>
        <w:docPartGallery w:val="Page Numbers (Bottom of Page)"/>
        <w:docPartUnique/>
      </w:docPartObj>
    </w:sdtPr>
    <w:sdtEndPr>
      <w:rPr>
        <w:noProof/>
      </w:rPr>
    </w:sdtEndPr>
    <w:sdtContent>
      <w:p w14:paraId="6CC5A8DC" w14:textId="77777777" w:rsidR="00B73CCC" w:rsidRDefault="00B73C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EBE00D" w14:textId="77777777" w:rsidR="00B73CCC" w:rsidRDefault="00B73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B5631" w14:textId="77777777" w:rsidR="00B73CCC" w:rsidRDefault="00B73CCC" w:rsidP="00B73CCC">
      <w:r>
        <w:separator/>
      </w:r>
    </w:p>
  </w:footnote>
  <w:footnote w:type="continuationSeparator" w:id="0">
    <w:p w14:paraId="39D6253B" w14:textId="77777777" w:rsidR="00B73CCC" w:rsidRDefault="00B73CCC" w:rsidP="00B73CCC">
      <w:r>
        <w:continuationSeparator/>
      </w:r>
    </w:p>
  </w:footnote>
  <w:footnote w:id="1">
    <w:p w14:paraId="7D44208B" w14:textId="77777777" w:rsidR="00B73CCC" w:rsidRDefault="00B73CCC" w:rsidP="00B73CCC">
      <w:pPr>
        <w:spacing w:before="31"/>
        <w:jc w:val="both"/>
        <w:rPr>
          <w:sz w:val="18"/>
          <w:szCs w:val="18"/>
          <w:lang w:val="it-IT"/>
        </w:rPr>
      </w:pPr>
      <w:r w:rsidRPr="003956EC">
        <w:rPr>
          <w:rStyle w:val="FootnoteReference"/>
          <w:sz w:val="18"/>
          <w:szCs w:val="18"/>
          <w:lang w:val="it-IT"/>
        </w:rPr>
        <w:t>*</w:t>
      </w:r>
      <w:r w:rsidRPr="003956EC">
        <w:rPr>
          <w:sz w:val="18"/>
          <w:szCs w:val="18"/>
          <w:lang w:val="it-IT"/>
        </w:rPr>
        <w:t xml:space="preserve"> </w:t>
      </w:r>
      <w:r w:rsidRPr="0050579D">
        <w:rPr>
          <w:b/>
          <w:bCs/>
          <w:sz w:val="18"/>
          <w:szCs w:val="18"/>
          <w:lang w:val="it-IT"/>
        </w:rPr>
        <w:t>a-EBIT</w:t>
      </w:r>
      <w:r w:rsidRPr="0050579D">
        <w:rPr>
          <w:sz w:val="18"/>
          <w:szCs w:val="18"/>
          <w:lang w:val="it-IT"/>
        </w:rPr>
        <w:t xml:space="preserve">= a-EBITDA – </w:t>
      </w:r>
      <w:r w:rsidRPr="00243848">
        <w:rPr>
          <w:sz w:val="18"/>
          <w:szCs w:val="18"/>
        </w:rPr>
        <w:t>Αποσβέσεις</w:t>
      </w:r>
      <w:r w:rsidRPr="0050579D">
        <w:rPr>
          <w:sz w:val="18"/>
          <w:szCs w:val="18"/>
          <w:lang w:val="it-IT"/>
        </w:rPr>
        <w:t>.</w:t>
      </w:r>
    </w:p>
    <w:p w14:paraId="39A17287" w14:textId="77777777" w:rsidR="00B73CCC" w:rsidRPr="0050579D" w:rsidRDefault="00B73CCC" w:rsidP="00B73CCC">
      <w:pPr>
        <w:pStyle w:val="FootnoteText"/>
        <w:jc w:val="both"/>
        <w:rPr>
          <w:sz w:val="18"/>
          <w:szCs w:val="18"/>
        </w:rPr>
      </w:pPr>
      <w:r w:rsidRPr="003956EC">
        <w:rPr>
          <w:rStyle w:val="FootnoteReference"/>
          <w:sz w:val="18"/>
          <w:szCs w:val="18"/>
        </w:rPr>
        <w:t>**</w:t>
      </w:r>
      <w:r w:rsidRPr="003956EC">
        <w:rPr>
          <w:sz w:val="18"/>
          <w:szCs w:val="18"/>
        </w:rPr>
        <w:t xml:space="preserve"> </w:t>
      </w:r>
      <w:r w:rsidRPr="003956EC">
        <w:rPr>
          <w:b/>
          <w:bCs/>
          <w:sz w:val="18"/>
          <w:szCs w:val="18"/>
        </w:rPr>
        <w:t>a – EBITDA</w:t>
      </w:r>
      <w:r w:rsidRPr="003956EC">
        <w:rPr>
          <w:sz w:val="18"/>
          <w:szCs w:val="18"/>
        </w:rPr>
        <w:t xml:space="preserve"> = EBITDA πλέον αναμορφώσεις για + Ζημία / - Κέρδος από μέταλλο, Ζημία από διαγραφές ή απομειώσεις παγίων, - Κέρδος / + Ζημία από πώληση παγίων, + / - Λοιπά έκτακτα ανόργανα έσοδα / έξοδα</w:t>
      </w:r>
      <w:r>
        <w:rPr>
          <w:sz w:val="18"/>
          <w:szCs w:val="18"/>
        </w:rPr>
        <w:t>.</w:t>
      </w:r>
    </w:p>
    <w:p w14:paraId="01B36C9B" w14:textId="77777777" w:rsidR="00B73CCC" w:rsidRPr="003956EC" w:rsidRDefault="00B73CCC" w:rsidP="00B73CCC">
      <w:pPr>
        <w:pStyle w:val="FootnoteText"/>
        <w:jc w:val="both"/>
        <w:rPr>
          <w:sz w:val="18"/>
          <w:szCs w:val="18"/>
        </w:rPr>
      </w:pPr>
      <w:r w:rsidRPr="00F20393">
        <w:rPr>
          <w:b/>
          <w:bCs/>
          <w:sz w:val="18"/>
          <w:szCs w:val="18"/>
          <w:vertAlign w:val="superscript"/>
        </w:rPr>
        <w:t>***</w:t>
      </w:r>
      <w:r w:rsidRPr="003956EC">
        <w:rPr>
          <w:sz w:val="18"/>
          <w:szCs w:val="18"/>
        </w:rPr>
        <w:t>Τα κέρδη ανά μετοχή υπολογίζονται διαιρώντας τα κέρδη μετά φόρων που αναλογούν στους κοινούς μετόχους της μητρικής, με το μέσο σταθμισμένο αριθμό κοινών μετοχών, εξαιρώντας το μέσο αριθμό ιδίων μετοχών που είχε στην κατοχή του ο Όμιλος.</w:t>
      </w:r>
    </w:p>
    <w:p w14:paraId="5B5A1554" w14:textId="77777777" w:rsidR="00B73CCC" w:rsidRPr="0050579D" w:rsidRDefault="00B73CCC" w:rsidP="00B73CCC">
      <w:pPr>
        <w:pStyle w:val="FootnoteText"/>
        <w:jc w:val="both"/>
        <w:rPr>
          <w:sz w:val="18"/>
          <w:szCs w:val="18"/>
        </w:rPr>
      </w:pPr>
    </w:p>
    <w:p w14:paraId="29F11900" w14:textId="77777777" w:rsidR="00B73CCC" w:rsidRPr="0050579D" w:rsidRDefault="00B73CCC" w:rsidP="00B73CCC"/>
  </w:footnote>
  <w:footnote w:id="2">
    <w:p w14:paraId="2158EB8B" w14:textId="77777777" w:rsidR="00B73CCC" w:rsidRPr="0050579D" w:rsidRDefault="00B73CCC" w:rsidP="00B73CCC">
      <w:pPr>
        <w:ind w:firstLine="7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9B7F" w14:textId="33BA94BE" w:rsidR="00B73CCC" w:rsidRDefault="00B73CCC" w:rsidP="00B73CCC">
    <w:pPr>
      <w:pStyle w:val="Header"/>
      <w:tabs>
        <w:tab w:val="clear" w:pos="4153"/>
        <w:tab w:val="clear" w:pos="8306"/>
        <w:tab w:val="left" w:pos="4388"/>
      </w:tabs>
    </w:pPr>
    <w:r>
      <w:rPr>
        <w:noProof/>
      </w:rPr>
      <w:drawing>
        <wp:anchor distT="0" distB="0" distL="0" distR="0" simplePos="0" relativeHeight="251659264" behindDoc="0" locked="0" layoutInCell="1" allowOverlap="1" wp14:anchorId="25D48E01" wp14:editId="50E3D59E">
          <wp:simplePos x="0" y="0"/>
          <wp:positionH relativeFrom="page">
            <wp:posOffset>1641</wp:posOffset>
          </wp:positionH>
          <wp:positionV relativeFrom="page">
            <wp:posOffset>0</wp:posOffset>
          </wp:positionV>
          <wp:extent cx="7559037" cy="378002"/>
          <wp:effectExtent l="0" t="0" r="0" b="0"/>
          <wp:wrapNone/>
          <wp:docPr id="89173932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559037" cy="378002"/>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D17C04"/>
    <w:multiLevelType w:val="hybridMultilevel"/>
    <w:tmpl w:val="A27AA294"/>
    <w:lvl w:ilvl="0" w:tplc="A6C8D18A">
      <w:numFmt w:val="bullet"/>
      <w:lvlText w:val="•"/>
      <w:lvlJc w:val="left"/>
      <w:pPr>
        <w:ind w:left="2774" w:hanging="360"/>
      </w:pPr>
      <w:rPr>
        <w:rFonts w:ascii="Ubuntu" w:eastAsia="Ubuntu" w:hAnsi="Ubuntu" w:cs="Ubuntu" w:hint="default"/>
        <w:color w:val="F79646" w:themeColor="accent6"/>
      </w:rPr>
    </w:lvl>
    <w:lvl w:ilvl="1" w:tplc="04080003" w:tentative="1">
      <w:start w:val="1"/>
      <w:numFmt w:val="bullet"/>
      <w:lvlText w:val="o"/>
      <w:lvlJc w:val="left"/>
      <w:pPr>
        <w:ind w:left="3494" w:hanging="360"/>
      </w:pPr>
      <w:rPr>
        <w:rFonts w:ascii="Courier New" w:hAnsi="Courier New" w:cs="Courier New" w:hint="default"/>
      </w:rPr>
    </w:lvl>
    <w:lvl w:ilvl="2" w:tplc="04080005" w:tentative="1">
      <w:start w:val="1"/>
      <w:numFmt w:val="bullet"/>
      <w:lvlText w:val=""/>
      <w:lvlJc w:val="left"/>
      <w:pPr>
        <w:ind w:left="4214" w:hanging="360"/>
      </w:pPr>
      <w:rPr>
        <w:rFonts w:ascii="Wingdings" w:hAnsi="Wingdings" w:hint="default"/>
      </w:rPr>
    </w:lvl>
    <w:lvl w:ilvl="3" w:tplc="04080001" w:tentative="1">
      <w:start w:val="1"/>
      <w:numFmt w:val="bullet"/>
      <w:lvlText w:val=""/>
      <w:lvlJc w:val="left"/>
      <w:pPr>
        <w:ind w:left="4934" w:hanging="360"/>
      </w:pPr>
      <w:rPr>
        <w:rFonts w:ascii="Symbol" w:hAnsi="Symbol" w:hint="default"/>
      </w:rPr>
    </w:lvl>
    <w:lvl w:ilvl="4" w:tplc="04080003" w:tentative="1">
      <w:start w:val="1"/>
      <w:numFmt w:val="bullet"/>
      <w:lvlText w:val="o"/>
      <w:lvlJc w:val="left"/>
      <w:pPr>
        <w:ind w:left="5654" w:hanging="360"/>
      </w:pPr>
      <w:rPr>
        <w:rFonts w:ascii="Courier New" w:hAnsi="Courier New" w:cs="Courier New" w:hint="default"/>
      </w:rPr>
    </w:lvl>
    <w:lvl w:ilvl="5" w:tplc="04080005" w:tentative="1">
      <w:start w:val="1"/>
      <w:numFmt w:val="bullet"/>
      <w:lvlText w:val=""/>
      <w:lvlJc w:val="left"/>
      <w:pPr>
        <w:ind w:left="6374" w:hanging="360"/>
      </w:pPr>
      <w:rPr>
        <w:rFonts w:ascii="Wingdings" w:hAnsi="Wingdings" w:hint="default"/>
      </w:rPr>
    </w:lvl>
    <w:lvl w:ilvl="6" w:tplc="04080001" w:tentative="1">
      <w:start w:val="1"/>
      <w:numFmt w:val="bullet"/>
      <w:lvlText w:val=""/>
      <w:lvlJc w:val="left"/>
      <w:pPr>
        <w:ind w:left="7094" w:hanging="360"/>
      </w:pPr>
      <w:rPr>
        <w:rFonts w:ascii="Symbol" w:hAnsi="Symbol" w:hint="default"/>
      </w:rPr>
    </w:lvl>
    <w:lvl w:ilvl="7" w:tplc="04080003" w:tentative="1">
      <w:start w:val="1"/>
      <w:numFmt w:val="bullet"/>
      <w:lvlText w:val="o"/>
      <w:lvlJc w:val="left"/>
      <w:pPr>
        <w:ind w:left="7814" w:hanging="360"/>
      </w:pPr>
      <w:rPr>
        <w:rFonts w:ascii="Courier New" w:hAnsi="Courier New" w:cs="Courier New" w:hint="default"/>
      </w:rPr>
    </w:lvl>
    <w:lvl w:ilvl="8" w:tplc="04080005" w:tentative="1">
      <w:start w:val="1"/>
      <w:numFmt w:val="bullet"/>
      <w:lvlText w:val=""/>
      <w:lvlJc w:val="left"/>
      <w:pPr>
        <w:ind w:left="8534" w:hanging="360"/>
      </w:pPr>
      <w:rPr>
        <w:rFonts w:ascii="Wingdings" w:hAnsi="Wingdings" w:hint="default"/>
      </w:rPr>
    </w:lvl>
  </w:abstractNum>
  <w:num w:numId="1" w16cid:durableId="1160123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61"/>
    <w:rsid w:val="0003443C"/>
    <w:rsid w:val="000B1948"/>
    <w:rsid w:val="001C0F25"/>
    <w:rsid w:val="0028265E"/>
    <w:rsid w:val="002A66C1"/>
    <w:rsid w:val="003F2277"/>
    <w:rsid w:val="003F5A42"/>
    <w:rsid w:val="004251A6"/>
    <w:rsid w:val="00434C61"/>
    <w:rsid w:val="00446603"/>
    <w:rsid w:val="0048227D"/>
    <w:rsid w:val="004B39EF"/>
    <w:rsid w:val="004E666E"/>
    <w:rsid w:val="004F68A2"/>
    <w:rsid w:val="005120AB"/>
    <w:rsid w:val="005439C4"/>
    <w:rsid w:val="006E3608"/>
    <w:rsid w:val="00751198"/>
    <w:rsid w:val="00772DD8"/>
    <w:rsid w:val="00834C1E"/>
    <w:rsid w:val="00877CFA"/>
    <w:rsid w:val="0088716C"/>
    <w:rsid w:val="00887262"/>
    <w:rsid w:val="00954F3E"/>
    <w:rsid w:val="009716C8"/>
    <w:rsid w:val="00974178"/>
    <w:rsid w:val="009C0324"/>
    <w:rsid w:val="009E0E2D"/>
    <w:rsid w:val="00A253D9"/>
    <w:rsid w:val="00A36B47"/>
    <w:rsid w:val="00A81698"/>
    <w:rsid w:val="00B73CCC"/>
    <w:rsid w:val="00B8353F"/>
    <w:rsid w:val="00BD2170"/>
    <w:rsid w:val="00BF4429"/>
    <w:rsid w:val="00CD316F"/>
    <w:rsid w:val="00D21E3A"/>
    <w:rsid w:val="00D37FBE"/>
    <w:rsid w:val="00D82E35"/>
    <w:rsid w:val="00D91E87"/>
    <w:rsid w:val="00E65ECC"/>
    <w:rsid w:val="00F02224"/>
    <w:rsid w:val="00F65B33"/>
    <w:rsid w:val="00F93A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83DEAC5"/>
  <w15:docId w15:val="{0BD29732-2588-BF43-8F52-E7B3B43A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 w:eastAsia="Ubuntu" w:hAnsi="Ubuntu" w:cs="Ubuntu"/>
      <w:lang w:val="el-GR"/>
    </w:rPr>
  </w:style>
  <w:style w:type="paragraph" w:styleId="Heading1">
    <w:name w:val="heading 1"/>
    <w:basedOn w:val="Normal"/>
    <w:link w:val="Heading1Char"/>
    <w:uiPriority w:val="9"/>
    <w:qFormat/>
    <w:rsid w:val="00B73CCC"/>
    <w:pPr>
      <w:spacing w:before="68" w:line="816" w:lineRule="exact"/>
      <w:ind w:left="100"/>
      <w:outlineLvl w:val="0"/>
    </w:pPr>
    <w:rPr>
      <w:b/>
      <w:bCs/>
      <w:sz w:val="77"/>
      <w:szCs w:val="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2"/>
      <w:szCs w:val="52"/>
    </w:rPr>
  </w:style>
  <w:style w:type="paragraph" w:styleId="Title">
    <w:name w:val="Title"/>
    <w:basedOn w:val="Normal"/>
    <w:uiPriority w:val="10"/>
    <w:qFormat/>
    <w:pPr>
      <w:spacing w:before="49"/>
      <w:ind w:left="100"/>
    </w:pPr>
    <w:rPr>
      <w:b/>
      <w:bCs/>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B73CCC"/>
    <w:rPr>
      <w:rFonts w:ascii="Ubuntu" w:eastAsia="Ubuntu" w:hAnsi="Ubuntu" w:cs="Ubuntu"/>
      <w:b/>
      <w:bCs/>
      <w:sz w:val="77"/>
      <w:szCs w:val="77"/>
      <w:lang w:val="el-GR"/>
    </w:rPr>
  </w:style>
  <w:style w:type="paragraph" w:styleId="Header">
    <w:name w:val="header"/>
    <w:basedOn w:val="Normal"/>
    <w:link w:val="HeaderChar"/>
    <w:uiPriority w:val="99"/>
    <w:unhideWhenUsed/>
    <w:rsid w:val="00B73CCC"/>
    <w:pPr>
      <w:tabs>
        <w:tab w:val="center" w:pos="4153"/>
        <w:tab w:val="right" w:pos="8306"/>
      </w:tabs>
    </w:pPr>
    <w:rPr>
      <w:rFonts w:ascii="Ubuntu Light" w:eastAsia="Ubuntu Light" w:hAnsi="Ubuntu Light" w:cs="Ubuntu Light"/>
    </w:rPr>
  </w:style>
  <w:style w:type="character" w:customStyle="1" w:styleId="HeaderChar">
    <w:name w:val="Header Char"/>
    <w:basedOn w:val="DefaultParagraphFont"/>
    <w:link w:val="Header"/>
    <w:uiPriority w:val="99"/>
    <w:rsid w:val="00B73CCC"/>
    <w:rPr>
      <w:rFonts w:ascii="Ubuntu Light" w:eastAsia="Ubuntu Light" w:hAnsi="Ubuntu Light" w:cs="Ubuntu Light"/>
      <w:lang w:val="el-GR"/>
    </w:rPr>
  </w:style>
  <w:style w:type="paragraph" w:styleId="FootnoteText">
    <w:name w:val="footnote text"/>
    <w:basedOn w:val="Normal"/>
    <w:link w:val="FootnoteTextChar"/>
    <w:uiPriority w:val="99"/>
    <w:unhideWhenUsed/>
    <w:rsid w:val="00B73CCC"/>
    <w:rPr>
      <w:sz w:val="20"/>
      <w:szCs w:val="20"/>
    </w:rPr>
  </w:style>
  <w:style w:type="character" w:customStyle="1" w:styleId="FootnoteTextChar">
    <w:name w:val="Footnote Text Char"/>
    <w:basedOn w:val="DefaultParagraphFont"/>
    <w:link w:val="FootnoteText"/>
    <w:uiPriority w:val="99"/>
    <w:rsid w:val="00B73CCC"/>
    <w:rPr>
      <w:rFonts w:ascii="Ubuntu" w:eastAsia="Ubuntu" w:hAnsi="Ubuntu" w:cs="Ubuntu"/>
      <w:sz w:val="20"/>
      <w:szCs w:val="20"/>
      <w:lang w:val="el-GR"/>
    </w:rPr>
  </w:style>
  <w:style w:type="character" w:styleId="FootnoteReference">
    <w:name w:val="footnote reference"/>
    <w:basedOn w:val="DefaultParagraphFont"/>
    <w:uiPriority w:val="99"/>
    <w:semiHidden/>
    <w:unhideWhenUsed/>
    <w:rsid w:val="00B73CCC"/>
    <w:rPr>
      <w:vertAlign w:val="superscript"/>
    </w:rPr>
  </w:style>
  <w:style w:type="table" w:styleId="GridTable4-Accent1">
    <w:name w:val="Grid Table 4 Accent 1"/>
    <w:basedOn w:val="TableNormal"/>
    <w:uiPriority w:val="49"/>
    <w:rsid w:val="00B73CC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er">
    <w:name w:val="footer"/>
    <w:basedOn w:val="Normal"/>
    <w:link w:val="FooterChar"/>
    <w:uiPriority w:val="99"/>
    <w:unhideWhenUsed/>
    <w:rsid w:val="00B73CCC"/>
    <w:pPr>
      <w:tabs>
        <w:tab w:val="center" w:pos="4153"/>
        <w:tab w:val="right" w:pos="8306"/>
      </w:tabs>
    </w:pPr>
    <w:rPr>
      <w:rFonts w:ascii="Ubuntu Light" w:eastAsia="Ubuntu Light" w:hAnsi="Ubuntu Light" w:cs="Ubuntu Light"/>
    </w:rPr>
  </w:style>
  <w:style w:type="character" w:customStyle="1" w:styleId="FooterChar">
    <w:name w:val="Footer Char"/>
    <w:basedOn w:val="DefaultParagraphFont"/>
    <w:link w:val="Footer"/>
    <w:uiPriority w:val="99"/>
    <w:rsid w:val="00B73CCC"/>
    <w:rPr>
      <w:rFonts w:ascii="Ubuntu Light" w:eastAsia="Ubuntu Light" w:hAnsi="Ubuntu Light" w:cs="Ubuntu Light"/>
      <w:lang w:val="el-GR"/>
    </w:rPr>
  </w:style>
  <w:style w:type="paragraph" w:styleId="Revision">
    <w:name w:val="Revision"/>
    <w:hidden/>
    <w:uiPriority w:val="99"/>
    <w:semiHidden/>
    <w:rsid w:val="00B73CCC"/>
    <w:pPr>
      <w:widowControl/>
      <w:autoSpaceDE/>
      <w:autoSpaceDN/>
    </w:pPr>
    <w:rPr>
      <w:rFonts w:ascii="Ubuntu Light" w:eastAsia="Ubuntu Light" w:hAnsi="Ubuntu Light" w:cs="Ubuntu Light"/>
      <w:lang w:val="el-GR"/>
    </w:rPr>
  </w:style>
  <w:style w:type="character" w:styleId="CommentReference">
    <w:name w:val="annotation reference"/>
    <w:basedOn w:val="DefaultParagraphFont"/>
    <w:uiPriority w:val="99"/>
    <w:semiHidden/>
    <w:unhideWhenUsed/>
    <w:rsid w:val="00B73CCC"/>
    <w:rPr>
      <w:sz w:val="16"/>
      <w:szCs w:val="16"/>
    </w:rPr>
  </w:style>
  <w:style w:type="paragraph" w:styleId="CommentText">
    <w:name w:val="annotation text"/>
    <w:basedOn w:val="Normal"/>
    <w:link w:val="CommentTextChar"/>
    <w:uiPriority w:val="99"/>
    <w:unhideWhenUsed/>
    <w:rsid w:val="00B73CCC"/>
    <w:rPr>
      <w:rFonts w:ascii="Ubuntu Light" w:eastAsia="Ubuntu Light" w:hAnsi="Ubuntu Light" w:cs="Ubuntu Light"/>
      <w:sz w:val="20"/>
      <w:szCs w:val="20"/>
    </w:rPr>
  </w:style>
  <w:style w:type="character" w:customStyle="1" w:styleId="CommentTextChar">
    <w:name w:val="Comment Text Char"/>
    <w:basedOn w:val="DefaultParagraphFont"/>
    <w:link w:val="CommentText"/>
    <w:uiPriority w:val="99"/>
    <w:rsid w:val="00B73CCC"/>
    <w:rPr>
      <w:rFonts w:ascii="Ubuntu Light" w:eastAsia="Ubuntu Light" w:hAnsi="Ubuntu Light" w:cs="Ubuntu Light"/>
      <w:sz w:val="20"/>
      <w:szCs w:val="20"/>
      <w:lang w:val="el-GR"/>
    </w:rPr>
  </w:style>
  <w:style w:type="paragraph" w:styleId="CommentSubject">
    <w:name w:val="annotation subject"/>
    <w:basedOn w:val="CommentText"/>
    <w:next w:val="CommentText"/>
    <w:link w:val="CommentSubjectChar"/>
    <w:uiPriority w:val="99"/>
    <w:semiHidden/>
    <w:unhideWhenUsed/>
    <w:rsid w:val="00B73CCC"/>
    <w:rPr>
      <w:b/>
      <w:bCs/>
    </w:rPr>
  </w:style>
  <w:style w:type="character" w:customStyle="1" w:styleId="CommentSubjectChar">
    <w:name w:val="Comment Subject Char"/>
    <w:basedOn w:val="CommentTextChar"/>
    <w:link w:val="CommentSubject"/>
    <w:uiPriority w:val="99"/>
    <w:semiHidden/>
    <w:rsid w:val="00B73CCC"/>
    <w:rPr>
      <w:rFonts w:ascii="Ubuntu Light" w:eastAsia="Ubuntu Light" w:hAnsi="Ubuntu Light" w:cs="Ubuntu Light"/>
      <w:b/>
      <w:bCs/>
      <w:sz w:val="20"/>
      <w:szCs w:val="20"/>
      <w:lang w:val="el-GR"/>
    </w:rPr>
  </w:style>
  <w:style w:type="paragraph" w:styleId="BalloonText">
    <w:name w:val="Balloon Text"/>
    <w:basedOn w:val="Normal"/>
    <w:link w:val="BalloonTextChar"/>
    <w:uiPriority w:val="99"/>
    <w:semiHidden/>
    <w:unhideWhenUsed/>
    <w:rsid w:val="00B73CCC"/>
    <w:rPr>
      <w:rFonts w:ascii="Segoe UI" w:eastAsia="Ubuntu Light" w:hAnsi="Segoe UI" w:cs="Segoe UI"/>
      <w:sz w:val="18"/>
      <w:szCs w:val="18"/>
    </w:rPr>
  </w:style>
  <w:style w:type="character" w:customStyle="1" w:styleId="BalloonTextChar">
    <w:name w:val="Balloon Text Char"/>
    <w:basedOn w:val="DefaultParagraphFont"/>
    <w:link w:val="BalloonText"/>
    <w:uiPriority w:val="99"/>
    <w:semiHidden/>
    <w:rsid w:val="00B73CCC"/>
    <w:rPr>
      <w:rFonts w:ascii="Segoe UI" w:eastAsia="Ubuntu Light" w:hAnsi="Segoe UI" w:cs="Segoe UI"/>
      <w:sz w:val="18"/>
      <w:szCs w:val="18"/>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4\12_2024\CONSOLIDATION\FAIR%20VALUE\ELVALHALCOR_TABLES%20FOR%20WORD_31.12.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4\12_2024\CONSOLIDATION\FAIR%20VALUE\ELVALHALCOR_TABLES%20FOR%20WORD_31.12.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4\12_2024\CONSOLIDATION\FAIR%20VALUE\ELVALHALCOR_TABLES%20FOR%20WORD_31.1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4\12_2024\CONSOLIDATION\FAIR%20VALUE\ELVALHALCOR_TABLES%20FOR%20WORD_31.12.20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3165279893171917"/>
          <c:w val="0.7623403097217627"/>
          <c:h val="0.5724513649801737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Charts!$U$74:$U$76</c:f>
              <c:numCache>
                <c:formatCode>General</c:formatCode>
                <c:ptCount val="3"/>
                <c:pt idx="0">
                  <c:v>2024</c:v>
                </c:pt>
                <c:pt idx="2">
                  <c:v>2023</c:v>
                </c:pt>
              </c:numCache>
            </c:numRef>
          </c:cat>
          <c:val>
            <c:numRef>
              <c:f>Charts!$V$74:$V$76</c:f>
              <c:numCache>
                <c:formatCode>General</c:formatCode>
                <c:ptCount val="3"/>
                <c:pt idx="0" formatCode="#,###,;\(#,###,\);_(* &quot;-&quot;_)">
                  <c:v>98708.469098073474</c:v>
                </c:pt>
                <c:pt idx="2" formatCode="#,###,;\(#,###,\);_(* &quot;-&quot;_)">
                  <c:v>95813.591670772425</c:v>
                </c:pt>
              </c:numCache>
            </c:numRef>
          </c:val>
          <c:extLst>
            <c:ext xmlns:c16="http://schemas.microsoft.com/office/drawing/2014/chart" uri="{C3380CC4-5D6E-409C-BE32-E72D297353CC}">
              <c16:uniqueId val="{00000000-6805-4C5F-8DD7-C606C136DDAB}"/>
            </c:ext>
          </c:extLst>
        </c:ser>
        <c:ser>
          <c:idx val="1"/>
          <c:order val="1"/>
          <c:tx>
            <c:strRef>
              <c:f>Charts!$W$57</c:f>
              <c:strCache>
                <c:ptCount val="1"/>
                <c:pt idx="0">
                  <c:v>AL</c:v>
                </c:pt>
              </c:strCache>
            </c:strRef>
          </c:tx>
          <c:spPr>
            <a:solidFill>
              <a:srgbClr val="558ED5"/>
            </a:solidFill>
            <a:ln>
              <a:noFill/>
            </a:ln>
            <a:effectLst/>
          </c:spPr>
          <c:invertIfNegative val="0"/>
          <c:dLbls>
            <c:dLbl>
              <c:idx val="2"/>
              <c:tx>
                <c:rich>
                  <a:bodyPr/>
                  <a:lstStyle/>
                  <a:p>
                    <a:r>
                      <a:rPr lang="en-US"/>
                      <a:t>143</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6805-4C5F-8DD7-C606C136DD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Charts!$U$74:$U$76</c:f>
              <c:numCache>
                <c:formatCode>General</c:formatCode>
                <c:ptCount val="3"/>
                <c:pt idx="0">
                  <c:v>2024</c:v>
                </c:pt>
                <c:pt idx="2">
                  <c:v>2023</c:v>
                </c:pt>
              </c:numCache>
            </c:numRef>
          </c:cat>
          <c:val>
            <c:numRef>
              <c:f>Charts!$W$74:$W$76</c:f>
              <c:numCache>
                <c:formatCode>General</c:formatCode>
                <c:ptCount val="3"/>
                <c:pt idx="0" formatCode="#,###,;\(#,###,\);_(* &quot;-&quot;_)">
                  <c:v>138754.17843261582</c:v>
                </c:pt>
                <c:pt idx="2" formatCode="#,###,;\(#,###,\);_(* &quot;-&quot;_)">
                  <c:v>143516.4112139013</c:v>
                </c:pt>
              </c:numCache>
            </c:numRef>
          </c:val>
          <c:extLst>
            <c:ext xmlns:c16="http://schemas.microsoft.com/office/drawing/2014/chart" uri="{C3380CC4-5D6E-409C-BE32-E72D297353CC}">
              <c16:uniqueId val="{00000002-6805-4C5F-8DD7-C606C136DDAB}"/>
            </c:ext>
          </c:extLst>
        </c:ser>
        <c:ser>
          <c:idx val="2"/>
          <c:order val="2"/>
          <c:tx>
            <c:strRef>
              <c:f>Charts!$X$57</c:f>
              <c:strCache>
                <c:ptCount val="1"/>
                <c:pt idx="0">
                  <c:v>Total</c:v>
                </c:pt>
              </c:strCache>
            </c:strRef>
          </c:tx>
          <c:spPr>
            <a:noFill/>
            <a:ln>
              <a:noFill/>
            </a:ln>
            <a:effectLst/>
          </c:spPr>
          <c:invertIfNegative val="0"/>
          <c:dLbls>
            <c:dLbl>
              <c:idx val="0"/>
              <c:tx>
                <c:rich>
                  <a:bodyPr/>
                  <a:lstStyle/>
                  <a:p>
                    <a:r>
                      <a:rPr lang="en-US"/>
                      <a:t>238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805-4C5F-8DD7-C606C136DD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Charts!$U$74:$U$76</c:f>
              <c:numCache>
                <c:formatCode>General</c:formatCode>
                <c:ptCount val="3"/>
                <c:pt idx="0">
                  <c:v>2024</c:v>
                </c:pt>
                <c:pt idx="2">
                  <c:v>2023</c:v>
                </c:pt>
              </c:numCache>
            </c:numRef>
          </c:cat>
          <c:val>
            <c:numRef>
              <c:f>Charts!$X$74:$X$76</c:f>
              <c:numCache>
                <c:formatCode>General</c:formatCode>
                <c:ptCount val="3"/>
                <c:pt idx="0" formatCode="#,###,;\(#,###,\);_(* &quot;-&quot;_)">
                  <c:v>237462.64753068931</c:v>
                </c:pt>
                <c:pt idx="2" formatCode="#,###,;\(#,###,\);_(* &quot;-&quot;_)">
                  <c:v>239330.00288467371</c:v>
                </c:pt>
              </c:numCache>
            </c:numRef>
          </c:val>
          <c:extLst>
            <c:ext xmlns:c16="http://schemas.microsoft.com/office/drawing/2014/chart" uri="{C3380CC4-5D6E-409C-BE32-E72D297353CC}">
              <c16:uniqueId val="{00000004-6805-4C5F-8DD7-C606C136DDAB}"/>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3165279893171917"/>
          <c:w val="0.7623403097217627"/>
          <c:h val="0.5724513649801737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dLbl>
              <c:idx val="2"/>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E9-4A4C-8852-332743BB0F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Charts!$U$96:$U$98</c:f>
              <c:numCache>
                <c:formatCode>General</c:formatCode>
                <c:ptCount val="3"/>
                <c:pt idx="0">
                  <c:v>2024</c:v>
                </c:pt>
                <c:pt idx="2">
                  <c:v>2023</c:v>
                </c:pt>
              </c:numCache>
            </c:numRef>
          </c:cat>
          <c:val>
            <c:numRef>
              <c:f>Charts!$V$96:$V$98</c:f>
              <c:numCache>
                <c:formatCode>General</c:formatCode>
                <c:ptCount val="3"/>
                <c:pt idx="0" formatCode="#,###,;\(#,###,\);_(* &quot;-&quot;_)">
                  <c:v>102842.72386598871</c:v>
                </c:pt>
                <c:pt idx="2" formatCode="#,###,;\(#,###,\);_(* &quot;-&quot;_)">
                  <c:v>80587.707415065466</c:v>
                </c:pt>
              </c:numCache>
            </c:numRef>
          </c:val>
          <c:extLst>
            <c:ext xmlns:c16="http://schemas.microsoft.com/office/drawing/2014/chart" uri="{C3380CC4-5D6E-409C-BE32-E72D297353CC}">
              <c16:uniqueId val="{00000001-FDE9-4A4C-8852-332743BB0F13}"/>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Charts!$U$96:$U$98</c:f>
              <c:numCache>
                <c:formatCode>General</c:formatCode>
                <c:ptCount val="3"/>
                <c:pt idx="0">
                  <c:v>2024</c:v>
                </c:pt>
                <c:pt idx="2">
                  <c:v>2023</c:v>
                </c:pt>
              </c:numCache>
            </c:numRef>
          </c:cat>
          <c:val>
            <c:numRef>
              <c:f>Charts!$W$96:$W$98</c:f>
              <c:numCache>
                <c:formatCode>General</c:formatCode>
                <c:ptCount val="3"/>
                <c:pt idx="0" formatCode="#,###,;\(#,###,\);_(* &quot;-&quot;_)">
                  <c:v>139832.48270255994</c:v>
                </c:pt>
                <c:pt idx="2" formatCode="#,###,;\(#,###,\);_(* &quot;-&quot;_)">
                  <c:v>95802.28198999392</c:v>
                </c:pt>
              </c:numCache>
            </c:numRef>
          </c:val>
          <c:extLst>
            <c:ext xmlns:c16="http://schemas.microsoft.com/office/drawing/2014/chart" uri="{C3380CC4-5D6E-409C-BE32-E72D297353CC}">
              <c16:uniqueId val="{00000002-FDE9-4A4C-8852-332743BB0F13}"/>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Charts!$U$96:$U$98</c:f>
              <c:numCache>
                <c:formatCode>General</c:formatCode>
                <c:ptCount val="3"/>
                <c:pt idx="0">
                  <c:v>2024</c:v>
                </c:pt>
                <c:pt idx="2">
                  <c:v>2023</c:v>
                </c:pt>
              </c:numCache>
            </c:numRef>
          </c:cat>
          <c:val>
            <c:numRef>
              <c:f>Charts!$X$96:$X$98</c:f>
              <c:numCache>
                <c:formatCode>General</c:formatCode>
                <c:ptCount val="3"/>
                <c:pt idx="0" formatCode="#,###,;\(#,###,\);_(* &quot;-&quot;_)">
                  <c:v>242675.20656854863</c:v>
                </c:pt>
                <c:pt idx="2" formatCode="#,###,;\(#,###,\);_(* &quot;-&quot;_)">
                  <c:v>176389.98940505937</c:v>
                </c:pt>
              </c:numCache>
            </c:numRef>
          </c:val>
          <c:extLst>
            <c:ext xmlns:c16="http://schemas.microsoft.com/office/drawing/2014/chart" uri="{C3380CC4-5D6E-409C-BE32-E72D297353CC}">
              <c16:uniqueId val="{00000003-FDE9-4A4C-8852-332743BB0F13}"/>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1331747399901726"/>
          <c:w val="0.7623403097217627"/>
          <c:h val="0.6709294239217203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Charts!$U$45:$U$47</c:f>
              <c:numCache>
                <c:formatCode>General</c:formatCode>
                <c:ptCount val="3"/>
                <c:pt idx="0">
                  <c:v>2024</c:v>
                </c:pt>
                <c:pt idx="2">
                  <c:v>2023</c:v>
                </c:pt>
              </c:numCache>
              <c:extLst/>
            </c:numRef>
          </c:cat>
          <c:val>
            <c:numRef>
              <c:f>Charts!$V$45:$V$47</c:f>
              <c:numCache>
                <c:formatCode>General</c:formatCode>
                <c:ptCount val="3"/>
                <c:pt idx="0" formatCode="#,###,;\(#,###,\);_(* &quot;-&quot;_)">
                  <c:v>1707160.0706899997</c:v>
                </c:pt>
                <c:pt idx="2" formatCode="#,###,;\(#,###,\);_(* &quot;-&quot;_)">
                  <c:v>1668858.2656799997</c:v>
                </c:pt>
              </c:numCache>
              <c:extLst/>
            </c:numRef>
          </c:val>
          <c:extLst>
            <c:ext xmlns:c16="http://schemas.microsoft.com/office/drawing/2014/chart" uri="{C3380CC4-5D6E-409C-BE32-E72D297353CC}">
              <c16:uniqueId val="{00000000-2AC8-47E4-BF79-3FF194DE9E37}"/>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Charts!$U$45:$U$47</c:f>
              <c:numCache>
                <c:formatCode>General</c:formatCode>
                <c:ptCount val="3"/>
                <c:pt idx="0">
                  <c:v>2024</c:v>
                </c:pt>
                <c:pt idx="2">
                  <c:v>2023</c:v>
                </c:pt>
              </c:numCache>
              <c:extLst/>
            </c:numRef>
          </c:cat>
          <c:val>
            <c:numRef>
              <c:f>Charts!$W$45:$W$47</c:f>
              <c:numCache>
                <c:formatCode>General</c:formatCode>
                <c:ptCount val="3"/>
                <c:pt idx="0" formatCode="#,###,;\(#,###,\);_(* &quot;-&quot;_)">
                  <c:v>1730910.7220799997</c:v>
                </c:pt>
                <c:pt idx="2" formatCode="#,###,;\(#,###,\);_(* &quot;-&quot;_)">
                  <c:v>1624562.3300264888</c:v>
                </c:pt>
              </c:numCache>
              <c:extLst/>
            </c:numRef>
          </c:val>
          <c:extLst>
            <c:ext xmlns:c16="http://schemas.microsoft.com/office/drawing/2014/chart" uri="{C3380CC4-5D6E-409C-BE32-E72D297353CC}">
              <c16:uniqueId val="{00000001-2AC8-47E4-BF79-3FF194DE9E37}"/>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Charts!$U$45:$U$47</c:f>
              <c:numCache>
                <c:formatCode>General</c:formatCode>
                <c:ptCount val="3"/>
                <c:pt idx="0">
                  <c:v>2024</c:v>
                </c:pt>
                <c:pt idx="2">
                  <c:v>2023</c:v>
                </c:pt>
              </c:numCache>
              <c:extLst/>
            </c:numRef>
          </c:cat>
          <c:val>
            <c:numRef>
              <c:f>Charts!$X$45:$X$47</c:f>
              <c:numCache>
                <c:formatCode>General</c:formatCode>
                <c:ptCount val="3"/>
                <c:pt idx="0" formatCode="#,###,;\(#,###,\);_(* &quot;-&quot;_)">
                  <c:v>3438070.7927699992</c:v>
                </c:pt>
                <c:pt idx="2" formatCode="#,###,;\(#,###,\);_(* &quot;-&quot;_)">
                  <c:v>3293420.5957064885</c:v>
                </c:pt>
              </c:numCache>
              <c:extLst/>
            </c:numRef>
          </c:val>
          <c:extLst>
            <c:ext xmlns:c16="http://schemas.microsoft.com/office/drawing/2014/chart" uri="{C3380CC4-5D6E-409C-BE32-E72D297353CC}">
              <c16:uniqueId val="{00000002-2AC8-47E4-BF79-3FF194DE9E37}"/>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50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4720196613301598"/>
          <c:w val="0.7623403097217627"/>
          <c:h val="0.55690219777887706"/>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Charts!$U$58:$U$60</c:f>
              <c:numCache>
                <c:formatCode>General</c:formatCode>
                <c:ptCount val="3"/>
                <c:pt idx="0">
                  <c:v>2024</c:v>
                </c:pt>
                <c:pt idx="2">
                  <c:v>2023</c:v>
                </c:pt>
              </c:numCache>
            </c:numRef>
          </c:cat>
          <c:val>
            <c:numRef>
              <c:f>Charts!$V$58:$V$60</c:f>
              <c:numCache>
                <c:formatCode>General</c:formatCode>
                <c:ptCount val="3"/>
                <c:pt idx="0" formatCode="#,###,;\(#,###,\);_(* &quot;-&quot;_)">
                  <c:v>170816.65712499997</c:v>
                </c:pt>
                <c:pt idx="2" formatCode="#,###,;\(#,###,\);_(* &quot;-&quot;_)">
                  <c:v>175091.2310889998</c:v>
                </c:pt>
              </c:numCache>
            </c:numRef>
          </c:val>
          <c:extLst>
            <c:ext xmlns:c16="http://schemas.microsoft.com/office/drawing/2014/chart" uri="{C3380CC4-5D6E-409C-BE32-E72D297353CC}">
              <c16:uniqueId val="{00000000-1465-4540-B5F3-A2055FEA084C}"/>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Charts!$U$58:$U$60</c:f>
              <c:numCache>
                <c:formatCode>General</c:formatCode>
                <c:ptCount val="3"/>
                <c:pt idx="0">
                  <c:v>2024</c:v>
                </c:pt>
                <c:pt idx="2">
                  <c:v>2023</c:v>
                </c:pt>
              </c:numCache>
            </c:numRef>
          </c:cat>
          <c:val>
            <c:numRef>
              <c:f>Charts!$W$58:$W$60</c:f>
              <c:numCache>
                <c:formatCode>General</c:formatCode>
                <c:ptCount val="3"/>
                <c:pt idx="0" formatCode="#,###,;\(#,###,\);_(* &quot;-&quot;_)">
                  <c:v>414036.291163949</c:v>
                </c:pt>
                <c:pt idx="2" formatCode="#,###,;\(#,###,\);_(* &quot;-&quot;_)">
                  <c:v>385763.98174325185</c:v>
                </c:pt>
              </c:numCache>
            </c:numRef>
          </c:val>
          <c:extLst>
            <c:ext xmlns:c16="http://schemas.microsoft.com/office/drawing/2014/chart" uri="{C3380CC4-5D6E-409C-BE32-E72D297353CC}">
              <c16:uniqueId val="{00000001-1465-4540-B5F3-A2055FEA084C}"/>
            </c:ext>
          </c:extLst>
        </c:ser>
        <c:ser>
          <c:idx val="2"/>
          <c:order val="2"/>
          <c:tx>
            <c:strRef>
              <c:f>Charts!$X$57</c:f>
              <c:strCache>
                <c:ptCount val="1"/>
                <c:pt idx="0">
                  <c:v>Total</c:v>
                </c:pt>
              </c:strCache>
            </c:strRef>
          </c:tx>
          <c:spPr>
            <a:noFill/>
            <a:ln>
              <a:noFill/>
            </a:ln>
            <a:effectLst/>
          </c:spPr>
          <c:invertIfNegative val="0"/>
          <c:cat>
            <c:numRef>
              <c:f>Charts!$U$58:$U$60</c:f>
              <c:numCache>
                <c:formatCode>General</c:formatCode>
                <c:ptCount val="3"/>
                <c:pt idx="0">
                  <c:v>2024</c:v>
                </c:pt>
                <c:pt idx="2">
                  <c:v>2023</c:v>
                </c:pt>
              </c:numCache>
            </c:numRef>
          </c:cat>
          <c:val>
            <c:numRef>
              <c:f>Charts!$X$58:$X$60</c:f>
              <c:numCache>
                <c:formatCode>General</c:formatCode>
                <c:ptCount val="3"/>
                <c:pt idx="0" formatCode="#,###,;\(#,###,\);_(* &quot;-&quot;_)">
                  <c:v>584852.94828894897</c:v>
                </c:pt>
                <c:pt idx="2" formatCode="#,###,;\(#,###,\);_(* &quot;-&quot;_)">
                  <c:v>560855.21283225168</c:v>
                </c:pt>
              </c:numCache>
            </c:numRef>
          </c:val>
          <c:extLst>
            <c:ext xmlns:c16="http://schemas.microsoft.com/office/drawing/2014/chart" uri="{C3380CC4-5D6E-409C-BE32-E72D297353CC}">
              <c16:uniqueId val="{00000002-1465-4540-B5F3-A2055FEA084C}"/>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75000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C5AB9-CD3F-4D60-9D68-C454AB67A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2513</Words>
  <Characters>15753</Characters>
  <Application>Microsoft Office Word</Application>
  <DocSecurity>0</DocSecurity>
  <Lines>131</Lines>
  <Paragraphs>36</Paragraphs>
  <ScaleCrop>false</ScaleCrop>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Theodorakatos, Dimitrios (Θεοδωρακάτος Δημήτριος)</dc:creator>
  <cp:lastModifiedBy>Sarai, Maria (Σαράη Μαρία)</cp:lastModifiedBy>
  <cp:revision>21</cp:revision>
  <dcterms:created xsi:type="dcterms:W3CDTF">2025-02-28T06:43:00Z</dcterms:created>
  <dcterms:modified xsi:type="dcterms:W3CDTF">2025-03-04T15:46:00Z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Adobe InDesign 20.0 (Macintosh)</vt:lpwstr>
  </property>
  <property fmtid="{D5CDD505-2E9C-101B-9397-08002B2CF9AE}" pid="4" name="LastSaved">
    <vt:filetime>2025-01-22T00:00:00Z</vt:filetime>
  </property>
  <property fmtid="{D5CDD505-2E9C-101B-9397-08002B2CF9AE}" pid="5" name="Producer">
    <vt:lpwstr>Adobe PDF Library 17.0</vt:lpwstr>
  </property>
  <property fmtid="{D5CDD505-2E9C-101B-9397-08002B2CF9AE}" pid="6" name="GrammarlyDocumentId">
    <vt:lpwstr>888b2305c618ab080c1dd1a6ce934c629a06bc4f08b6c3d0b0aa25e29491d73d</vt:lpwstr>
  </property>
</Properties>
</file>