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CE8E" w14:textId="072BC039" w:rsidR="00AA4C96" w:rsidRPr="00B906C6" w:rsidRDefault="00AA4C96" w:rsidP="00AA4C96">
      <w:pPr>
        <w:pStyle w:val="A"/>
        <w:jc w:val="both"/>
        <w:rPr>
          <w:rFonts w:cs="Calibri Light"/>
          <w:color w:val="21286C"/>
          <w:sz w:val="40"/>
          <w:szCs w:val="40"/>
        </w:rPr>
      </w:pPr>
      <w:r>
        <w:rPr>
          <w:color w:val="21286C"/>
          <w:sz w:val="40"/>
        </w:rPr>
        <w:t>Ενημέρωση Αποτελεσμάτων – Πρώτο Τρίμηνο 2025</w:t>
      </w:r>
    </w:p>
    <w:p w14:paraId="6C2217A4" w14:textId="56D6505C" w:rsidR="00AA4C96" w:rsidRPr="0078170C" w:rsidRDefault="007D7F7A" w:rsidP="00AA4C96">
      <w:pPr>
        <w:pStyle w:val="A"/>
        <w:jc w:val="both"/>
        <w:rPr>
          <w:rFonts w:ascii="Calibri" w:hAnsi="Calibri"/>
          <w:b/>
          <w:bCs/>
          <w:color w:val="21286C"/>
          <w:sz w:val="34"/>
          <w:szCs w:val="34"/>
        </w:rPr>
      </w:pPr>
      <w:r>
        <w:rPr>
          <w:rFonts w:ascii="Calibri" w:hAnsi="Calibri"/>
          <w:b/>
          <w:color w:val="21286C"/>
          <w:sz w:val="34"/>
        </w:rPr>
        <w:t xml:space="preserve">Θετικό </w:t>
      </w:r>
      <w:r w:rsidR="006B0BB9">
        <w:rPr>
          <w:rFonts w:ascii="Calibri" w:hAnsi="Calibri"/>
          <w:b/>
          <w:color w:val="21286C"/>
          <w:sz w:val="34"/>
        </w:rPr>
        <w:t xml:space="preserve">ξεκίνημα της χρονιάς </w:t>
      </w:r>
      <w:r>
        <w:rPr>
          <w:rFonts w:ascii="Calibri" w:hAnsi="Calibri"/>
          <w:b/>
          <w:color w:val="21286C"/>
          <w:sz w:val="34"/>
        </w:rPr>
        <w:t>με α</w:t>
      </w:r>
      <w:r w:rsidR="00AA4C96">
        <w:rPr>
          <w:rFonts w:ascii="Calibri" w:hAnsi="Calibri"/>
          <w:b/>
          <w:color w:val="21286C"/>
          <w:sz w:val="34"/>
        </w:rPr>
        <w:t xml:space="preserve">ύξηση των πωλήσεων και </w:t>
      </w:r>
      <w:r w:rsidR="00463DC5">
        <w:rPr>
          <w:rFonts w:ascii="Calibri" w:hAnsi="Calibri"/>
          <w:b/>
          <w:color w:val="21286C"/>
          <w:sz w:val="34"/>
        </w:rPr>
        <w:t xml:space="preserve">της </w:t>
      </w:r>
      <w:r w:rsidR="005C3BF3">
        <w:rPr>
          <w:rFonts w:ascii="Calibri" w:hAnsi="Calibri"/>
          <w:b/>
          <w:color w:val="21286C"/>
          <w:sz w:val="34"/>
        </w:rPr>
        <w:t xml:space="preserve">λειτουργικής </w:t>
      </w:r>
      <w:r w:rsidR="00463DC5">
        <w:rPr>
          <w:rFonts w:ascii="Calibri" w:hAnsi="Calibri"/>
          <w:b/>
          <w:color w:val="21286C"/>
          <w:sz w:val="34"/>
        </w:rPr>
        <w:t>κερδοφορίας</w:t>
      </w:r>
      <w:r w:rsidR="00AA4C96">
        <w:rPr>
          <w:rFonts w:ascii="Calibri" w:hAnsi="Calibri"/>
          <w:b/>
          <w:color w:val="21286C"/>
          <w:sz w:val="34"/>
        </w:rPr>
        <w:t xml:space="preserve"> </w:t>
      </w:r>
    </w:p>
    <w:p w14:paraId="72F1EABB" w14:textId="48F30BD9" w:rsidR="00AA4C96" w:rsidRPr="00717BD4" w:rsidRDefault="00AA4C96" w:rsidP="00AA4C96">
      <w:pPr>
        <w:pStyle w:val="Copy"/>
        <w:jc w:val="both"/>
        <w:rPr>
          <w:color w:val="21286C"/>
          <w:szCs w:val="21"/>
        </w:rPr>
      </w:pPr>
      <w:r>
        <w:rPr>
          <w:b/>
          <w:color w:val="21286C"/>
        </w:rPr>
        <w:t>Βρυξέλλες, 8 Μαΐου 2025, 08:</w:t>
      </w:r>
      <w:r w:rsidR="00083FED" w:rsidRPr="006A0E8B">
        <w:rPr>
          <w:b/>
          <w:color w:val="21286C"/>
        </w:rPr>
        <w:t>0</w:t>
      </w:r>
      <w:r>
        <w:rPr>
          <w:b/>
          <w:color w:val="21286C"/>
        </w:rPr>
        <w:t>0 CEST -</w:t>
      </w:r>
      <w:r>
        <w:rPr>
          <w:color w:val="21286C"/>
        </w:rPr>
        <w:t xml:space="preserve"> Η Titan ΑΕ (Euronext Brussels, Euronext Paris και ATHEX, «TITC») ανακοινώνει τα συνοπτικά οικονομικά αποτελέσματα του πρώτου τριμήνου του 2025. </w:t>
      </w:r>
    </w:p>
    <w:p w14:paraId="45C70763" w14:textId="1375E7CC" w:rsidR="00AA4C96" w:rsidRPr="00717BD4" w:rsidRDefault="00AA4C96" w:rsidP="00AA4C96">
      <w:pPr>
        <w:pStyle w:val="C"/>
        <w:spacing w:line="240" w:lineRule="auto"/>
        <w:jc w:val="both"/>
        <w:rPr>
          <w:color w:val="21286C"/>
        </w:rPr>
      </w:pPr>
      <w:r>
        <w:rPr>
          <w:rFonts w:ascii="Arial" w:hAnsi="Arial"/>
          <w:noProof/>
          <w:color w:val="21286C"/>
          <w:lang w:val="en-US" w:eastAsia="en-US" w:bidi="ar-SA"/>
        </w:rPr>
        <mc:AlternateContent>
          <mc:Choice Requires="wps">
            <w:drawing>
              <wp:anchor distT="0" distB="0" distL="114300" distR="114300" simplePos="0" relativeHeight="251658242" behindDoc="0" locked="0" layoutInCell="1" allowOverlap="1" wp14:anchorId="0AEDF042" wp14:editId="6526C700">
                <wp:simplePos x="0" y="0"/>
                <wp:positionH relativeFrom="column">
                  <wp:posOffset>-22225</wp:posOffset>
                </wp:positionH>
                <wp:positionV relativeFrom="paragraph">
                  <wp:posOffset>273212</wp:posOffset>
                </wp:positionV>
                <wp:extent cx="6145114" cy="0"/>
                <wp:effectExtent l="0" t="0" r="0" b="0"/>
                <wp:wrapNone/>
                <wp:docPr id="1310025292" name="Straight Connector 1310025292"/>
                <wp:cNvGraphicFramePr/>
                <a:graphic xmlns:a="http://schemas.openxmlformats.org/drawingml/2006/main">
                  <a:graphicData uri="http://schemas.microsoft.com/office/word/2010/wordprocessingShape">
                    <wps:wsp>
                      <wps:cNvCnPr/>
                      <wps:spPr>
                        <a:xfrm>
                          <a:off x="0" y="0"/>
                          <a:ext cx="6145114" cy="0"/>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99F1CD0" id="Straight Connector 131002529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1.5pt" to="482.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" strokecolor="#00183d" strokeweight=".25pt"/>
            </w:pict>
          </mc:Fallback>
        </mc:AlternateContent>
      </w:r>
      <w:r>
        <w:rPr>
          <w:color w:val="21286C"/>
        </w:rPr>
        <w:t xml:space="preserve">Κύρια </w:t>
      </w:r>
      <w:r w:rsidR="00D07CC3">
        <w:rPr>
          <w:color w:val="21286C"/>
        </w:rPr>
        <w:t>σ</w:t>
      </w:r>
      <w:r>
        <w:rPr>
          <w:color w:val="21286C"/>
        </w:rPr>
        <w:t xml:space="preserve">τοιχεία </w:t>
      </w:r>
      <w:r w:rsidR="00D07CC3">
        <w:rPr>
          <w:color w:val="21286C"/>
        </w:rPr>
        <w:t>επιδόσεων π</w:t>
      </w:r>
      <w:r>
        <w:rPr>
          <w:color w:val="21286C"/>
        </w:rPr>
        <w:t xml:space="preserve">ρώτου </w:t>
      </w:r>
      <w:r w:rsidR="00D07CC3">
        <w:rPr>
          <w:color w:val="21286C"/>
        </w:rPr>
        <w:t>τ</w:t>
      </w:r>
      <w:r>
        <w:rPr>
          <w:color w:val="21286C"/>
        </w:rPr>
        <w:t>ριμήνου 2025</w:t>
      </w:r>
    </w:p>
    <w:p w14:paraId="7F7339C0" w14:textId="6BC3956B" w:rsidR="00AA4C96" w:rsidRPr="001951BD" w:rsidRDefault="00AA4C96" w:rsidP="00AA4C96">
      <w:pPr>
        <w:pStyle w:val="C"/>
        <w:numPr>
          <w:ilvl w:val="0"/>
          <w:numId w:val="1"/>
        </w:numPr>
        <w:spacing w:after="120" w:line="240" w:lineRule="auto"/>
        <w:ind w:left="284" w:hanging="284"/>
        <w:jc w:val="both"/>
        <w:rPr>
          <w:rFonts w:cs="Calibri"/>
          <w:color w:val="21286C"/>
          <w:sz w:val="22"/>
          <w:szCs w:val="22"/>
        </w:rPr>
      </w:pPr>
      <w:r w:rsidRPr="001951BD">
        <w:rPr>
          <w:color w:val="21286C"/>
          <w:sz w:val="22"/>
          <w:szCs w:val="22"/>
        </w:rPr>
        <w:t>Το έτος ξεκίνησε θετικά, με α</w:t>
      </w:r>
      <w:r w:rsidR="00267730">
        <w:rPr>
          <w:color w:val="21286C"/>
          <w:sz w:val="22"/>
          <w:szCs w:val="22"/>
        </w:rPr>
        <w:t>υξημένες</w:t>
      </w:r>
      <w:r w:rsidRPr="001951BD">
        <w:rPr>
          <w:color w:val="21286C"/>
          <w:sz w:val="22"/>
          <w:szCs w:val="22"/>
        </w:rPr>
        <w:t xml:space="preserve"> πωλήσε</w:t>
      </w:r>
      <w:r w:rsidR="00267730">
        <w:rPr>
          <w:color w:val="21286C"/>
          <w:sz w:val="22"/>
          <w:szCs w:val="22"/>
        </w:rPr>
        <w:t>ις</w:t>
      </w:r>
      <w:r w:rsidRPr="001951BD">
        <w:rPr>
          <w:color w:val="21286C"/>
          <w:sz w:val="22"/>
          <w:szCs w:val="22"/>
        </w:rPr>
        <w:t xml:space="preserve"> κατά </w:t>
      </w:r>
      <w:r w:rsidR="00DC3726" w:rsidRPr="001951BD">
        <w:rPr>
          <w:color w:val="21286C"/>
          <w:sz w:val="22"/>
          <w:szCs w:val="22"/>
        </w:rPr>
        <w:t>2,4</w:t>
      </w:r>
      <w:r w:rsidRPr="001951BD">
        <w:rPr>
          <w:color w:val="21286C"/>
          <w:sz w:val="22"/>
          <w:szCs w:val="22"/>
        </w:rPr>
        <w:t>% στα €</w:t>
      </w:r>
      <w:r w:rsidR="00DC3726" w:rsidRPr="001951BD">
        <w:rPr>
          <w:color w:val="21286C"/>
          <w:sz w:val="22"/>
          <w:szCs w:val="22"/>
        </w:rPr>
        <w:t>638,4</w:t>
      </w:r>
      <w:r w:rsidRPr="001951BD">
        <w:rPr>
          <w:color w:val="21286C"/>
          <w:sz w:val="22"/>
          <w:szCs w:val="22"/>
        </w:rPr>
        <w:t xml:space="preserve"> εκ., χάρη στις σταθερές τιμές, </w:t>
      </w:r>
      <w:r w:rsidR="002F23D6">
        <w:rPr>
          <w:color w:val="21286C"/>
          <w:sz w:val="22"/>
          <w:szCs w:val="22"/>
        </w:rPr>
        <w:t>τους σταθερούς όγκους</w:t>
      </w:r>
      <w:r w:rsidRPr="001951BD">
        <w:rPr>
          <w:color w:val="21286C"/>
          <w:sz w:val="22"/>
          <w:szCs w:val="22"/>
        </w:rPr>
        <w:t xml:space="preserve"> τσιμέντου και </w:t>
      </w:r>
      <w:r w:rsidR="008A2920">
        <w:rPr>
          <w:color w:val="21286C"/>
          <w:sz w:val="22"/>
          <w:szCs w:val="22"/>
        </w:rPr>
        <w:t>σ</w:t>
      </w:r>
      <w:r w:rsidR="002F23D6">
        <w:rPr>
          <w:color w:val="21286C"/>
          <w:sz w:val="22"/>
          <w:szCs w:val="22"/>
        </w:rPr>
        <w:t>τους αυξημένους όγκους σε άλλα βασικά προϊόντα</w:t>
      </w:r>
      <w:r w:rsidRPr="001951BD">
        <w:rPr>
          <w:color w:val="21286C"/>
          <w:sz w:val="22"/>
          <w:szCs w:val="22"/>
        </w:rPr>
        <w:t xml:space="preserve">, παρά τις δυσμενείς καιρικές συνθήκες στις ΗΠΑ και στη Νοτιοανατολική Ευρώπη. </w:t>
      </w:r>
    </w:p>
    <w:p w14:paraId="027B8453" w14:textId="2E009A40" w:rsidR="00AA4C96" w:rsidRPr="001951BD" w:rsidRDefault="00AA4C96" w:rsidP="00AA4C96">
      <w:pPr>
        <w:pStyle w:val="C"/>
        <w:numPr>
          <w:ilvl w:val="0"/>
          <w:numId w:val="1"/>
        </w:numPr>
        <w:spacing w:after="120" w:line="240" w:lineRule="auto"/>
        <w:ind w:left="284" w:hanging="284"/>
        <w:jc w:val="both"/>
        <w:rPr>
          <w:rFonts w:cs="Calibri"/>
          <w:color w:val="21286C"/>
          <w:sz w:val="22"/>
          <w:szCs w:val="22"/>
        </w:rPr>
      </w:pPr>
      <w:r w:rsidRPr="001951BD">
        <w:rPr>
          <w:color w:val="21286C"/>
          <w:sz w:val="22"/>
          <w:szCs w:val="22"/>
        </w:rPr>
        <w:t>Τα κέρδη EBITDA αυξήθηκαν</w:t>
      </w:r>
      <w:r w:rsidR="00681BCC" w:rsidRPr="001951BD">
        <w:rPr>
          <w:color w:val="21286C"/>
          <w:sz w:val="22"/>
          <w:szCs w:val="22"/>
        </w:rPr>
        <w:t xml:space="preserve"> σημαντικά</w:t>
      </w:r>
      <w:r w:rsidRPr="001951BD">
        <w:rPr>
          <w:color w:val="21286C"/>
          <w:sz w:val="22"/>
          <w:szCs w:val="22"/>
        </w:rPr>
        <w:t xml:space="preserve"> κατά </w:t>
      </w:r>
      <w:r w:rsidR="00855A4C" w:rsidRPr="001951BD">
        <w:rPr>
          <w:color w:val="21286C"/>
          <w:sz w:val="22"/>
          <w:szCs w:val="22"/>
        </w:rPr>
        <w:t>11,7</w:t>
      </w:r>
      <w:r w:rsidRPr="001951BD">
        <w:rPr>
          <w:color w:val="21286C"/>
          <w:sz w:val="22"/>
          <w:szCs w:val="22"/>
        </w:rPr>
        <w:t>% στα €</w:t>
      </w:r>
      <w:r w:rsidR="00855A4C" w:rsidRPr="001951BD">
        <w:rPr>
          <w:color w:val="21286C"/>
          <w:sz w:val="22"/>
          <w:szCs w:val="22"/>
        </w:rPr>
        <w:t>122,6</w:t>
      </w:r>
      <w:r w:rsidRPr="001951BD">
        <w:rPr>
          <w:color w:val="21286C"/>
          <w:sz w:val="22"/>
          <w:szCs w:val="22"/>
        </w:rPr>
        <w:t xml:space="preserve"> εκ., χάρη στις </w:t>
      </w:r>
      <w:r w:rsidR="006C6A7A" w:rsidRPr="001951BD">
        <w:rPr>
          <w:color w:val="21286C"/>
          <w:sz w:val="22"/>
          <w:szCs w:val="22"/>
        </w:rPr>
        <w:t>σταθερές</w:t>
      </w:r>
      <w:r w:rsidR="007D627C">
        <w:rPr>
          <w:color w:val="21286C"/>
          <w:sz w:val="22"/>
          <w:szCs w:val="22"/>
        </w:rPr>
        <w:t xml:space="preserve"> </w:t>
      </w:r>
      <w:r w:rsidRPr="001951BD">
        <w:rPr>
          <w:color w:val="21286C"/>
          <w:sz w:val="22"/>
          <w:szCs w:val="22"/>
        </w:rPr>
        <w:t xml:space="preserve">επιδόσεις </w:t>
      </w:r>
      <w:r w:rsidR="003E21B6" w:rsidRPr="001951BD">
        <w:rPr>
          <w:color w:val="21286C"/>
          <w:sz w:val="22"/>
          <w:szCs w:val="22"/>
        </w:rPr>
        <w:t>στις αγορές των</w:t>
      </w:r>
      <w:r w:rsidRPr="001951BD">
        <w:rPr>
          <w:color w:val="21286C"/>
          <w:sz w:val="22"/>
          <w:szCs w:val="22"/>
        </w:rPr>
        <w:t xml:space="preserve"> ΗΠΑ</w:t>
      </w:r>
      <w:r w:rsidR="003E21B6" w:rsidRPr="001951BD">
        <w:rPr>
          <w:color w:val="21286C"/>
          <w:sz w:val="22"/>
          <w:szCs w:val="22"/>
        </w:rPr>
        <w:t>, της</w:t>
      </w:r>
      <w:r w:rsidRPr="001951BD">
        <w:rPr>
          <w:color w:val="21286C"/>
          <w:sz w:val="22"/>
          <w:szCs w:val="22"/>
        </w:rPr>
        <w:t xml:space="preserve"> Ελλάδα</w:t>
      </w:r>
      <w:r w:rsidR="003E21B6" w:rsidRPr="001951BD">
        <w:rPr>
          <w:color w:val="21286C"/>
          <w:sz w:val="22"/>
          <w:szCs w:val="22"/>
        </w:rPr>
        <w:t>ς και της Αιγύπτου</w:t>
      </w:r>
      <w:r w:rsidRPr="001951BD">
        <w:rPr>
          <w:color w:val="21286C"/>
          <w:sz w:val="22"/>
          <w:szCs w:val="22"/>
        </w:rPr>
        <w:t xml:space="preserve"> </w:t>
      </w:r>
      <w:r w:rsidR="00597814" w:rsidRPr="001951BD">
        <w:rPr>
          <w:color w:val="21286C"/>
          <w:sz w:val="22"/>
          <w:szCs w:val="22"/>
        </w:rPr>
        <w:t xml:space="preserve">καθώς και </w:t>
      </w:r>
      <w:r w:rsidR="007D627C">
        <w:rPr>
          <w:color w:val="21286C"/>
          <w:sz w:val="22"/>
          <w:szCs w:val="22"/>
        </w:rPr>
        <w:t>στις</w:t>
      </w:r>
      <w:r w:rsidRPr="001951BD">
        <w:rPr>
          <w:color w:val="21286C"/>
          <w:sz w:val="22"/>
          <w:szCs w:val="22"/>
        </w:rPr>
        <w:t xml:space="preserve"> επενδύσεις</w:t>
      </w:r>
      <w:r w:rsidR="008839FB" w:rsidRPr="001951BD">
        <w:rPr>
          <w:color w:val="21286C"/>
          <w:sz w:val="22"/>
          <w:szCs w:val="22"/>
        </w:rPr>
        <w:t xml:space="preserve"> που</w:t>
      </w:r>
      <w:r w:rsidRPr="001951BD">
        <w:rPr>
          <w:color w:val="21286C"/>
          <w:sz w:val="22"/>
          <w:szCs w:val="22"/>
        </w:rPr>
        <w:t xml:space="preserve"> ενίσχυσαν τη λειτουργική αποδοτικότητα. </w:t>
      </w:r>
    </w:p>
    <w:p w14:paraId="6D152B58" w14:textId="35D15205" w:rsidR="00FA3902" w:rsidRPr="001951BD" w:rsidRDefault="00AA4C96" w:rsidP="00AA4C96">
      <w:pPr>
        <w:pStyle w:val="C"/>
        <w:numPr>
          <w:ilvl w:val="0"/>
          <w:numId w:val="1"/>
        </w:numPr>
        <w:spacing w:after="120" w:line="240" w:lineRule="auto"/>
        <w:ind w:left="284" w:hanging="284"/>
        <w:jc w:val="both"/>
        <w:rPr>
          <w:rFonts w:cs="Calibri"/>
          <w:color w:val="21286C"/>
          <w:sz w:val="22"/>
          <w:szCs w:val="22"/>
        </w:rPr>
      </w:pPr>
      <w:r w:rsidRPr="001951BD">
        <w:rPr>
          <w:color w:val="21286C"/>
          <w:sz w:val="22"/>
          <w:szCs w:val="22"/>
        </w:rPr>
        <w:t>Τα</w:t>
      </w:r>
      <w:r w:rsidR="00E4046D" w:rsidRPr="001951BD">
        <w:rPr>
          <w:color w:val="21286C"/>
          <w:sz w:val="22"/>
          <w:szCs w:val="22"/>
        </w:rPr>
        <w:t xml:space="preserve"> </w:t>
      </w:r>
      <w:r w:rsidRPr="001951BD">
        <w:rPr>
          <w:color w:val="21286C"/>
          <w:sz w:val="22"/>
          <w:szCs w:val="22"/>
        </w:rPr>
        <w:t xml:space="preserve">κέρδη </w:t>
      </w:r>
      <w:r w:rsidR="00E4046D" w:rsidRPr="001951BD">
        <w:rPr>
          <w:color w:val="21286C"/>
          <w:sz w:val="22"/>
          <w:szCs w:val="22"/>
        </w:rPr>
        <w:t>πρ</w:t>
      </w:r>
      <w:r w:rsidR="007D627C">
        <w:rPr>
          <w:color w:val="21286C"/>
          <w:sz w:val="22"/>
          <w:szCs w:val="22"/>
        </w:rPr>
        <w:t>ο φόρων</w:t>
      </w:r>
      <w:r w:rsidR="00A70B02" w:rsidRPr="001951BD">
        <w:rPr>
          <w:color w:val="21286C"/>
          <w:sz w:val="22"/>
          <w:szCs w:val="22"/>
        </w:rPr>
        <w:t xml:space="preserve"> αυξήθηκαν κατά 2,9% σε €66,6 εκ. ενώ τα κέρδη μετά από φόρους και δικαιώματα μειοψηφίας</w:t>
      </w:r>
      <w:r w:rsidR="005D2EB1" w:rsidRPr="001951BD">
        <w:rPr>
          <w:color w:val="21286C"/>
          <w:sz w:val="22"/>
          <w:szCs w:val="22"/>
        </w:rPr>
        <w:t xml:space="preserve"> μειώθηκαν</w:t>
      </w:r>
      <w:r w:rsidR="00900822" w:rsidRPr="00900822">
        <w:rPr>
          <w:color w:val="21286C"/>
          <w:sz w:val="22"/>
          <w:szCs w:val="22"/>
        </w:rPr>
        <w:t>,</w:t>
      </w:r>
      <w:r w:rsidR="005D2EB1" w:rsidRPr="001951BD">
        <w:rPr>
          <w:color w:val="21286C"/>
          <w:sz w:val="22"/>
          <w:szCs w:val="22"/>
        </w:rPr>
        <w:t xml:space="preserve"> </w:t>
      </w:r>
      <w:r w:rsidR="00FA3902" w:rsidRPr="001951BD">
        <w:rPr>
          <w:color w:val="21286C"/>
          <w:sz w:val="22"/>
          <w:szCs w:val="22"/>
        </w:rPr>
        <w:t xml:space="preserve">λόγω €4,2 εκ. που αναλογούν στους μετόχους μειοψηφίας της Titan America και αυξημένων φορολογικών επιβαρύνσεων ύψους €7 εκ. </w:t>
      </w:r>
    </w:p>
    <w:p w14:paraId="57900425" w14:textId="78FB4A2B" w:rsidR="00AA4C96" w:rsidRPr="001951BD" w:rsidRDefault="00AA4C96" w:rsidP="00AA4C96">
      <w:pPr>
        <w:pStyle w:val="C"/>
        <w:numPr>
          <w:ilvl w:val="0"/>
          <w:numId w:val="1"/>
        </w:numPr>
        <w:spacing w:after="120" w:line="240" w:lineRule="auto"/>
        <w:ind w:left="284" w:hanging="284"/>
        <w:jc w:val="both"/>
        <w:rPr>
          <w:rFonts w:cs="Calibri"/>
          <w:color w:val="21286C"/>
          <w:sz w:val="22"/>
          <w:szCs w:val="22"/>
        </w:rPr>
      </w:pPr>
      <w:r w:rsidRPr="001951BD">
        <w:rPr>
          <w:color w:val="21286C"/>
          <w:sz w:val="22"/>
          <w:szCs w:val="22"/>
        </w:rPr>
        <w:t xml:space="preserve">Ο δείκτης δανεισμού </w:t>
      </w:r>
      <w:r w:rsidRPr="00C6227F">
        <w:rPr>
          <w:color w:val="21286C"/>
          <w:sz w:val="22"/>
          <w:szCs w:val="22"/>
        </w:rPr>
        <w:t>διαμορφώθηκε σ</w:t>
      </w:r>
      <w:r w:rsidR="00B12B6C" w:rsidRPr="00C6227F">
        <w:rPr>
          <w:color w:val="21286C"/>
          <w:sz w:val="22"/>
          <w:szCs w:val="22"/>
        </w:rPr>
        <w:t>τα</w:t>
      </w:r>
      <w:r w:rsidRPr="00C6227F">
        <w:rPr>
          <w:color w:val="21286C"/>
          <w:sz w:val="22"/>
          <w:szCs w:val="22"/>
        </w:rPr>
        <w:t xml:space="preserve"> χαμηλά επίπεδα</w:t>
      </w:r>
      <w:r w:rsidR="00FA3902" w:rsidRPr="00C6227F">
        <w:rPr>
          <w:color w:val="21286C"/>
          <w:sz w:val="22"/>
          <w:szCs w:val="22"/>
        </w:rPr>
        <w:t xml:space="preserve"> </w:t>
      </w:r>
      <w:r w:rsidR="00B12B6C" w:rsidRPr="00C6227F">
        <w:rPr>
          <w:color w:val="21286C"/>
          <w:sz w:val="22"/>
          <w:szCs w:val="22"/>
        </w:rPr>
        <w:t xml:space="preserve">του </w:t>
      </w:r>
      <w:r w:rsidR="00FA3902" w:rsidRPr="00C6227F">
        <w:rPr>
          <w:color w:val="21286C"/>
          <w:sz w:val="22"/>
          <w:szCs w:val="22"/>
        </w:rPr>
        <w:t>0,5</w:t>
      </w:r>
      <w:r w:rsidRPr="00C6227F">
        <w:rPr>
          <w:color w:val="21286C"/>
          <w:sz w:val="22"/>
          <w:szCs w:val="22"/>
        </w:rPr>
        <w:t xml:space="preserve">x </w:t>
      </w:r>
      <w:r w:rsidR="007A00A8" w:rsidRPr="00C6227F">
        <w:rPr>
          <w:color w:val="21286C"/>
          <w:sz w:val="22"/>
          <w:szCs w:val="22"/>
        </w:rPr>
        <w:t>ενισχυμένος</w:t>
      </w:r>
      <w:r w:rsidR="007A00A8" w:rsidRPr="001951BD">
        <w:rPr>
          <w:color w:val="21286C"/>
          <w:sz w:val="22"/>
          <w:szCs w:val="22"/>
        </w:rPr>
        <w:t xml:space="preserve"> </w:t>
      </w:r>
      <w:r w:rsidR="00900822">
        <w:rPr>
          <w:color w:val="21286C"/>
          <w:sz w:val="22"/>
          <w:szCs w:val="22"/>
        </w:rPr>
        <w:t>και</w:t>
      </w:r>
      <w:r w:rsidR="007A00A8" w:rsidRPr="001951BD">
        <w:rPr>
          <w:color w:val="21286C"/>
          <w:sz w:val="22"/>
          <w:szCs w:val="22"/>
        </w:rPr>
        <w:t xml:space="preserve"> από τα </w:t>
      </w:r>
      <w:r w:rsidRPr="001951BD">
        <w:rPr>
          <w:color w:val="21286C"/>
          <w:sz w:val="22"/>
          <w:szCs w:val="22"/>
        </w:rPr>
        <w:t xml:space="preserve">κεφάλαια που </w:t>
      </w:r>
      <w:r w:rsidR="00F4205F">
        <w:rPr>
          <w:color w:val="21286C"/>
          <w:sz w:val="22"/>
          <w:szCs w:val="22"/>
        </w:rPr>
        <w:t xml:space="preserve">αντλήθηκαν </w:t>
      </w:r>
      <w:r w:rsidRPr="001951BD">
        <w:rPr>
          <w:color w:val="21286C"/>
          <w:sz w:val="22"/>
          <w:szCs w:val="22"/>
        </w:rPr>
        <w:t xml:space="preserve">μετά την αρχική δημόσια προσφορά (IPO) της Titan America. </w:t>
      </w:r>
    </w:p>
    <w:p w14:paraId="78A9EF60" w14:textId="4CBDAC53" w:rsidR="00D3369B" w:rsidRPr="001951BD" w:rsidRDefault="00EC3C5F" w:rsidP="00AA4C96">
      <w:pPr>
        <w:pStyle w:val="C"/>
        <w:numPr>
          <w:ilvl w:val="0"/>
          <w:numId w:val="1"/>
        </w:numPr>
        <w:spacing w:after="120" w:line="240" w:lineRule="auto"/>
        <w:ind w:left="284" w:hanging="284"/>
        <w:jc w:val="both"/>
        <w:rPr>
          <w:rFonts w:cs="Calibri"/>
          <w:color w:val="21286C"/>
          <w:sz w:val="22"/>
          <w:szCs w:val="22"/>
        </w:rPr>
      </w:pPr>
      <w:r w:rsidRPr="00EC3C5F">
        <w:rPr>
          <w:color w:val="21286C"/>
          <w:sz w:val="22"/>
          <w:szCs w:val="22"/>
        </w:rPr>
        <w:t>Τον Φεβρουάριο 2025 ολοκληρώθηκε η εισαγωγή της Titan America στο Χρηματιστήριο της Νέας Υόρκης (NYSE</w:t>
      </w:r>
      <w:r w:rsidR="007D64A0" w:rsidRPr="00EC3C5F">
        <w:rPr>
          <w:color w:val="21286C"/>
          <w:sz w:val="22"/>
          <w:szCs w:val="22"/>
        </w:rPr>
        <w:t>)</w:t>
      </w:r>
      <w:r w:rsidR="003F4E7A" w:rsidRPr="003F4E7A">
        <w:rPr>
          <w:color w:val="21286C"/>
          <w:sz w:val="22"/>
          <w:szCs w:val="22"/>
        </w:rPr>
        <w:t>.</w:t>
      </w:r>
      <w:r w:rsidR="00A40AE6">
        <w:rPr>
          <w:color w:val="21286C"/>
          <w:sz w:val="22"/>
          <w:szCs w:val="22"/>
        </w:rPr>
        <w:t xml:space="preserve"> Αντλήθηκαν</w:t>
      </w:r>
      <w:r w:rsidR="006F68C0" w:rsidRPr="001951BD">
        <w:rPr>
          <w:color w:val="21286C"/>
          <w:sz w:val="22"/>
          <w:szCs w:val="22"/>
        </w:rPr>
        <w:t xml:space="preserve"> $393 εκ. </w:t>
      </w:r>
      <w:r w:rsidRPr="00EC3C5F">
        <w:rPr>
          <w:color w:val="21286C"/>
          <w:sz w:val="22"/>
          <w:szCs w:val="22"/>
        </w:rPr>
        <w:t xml:space="preserve">μικτά και </w:t>
      </w:r>
      <w:r w:rsidR="00B2186F">
        <w:rPr>
          <w:color w:val="21286C"/>
          <w:sz w:val="22"/>
          <w:szCs w:val="22"/>
        </w:rPr>
        <w:t xml:space="preserve">το </w:t>
      </w:r>
      <w:r w:rsidR="006F68C0" w:rsidRPr="001951BD">
        <w:rPr>
          <w:color w:val="21286C"/>
          <w:sz w:val="22"/>
          <w:szCs w:val="22"/>
        </w:rPr>
        <w:t>μετοχικό ποσοστό</w:t>
      </w:r>
      <w:r w:rsidRPr="00EC3C5F">
        <w:rPr>
          <w:color w:val="21286C"/>
          <w:sz w:val="22"/>
          <w:szCs w:val="22"/>
        </w:rPr>
        <w:t xml:space="preserve"> μειοψηφίας </w:t>
      </w:r>
      <w:r w:rsidR="00B2186F">
        <w:rPr>
          <w:color w:val="21286C"/>
          <w:sz w:val="22"/>
          <w:szCs w:val="22"/>
        </w:rPr>
        <w:t xml:space="preserve">αντιστοιχεί σε </w:t>
      </w:r>
      <w:r w:rsidRPr="00EC3C5F">
        <w:rPr>
          <w:color w:val="21286C"/>
          <w:sz w:val="22"/>
          <w:szCs w:val="22"/>
        </w:rPr>
        <w:t xml:space="preserve">13,3% στην </w:t>
      </w:r>
      <w:r w:rsidR="006F68C0" w:rsidRPr="001951BD">
        <w:rPr>
          <w:color w:val="21286C"/>
          <w:sz w:val="22"/>
          <w:szCs w:val="22"/>
        </w:rPr>
        <w:t>Titan America</w:t>
      </w:r>
      <w:r w:rsidR="00D366D9" w:rsidRPr="001951BD">
        <w:rPr>
          <w:color w:val="21286C"/>
          <w:sz w:val="22"/>
          <w:szCs w:val="22"/>
        </w:rPr>
        <w:t>.</w:t>
      </w:r>
      <w:r w:rsidR="00E5631A" w:rsidRPr="00E5631A">
        <w:rPr>
          <w:color w:val="21286C"/>
          <w:sz w:val="22"/>
          <w:szCs w:val="22"/>
        </w:rPr>
        <w:t xml:space="preserve"> </w:t>
      </w:r>
    </w:p>
    <w:p w14:paraId="05B77F2F" w14:textId="77777777" w:rsidR="004158C3" w:rsidRPr="001951BD" w:rsidRDefault="004158C3" w:rsidP="00AA4C96">
      <w:pPr>
        <w:pStyle w:val="C"/>
        <w:numPr>
          <w:ilvl w:val="0"/>
          <w:numId w:val="1"/>
        </w:numPr>
        <w:spacing w:after="120" w:line="240" w:lineRule="auto"/>
        <w:ind w:left="284" w:hanging="284"/>
        <w:jc w:val="both"/>
        <w:rPr>
          <w:rFonts w:cs="Calibri"/>
          <w:color w:val="21286C"/>
          <w:sz w:val="22"/>
          <w:szCs w:val="22"/>
        </w:rPr>
      </w:pPr>
      <w:r w:rsidRPr="001951BD">
        <w:rPr>
          <w:color w:val="21286C"/>
          <w:sz w:val="22"/>
          <w:szCs w:val="22"/>
        </w:rPr>
        <w:t>Ολοκλήρωση εξαγοράς λατομείου αδρανών υλικών στην Ελλάδα τον Απρίλιο του 2025 και νέα συνεργασία για συμπληρωματικά τσιμεντοειδή υλικά στην Ινδία.</w:t>
      </w:r>
    </w:p>
    <w:p w14:paraId="3E0482B7" w14:textId="05DF8623" w:rsidR="00AA4C96" w:rsidRPr="001951BD" w:rsidRDefault="00AA4C96" w:rsidP="00415923">
      <w:pPr>
        <w:pStyle w:val="C"/>
        <w:numPr>
          <w:ilvl w:val="0"/>
          <w:numId w:val="1"/>
        </w:numPr>
        <w:spacing w:afterLines="80" w:after="192" w:line="240" w:lineRule="auto"/>
        <w:ind w:left="284" w:hanging="284"/>
        <w:jc w:val="both"/>
        <w:rPr>
          <w:rFonts w:cs="Calibri"/>
          <w:color w:val="21286C"/>
          <w:sz w:val="22"/>
          <w:szCs w:val="22"/>
        </w:rPr>
      </w:pPr>
      <w:r w:rsidRPr="001951BD">
        <w:rPr>
          <w:color w:val="21286C"/>
          <w:sz w:val="22"/>
          <w:szCs w:val="22"/>
        </w:rPr>
        <w:t xml:space="preserve">Η πώληση της συμμετοχής (75%) του Ομίλου στην Adocim (Ανατολική Τουρκία) </w:t>
      </w:r>
      <w:r w:rsidR="00996C3E" w:rsidRPr="001951BD">
        <w:rPr>
          <w:color w:val="21286C"/>
          <w:sz w:val="22"/>
          <w:szCs w:val="22"/>
        </w:rPr>
        <w:t>αναμένεται να ολοκληρωθεί κατά τη διάρκεια του καλοκαιριού του 2025.</w:t>
      </w:r>
    </w:p>
    <w:p w14:paraId="4E177D52" w14:textId="0C53EB4B" w:rsidR="00AA4C96" w:rsidRPr="001951BD" w:rsidRDefault="00C6528C" w:rsidP="00415923">
      <w:pPr>
        <w:pStyle w:val="C"/>
        <w:numPr>
          <w:ilvl w:val="0"/>
          <w:numId w:val="1"/>
        </w:numPr>
        <w:spacing w:afterLines="80" w:after="192" w:line="240" w:lineRule="auto"/>
        <w:ind w:left="284" w:hanging="284"/>
        <w:jc w:val="both"/>
        <w:rPr>
          <w:rFonts w:cs="Calibri"/>
          <w:color w:val="21286C"/>
          <w:sz w:val="22"/>
          <w:szCs w:val="22"/>
        </w:rPr>
      </w:pPr>
      <w:r w:rsidRPr="001951BD">
        <w:rPr>
          <w:color w:val="21286C"/>
          <w:sz w:val="22"/>
          <w:szCs w:val="22"/>
        </w:rPr>
        <w:t xml:space="preserve">Το Δ.Σ. ενέκρινε νέο πρόγραμμα αγοράς ιδίων μετοχών </w:t>
      </w:r>
      <w:r w:rsidR="00C5437B" w:rsidRPr="001951BD">
        <w:rPr>
          <w:color w:val="21286C"/>
          <w:sz w:val="22"/>
          <w:szCs w:val="22"/>
        </w:rPr>
        <w:t xml:space="preserve">ύψους </w:t>
      </w:r>
      <w:r w:rsidRPr="001951BD">
        <w:rPr>
          <w:color w:val="21286C"/>
          <w:sz w:val="22"/>
          <w:szCs w:val="22"/>
        </w:rPr>
        <w:t>€10 εκ. με έναρξη τον Ιούλιο</w:t>
      </w:r>
      <w:r w:rsidR="00EC3C5F" w:rsidRPr="00EC3C5F">
        <w:rPr>
          <w:color w:val="21286C"/>
          <w:sz w:val="22"/>
          <w:szCs w:val="22"/>
        </w:rPr>
        <w:t xml:space="preserve">. </w:t>
      </w:r>
      <w:r w:rsidR="00F77846">
        <w:rPr>
          <w:color w:val="21286C"/>
          <w:sz w:val="22"/>
          <w:szCs w:val="22"/>
        </w:rPr>
        <w:t xml:space="preserve">Η </w:t>
      </w:r>
      <w:r w:rsidR="00F77846" w:rsidRPr="001951BD">
        <w:rPr>
          <w:color w:val="21286C"/>
          <w:sz w:val="22"/>
          <w:szCs w:val="22"/>
        </w:rPr>
        <w:t>Ετήσια Γενική Συνέλευση</w:t>
      </w:r>
      <w:r w:rsidR="00F77846">
        <w:rPr>
          <w:color w:val="21286C"/>
          <w:sz w:val="22"/>
          <w:szCs w:val="22"/>
        </w:rPr>
        <w:t xml:space="preserve"> αναμένεται να εγκρίνει </w:t>
      </w:r>
      <w:r w:rsidRPr="001951BD">
        <w:rPr>
          <w:color w:val="21286C"/>
          <w:sz w:val="22"/>
          <w:szCs w:val="22"/>
        </w:rPr>
        <w:t xml:space="preserve">μέρισμα </w:t>
      </w:r>
      <w:r w:rsidR="00F77846">
        <w:rPr>
          <w:color w:val="21286C"/>
          <w:sz w:val="22"/>
          <w:szCs w:val="22"/>
        </w:rPr>
        <w:t xml:space="preserve">ύψους </w:t>
      </w:r>
      <w:r w:rsidRPr="001951BD">
        <w:rPr>
          <w:color w:val="21286C"/>
          <w:sz w:val="22"/>
          <w:szCs w:val="22"/>
        </w:rPr>
        <w:t>€3 ανά μετοχή</w:t>
      </w:r>
      <w:r w:rsidR="00C5437B" w:rsidRPr="001951BD">
        <w:rPr>
          <w:color w:val="21286C"/>
          <w:sz w:val="22"/>
          <w:szCs w:val="22"/>
        </w:rPr>
        <w:t xml:space="preserve"> (συμπεριλαμβανομένου ad-hoc μερίσματος </w:t>
      </w:r>
      <w:r w:rsidR="009F3B0D" w:rsidRPr="001951BD">
        <w:rPr>
          <w:color w:val="21286C"/>
          <w:sz w:val="22"/>
          <w:szCs w:val="22"/>
        </w:rPr>
        <w:t xml:space="preserve">ύψους </w:t>
      </w:r>
      <w:r w:rsidR="00C5437B" w:rsidRPr="001951BD">
        <w:rPr>
          <w:color w:val="21286C"/>
          <w:sz w:val="22"/>
          <w:szCs w:val="22"/>
        </w:rPr>
        <w:t>€2),</w:t>
      </w:r>
      <w:r w:rsidR="00A35AB3" w:rsidRPr="001951BD">
        <w:rPr>
          <w:color w:val="21286C"/>
          <w:sz w:val="22"/>
          <w:szCs w:val="22"/>
        </w:rPr>
        <w:t xml:space="preserve"> το οποίο θα καταβληθεί στις 3 Ιουλίου 2025</w:t>
      </w:r>
      <w:r w:rsidR="00F77846">
        <w:rPr>
          <w:color w:val="21286C"/>
          <w:sz w:val="22"/>
          <w:szCs w:val="22"/>
        </w:rPr>
        <w:t>.</w:t>
      </w:r>
    </w:p>
    <w:p w14:paraId="37F35A6D" w14:textId="7998509C" w:rsidR="00EA300A" w:rsidRPr="001951BD" w:rsidRDefault="00EA300A" w:rsidP="00415923">
      <w:pPr>
        <w:pStyle w:val="C"/>
        <w:numPr>
          <w:ilvl w:val="0"/>
          <w:numId w:val="1"/>
        </w:numPr>
        <w:spacing w:afterLines="80" w:after="192" w:line="240" w:lineRule="auto"/>
        <w:ind w:left="284" w:hanging="284"/>
        <w:jc w:val="both"/>
        <w:rPr>
          <w:rFonts w:cs="Calibri"/>
          <w:color w:val="21286C"/>
          <w:sz w:val="22"/>
          <w:szCs w:val="22"/>
        </w:rPr>
      </w:pPr>
      <w:r w:rsidRPr="001951BD">
        <w:rPr>
          <w:rFonts w:cs="Calibri"/>
          <w:color w:val="21286C"/>
          <w:sz w:val="22"/>
          <w:szCs w:val="22"/>
        </w:rPr>
        <w:t>Η Έκτακτη Γενική Συνέλευση ενέκρινε</w:t>
      </w:r>
      <w:r w:rsidR="00BC4CDA" w:rsidRPr="001951BD">
        <w:rPr>
          <w:rFonts w:cs="Calibri"/>
          <w:color w:val="21286C"/>
          <w:sz w:val="22"/>
          <w:szCs w:val="22"/>
        </w:rPr>
        <w:t xml:space="preserve"> τη μετονομασία της 'Titan Cement International </w:t>
      </w:r>
      <w:r w:rsidR="00397402" w:rsidRPr="001951BD">
        <w:rPr>
          <w:rFonts w:cs="Calibri"/>
          <w:color w:val="21286C"/>
          <w:sz w:val="22"/>
          <w:szCs w:val="22"/>
          <w:lang w:val="en-US"/>
        </w:rPr>
        <w:t>SA</w:t>
      </w:r>
      <w:r w:rsidR="00BC4CDA" w:rsidRPr="001951BD">
        <w:rPr>
          <w:rFonts w:cs="Calibri"/>
          <w:color w:val="21286C"/>
          <w:sz w:val="22"/>
          <w:szCs w:val="22"/>
        </w:rPr>
        <w:t xml:space="preserve">' σε 'Titan </w:t>
      </w:r>
      <w:r w:rsidR="001951BD" w:rsidRPr="001951BD">
        <w:rPr>
          <w:rFonts w:cs="Calibri"/>
          <w:color w:val="21286C"/>
          <w:sz w:val="22"/>
          <w:szCs w:val="22"/>
          <w:lang w:val="en-US"/>
        </w:rPr>
        <w:t>SA</w:t>
      </w:r>
      <w:r w:rsidR="00BC4CDA" w:rsidRPr="001951BD">
        <w:rPr>
          <w:rFonts w:cs="Calibri"/>
          <w:color w:val="21286C"/>
          <w:sz w:val="22"/>
          <w:szCs w:val="22"/>
        </w:rPr>
        <w:t>' και την αλλαγή της ηλεκτρονικής διεύθυνσης σε 'titanmaterials.com',</w:t>
      </w:r>
      <w:r w:rsidR="00F76964" w:rsidRPr="001951BD">
        <w:rPr>
          <w:rFonts w:cs="Calibri"/>
          <w:color w:val="21286C"/>
          <w:sz w:val="22"/>
          <w:szCs w:val="22"/>
        </w:rPr>
        <w:t xml:space="preserve"> στο πλαίσιο της ταχείας προόδου της Στρατηγικής 2026 και της παρουσίασης νέας εταιρικής ταυτότητας, σκοπού και αξιών, όπως ανακοινώθηκε το 2024.</w:t>
      </w:r>
    </w:p>
    <w:p w14:paraId="1C324BA2" w14:textId="4272181B" w:rsidR="00AA4C96" w:rsidRPr="001951BD" w:rsidRDefault="00AA4C96" w:rsidP="00415923">
      <w:pPr>
        <w:pStyle w:val="C"/>
        <w:numPr>
          <w:ilvl w:val="0"/>
          <w:numId w:val="1"/>
        </w:numPr>
        <w:spacing w:afterLines="80" w:after="192" w:line="240" w:lineRule="auto"/>
        <w:ind w:left="284" w:hanging="284"/>
        <w:jc w:val="both"/>
        <w:rPr>
          <w:rFonts w:cs="Calibri"/>
          <w:color w:val="21286C"/>
          <w:sz w:val="22"/>
          <w:szCs w:val="22"/>
        </w:rPr>
      </w:pPr>
      <w:r w:rsidRPr="001951BD">
        <w:rPr>
          <w:color w:val="21286C"/>
          <w:sz w:val="22"/>
          <w:szCs w:val="22"/>
        </w:rPr>
        <w:t xml:space="preserve">Για δεύτερη συνεχή χρονιά, ο Titan αναγνωρίστηκε ως μία από τις κορυφαίες εταιρίες στην Ευρώπη που ηγούνται των πρωτοβουλιών για την αντιμετώπιση της κλιματικής αλλαγής, σύμφωνα με την </w:t>
      </w:r>
      <w:r w:rsidR="002C1CDD" w:rsidRPr="001951BD">
        <w:rPr>
          <w:color w:val="21286C"/>
          <w:sz w:val="22"/>
          <w:szCs w:val="22"/>
        </w:rPr>
        <w:t>πέμπτη</w:t>
      </w:r>
      <w:r w:rsidRPr="001951BD">
        <w:rPr>
          <w:color w:val="21286C"/>
          <w:sz w:val="22"/>
          <w:szCs w:val="22"/>
        </w:rPr>
        <w:t xml:space="preserve"> έκδοση της λίστας που δημοσίευσαν οι Financial Times.</w:t>
      </w:r>
    </w:p>
    <w:p w14:paraId="508C452A" w14:textId="7B247F56" w:rsidR="00AA4C96" w:rsidRPr="00711C38" w:rsidRDefault="00AA4C96" w:rsidP="00415923">
      <w:pPr>
        <w:pStyle w:val="C"/>
        <w:numPr>
          <w:ilvl w:val="0"/>
          <w:numId w:val="1"/>
        </w:numPr>
        <w:spacing w:after="80" w:line="240" w:lineRule="auto"/>
        <w:ind w:left="284" w:hanging="284"/>
        <w:jc w:val="both"/>
        <w:rPr>
          <w:rFonts w:cs="Calibri"/>
          <w:color w:val="21286C"/>
          <w:sz w:val="22"/>
          <w:szCs w:val="22"/>
        </w:rPr>
      </w:pPr>
      <w:r w:rsidRPr="001951BD">
        <w:rPr>
          <w:color w:val="21286C"/>
          <w:sz w:val="22"/>
          <w:szCs w:val="22"/>
        </w:rPr>
        <w:t xml:space="preserve">Παραμένουμε συγκρατημένα αισιόδοξοι για </w:t>
      </w:r>
      <w:r w:rsidR="004202BB">
        <w:rPr>
          <w:color w:val="21286C"/>
          <w:sz w:val="22"/>
          <w:szCs w:val="22"/>
        </w:rPr>
        <w:t>το υπόλοιπο</w:t>
      </w:r>
      <w:r w:rsidRPr="001951BD">
        <w:rPr>
          <w:color w:val="21286C"/>
          <w:sz w:val="22"/>
          <w:szCs w:val="22"/>
        </w:rPr>
        <w:t xml:space="preserve"> του 2025, παρά το μακροοικονομικό κλίμα αβεβαιότητας που επικρατεί παγκοσμίως</w:t>
      </w:r>
      <w:r w:rsidR="0071300C">
        <w:rPr>
          <w:color w:val="21286C"/>
          <w:sz w:val="22"/>
          <w:szCs w:val="22"/>
        </w:rPr>
        <w:t>.</w:t>
      </w:r>
      <w:r w:rsidRPr="001951BD">
        <w:rPr>
          <w:color w:val="21286C"/>
          <w:sz w:val="22"/>
          <w:szCs w:val="22"/>
        </w:rPr>
        <w:t xml:space="preserve"> </w:t>
      </w:r>
      <w:r w:rsidR="0071300C">
        <w:rPr>
          <w:color w:val="21286C"/>
          <w:sz w:val="22"/>
          <w:szCs w:val="22"/>
        </w:rPr>
        <w:t xml:space="preserve">Η </w:t>
      </w:r>
      <w:r w:rsidRPr="001951BD">
        <w:rPr>
          <w:color w:val="21286C"/>
          <w:sz w:val="22"/>
          <w:szCs w:val="22"/>
        </w:rPr>
        <w:t>παρουσία μας στις αγορές που εμφανίζουν υψηλά επίπεδα ανάπτυξης</w:t>
      </w:r>
      <w:r w:rsidR="0071300C">
        <w:rPr>
          <w:color w:val="21286C"/>
          <w:sz w:val="22"/>
          <w:szCs w:val="22"/>
        </w:rPr>
        <w:t>,</w:t>
      </w:r>
      <w:r w:rsidRPr="001951BD">
        <w:rPr>
          <w:color w:val="21286C"/>
          <w:sz w:val="22"/>
          <w:szCs w:val="22"/>
        </w:rPr>
        <w:t xml:space="preserve"> ενισχύει τη συνεχιζόμενη αύξηση των πωλήσεων και τη διεύρυνση των περιθωρίων </w:t>
      </w:r>
      <w:r w:rsidR="003F06B9">
        <w:rPr>
          <w:color w:val="21286C"/>
          <w:sz w:val="22"/>
          <w:szCs w:val="22"/>
        </w:rPr>
        <w:t>κέρδους</w:t>
      </w:r>
      <w:r w:rsidRPr="001951BD">
        <w:rPr>
          <w:color w:val="21286C"/>
          <w:sz w:val="22"/>
          <w:szCs w:val="22"/>
        </w:rPr>
        <w:t>.</w:t>
      </w:r>
    </w:p>
    <w:p w14:paraId="17EC8430" w14:textId="77777777" w:rsidR="00711C38" w:rsidRPr="001951BD" w:rsidRDefault="00711C38" w:rsidP="00711C38">
      <w:pPr>
        <w:pStyle w:val="C"/>
        <w:spacing w:after="80" w:line="240" w:lineRule="auto"/>
        <w:ind w:left="284"/>
        <w:jc w:val="both"/>
        <w:rPr>
          <w:rFonts w:cs="Calibri"/>
          <w:color w:val="21286C"/>
          <w:sz w:val="22"/>
          <w:szCs w:val="22"/>
        </w:rPr>
      </w:pPr>
    </w:p>
    <w:p w14:paraId="304648C1" w14:textId="6B302E56" w:rsidR="00AA4C96" w:rsidRPr="00717BD4" w:rsidRDefault="00AA4C96" w:rsidP="00AA4C96">
      <w:pPr>
        <w:pStyle w:val="C"/>
        <w:spacing w:line="240" w:lineRule="auto"/>
        <w:jc w:val="both"/>
        <w:rPr>
          <w:noProof/>
          <w:color w:val="21286C"/>
        </w:rPr>
      </w:pPr>
      <w:r w:rsidRPr="008F0EB4">
        <w:rPr>
          <w:noProof/>
          <w:color w:val="21286C"/>
        </w:rPr>
        <w:lastRenderedPageBreak/>
        <mc:AlternateContent>
          <mc:Choice Requires="wps">
            <w:drawing>
              <wp:anchor distT="0" distB="0" distL="114300" distR="114300" simplePos="0" relativeHeight="251658241" behindDoc="0" locked="0" layoutInCell="1" allowOverlap="1" wp14:anchorId="1BAD3F97" wp14:editId="606D4F9B">
                <wp:simplePos x="0" y="0"/>
                <wp:positionH relativeFrom="column">
                  <wp:posOffset>7075</wp:posOffset>
                </wp:positionH>
                <wp:positionV relativeFrom="paragraph">
                  <wp:posOffset>239667</wp:posOffset>
                </wp:positionV>
                <wp:extent cx="6204585" cy="0"/>
                <wp:effectExtent l="0" t="0" r="5715" b="12700"/>
                <wp:wrapNone/>
                <wp:docPr id="13" name="Straight Connector 13"/>
                <wp:cNvGraphicFramePr/>
                <a:graphic xmlns:a="http://schemas.openxmlformats.org/drawingml/2006/main">
                  <a:graphicData uri="http://schemas.microsoft.com/office/word/2010/wordprocessingShape">
                    <wps:wsp>
                      <wps:cNvCnPr/>
                      <wps:spPr>
                        <a:xfrm>
                          <a:off x="0" y="0"/>
                          <a:ext cx="6204585" cy="0"/>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46156F4" id="Straight Connector 13"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8.85pt" to="489.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" strokecolor="#00183d" strokeweight=".25pt"/>
            </w:pict>
          </mc:Fallback>
        </mc:AlternateContent>
      </w:r>
      <w:r w:rsidRPr="008F0EB4">
        <w:rPr>
          <w:noProof/>
          <w:color w:val="21286C"/>
        </w:rPr>
        <w:t xml:space="preserve">Όμιλος ΤΙΤΑΝ – </w:t>
      </w:r>
      <w:r w:rsidR="00EF6840">
        <w:rPr>
          <w:noProof/>
          <w:color w:val="21286C"/>
        </w:rPr>
        <w:t>Επισκόπηση του</w:t>
      </w:r>
      <w:r w:rsidRPr="008F0EB4">
        <w:rPr>
          <w:noProof/>
          <w:color w:val="21286C"/>
        </w:rPr>
        <w:t xml:space="preserve"> πρώτου τριμήνου</w:t>
      </w:r>
    </w:p>
    <w:p w14:paraId="1361EE8E" w14:textId="7B1216CF" w:rsidR="00AA4C96" w:rsidRDefault="001877C1" w:rsidP="00AA4C96">
      <w:pPr>
        <w:pStyle w:val="Copy"/>
        <w:jc w:val="both"/>
        <w:rPr>
          <w:color w:val="21286C"/>
        </w:rPr>
      </w:pPr>
      <w:r w:rsidRPr="001877C1">
        <w:rPr>
          <w:color w:val="21286C"/>
        </w:rPr>
        <w:t xml:space="preserve">Κατά το πρώτο τρίμηνο του 2025, ο Όμιλος κατέγραψε </w:t>
      </w:r>
      <w:r w:rsidR="001129F7">
        <w:rPr>
          <w:color w:val="21286C"/>
        </w:rPr>
        <w:t>σημαντική</w:t>
      </w:r>
      <w:r w:rsidRPr="001877C1">
        <w:rPr>
          <w:color w:val="21286C"/>
        </w:rPr>
        <w:t xml:space="preserve"> αύξηση πωλήσεων, </w:t>
      </w:r>
      <w:r w:rsidR="001129F7">
        <w:rPr>
          <w:color w:val="21286C"/>
        </w:rPr>
        <w:t xml:space="preserve">χάρη στις </w:t>
      </w:r>
      <w:r w:rsidRPr="001877C1">
        <w:rPr>
          <w:color w:val="21286C"/>
        </w:rPr>
        <w:t xml:space="preserve">σταθερές τιμές ενώ εφαρμόστηκαν αυξήσεις τιμών σε ορισμένες </w:t>
      </w:r>
      <w:r w:rsidR="0045417E">
        <w:rPr>
          <w:color w:val="21286C"/>
        </w:rPr>
        <w:t>χώρες</w:t>
      </w:r>
      <w:r w:rsidRPr="001877C1">
        <w:rPr>
          <w:color w:val="21286C"/>
        </w:rPr>
        <w:t xml:space="preserve">. Η ζήτηση για τα </w:t>
      </w:r>
      <w:r w:rsidR="00AA4C96">
        <w:rPr>
          <w:color w:val="21286C"/>
        </w:rPr>
        <w:t>δευτερογενή προϊόντα του Ομίλου διατήρησε τη δυναμική της</w:t>
      </w:r>
      <w:r w:rsidR="004154C3" w:rsidRPr="004154C3">
        <w:rPr>
          <w:color w:val="21286C"/>
        </w:rPr>
        <w:t>,</w:t>
      </w:r>
      <w:r w:rsidR="004154C3">
        <w:rPr>
          <w:color w:val="21286C"/>
        </w:rPr>
        <w:t xml:space="preserve"> με τις πωλήσεις αδρανών υλικών να αυξάνονται κατά</w:t>
      </w:r>
      <w:r w:rsidR="00AA4C96">
        <w:rPr>
          <w:color w:val="21286C"/>
        </w:rPr>
        <w:t xml:space="preserve"> </w:t>
      </w:r>
      <w:r w:rsidR="00D90EC8" w:rsidRPr="00D90EC8">
        <w:rPr>
          <w:color w:val="21286C"/>
        </w:rPr>
        <w:t>18</w:t>
      </w:r>
      <w:r w:rsidR="00AA4C96">
        <w:rPr>
          <w:color w:val="21286C"/>
        </w:rPr>
        <w:t xml:space="preserve">% </w:t>
      </w:r>
      <w:r w:rsidR="006E642A">
        <w:rPr>
          <w:color w:val="21286C"/>
        </w:rPr>
        <w:t xml:space="preserve">και του έτοιμου σκυροδέματος κατά </w:t>
      </w:r>
      <w:r w:rsidR="00D90EC8" w:rsidRPr="00D90EC8">
        <w:rPr>
          <w:color w:val="21286C"/>
        </w:rPr>
        <w:t>6</w:t>
      </w:r>
      <w:r w:rsidR="00AA4C96">
        <w:rPr>
          <w:color w:val="21286C"/>
        </w:rPr>
        <w:t>%, ενώ οι πωλήσεις τσιμέντου διατηρήθηκαν στα ίδια επίπεδα</w:t>
      </w:r>
      <w:r w:rsidR="00032F43">
        <w:rPr>
          <w:color w:val="21286C"/>
        </w:rPr>
        <w:t>.</w:t>
      </w:r>
      <w:r w:rsidR="00AA4C96">
        <w:rPr>
          <w:color w:val="21286C"/>
        </w:rPr>
        <w:t xml:space="preserve"> Οι</w:t>
      </w:r>
      <w:r w:rsidR="0083411F" w:rsidRPr="0083411F">
        <w:rPr>
          <w:color w:val="21286C"/>
        </w:rPr>
        <w:t xml:space="preserve"> </w:t>
      </w:r>
      <w:r w:rsidR="009973BF">
        <w:rPr>
          <w:color w:val="21286C"/>
        </w:rPr>
        <w:t>δυσμενείς καιρικές συνθήκες</w:t>
      </w:r>
      <w:r w:rsidR="00AA4C96">
        <w:rPr>
          <w:color w:val="21286C"/>
        </w:rPr>
        <w:t xml:space="preserve"> που επικράτησαν το</w:t>
      </w:r>
      <w:r w:rsidR="00164353">
        <w:rPr>
          <w:color w:val="21286C"/>
        </w:rPr>
        <w:t xml:space="preserve"> πρώτο</w:t>
      </w:r>
      <w:r w:rsidR="00AA4C96">
        <w:rPr>
          <w:color w:val="21286C"/>
        </w:rPr>
        <w:t xml:space="preserve"> τρίμηνο στις ΗΠΑ και στη Νοτιοανατολική Ευρώπη επηρέασαν αρνητικά τις πωλήσεις </w:t>
      </w:r>
      <w:r w:rsidR="008B26E2">
        <w:rPr>
          <w:color w:val="21286C"/>
        </w:rPr>
        <w:t xml:space="preserve">στις εν λόγω γεωγραφικές περιοχές. </w:t>
      </w:r>
      <w:r w:rsidR="00AA4C96">
        <w:rPr>
          <w:color w:val="21286C"/>
        </w:rPr>
        <w:t xml:space="preserve">Ωστόσο, οι </w:t>
      </w:r>
      <w:r w:rsidR="00032F43">
        <w:rPr>
          <w:color w:val="21286C"/>
        </w:rPr>
        <w:t>ισχυρές</w:t>
      </w:r>
      <w:r w:rsidR="0060154A">
        <w:rPr>
          <w:color w:val="21286C"/>
        </w:rPr>
        <w:t xml:space="preserve"> </w:t>
      </w:r>
      <w:r w:rsidR="00AA4C96">
        <w:rPr>
          <w:color w:val="21286C"/>
        </w:rPr>
        <w:t>επιδόσεις στην Ελλάδα και η σημαντική αύξηση των εξαγωγών τσιμέντου</w:t>
      </w:r>
      <w:r w:rsidR="005D78ED" w:rsidRPr="005D78ED">
        <w:rPr>
          <w:color w:val="21286C"/>
        </w:rPr>
        <w:t xml:space="preserve"> </w:t>
      </w:r>
      <w:r w:rsidR="00AA4C96">
        <w:rPr>
          <w:color w:val="21286C"/>
        </w:rPr>
        <w:t>από την Αίγυπτο λειτούργησαν αντισταθμιστικά σε επίπεδο Ομίλου.</w:t>
      </w:r>
      <w:r w:rsidR="00C352E4">
        <w:rPr>
          <w:color w:val="21286C"/>
        </w:rPr>
        <w:t xml:space="preserve"> Οι πωλήσεις του Ομίλου αυξήθηκαν κατά </w:t>
      </w:r>
      <w:r w:rsidR="00C352E4" w:rsidRPr="00BB564C">
        <w:rPr>
          <w:color w:val="21286C"/>
        </w:rPr>
        <w:t>2,4</w:t>
      </w:r>
      <w:r w:rsidR="00C352E4">
        <w:rPr>
          <w:color w:val="21286C"/>
        </w:rPr>
        <w:t>% έναντι του πρώτου τριμήνου του 2024 και διαμορφώθηκαν σε €</w:t>
      </w:r>
      <w:r w:rsidR="00C352E4" w:rsidRPr="00BB564C">
        <w:rPr>
          <w:color w:val="21286C"/>
        </w:rPr>
        <w:t>638,4</w:t>
      </w:r>
      <w:r w:rsidR="00C352E4">
        <w:rPr>
          <w:color w:val="21286C"/>
        </w:rPr>
        <w:t xml:space="preserve"> εκ. </w:t>
      </w:r>
      <w:r w:rsidR="001B4E91">
        <w:rPr>
          <w:color w:val="21286C"/>
        </w:rPr>
        <w:t>π</w:t>
      </w:r>
      <w:r w:rsidR="007B1B5F">
        <w:rPr>
          <w:color w:val="21286C"/>
        </w:rPr>
        <w:t>αρότι</w:t>
      </w:r>
      <w:r w:rsidR="00AA4C96">
        <w:rPr>
          <w:color w:val="21286C"/>
        </w:rPr>
        <w:t xml:space="preserve"> το πρώτο τρίμηνο του έτους ο κλάδος μας κατά κανόνα εμφανίζει</w:t>
      </w:r>
      <w:r w:rsidR="001B4E91">
        <w:rPr>
          <w:color w:val="21286C"/>
        </w:rPr>
        <w:t xml:space="preserve"> χαμηλή ζήτηση. </w:t>
      </w:r>
      <w:r w:rsidR="00AA4C96">
        <w:rPr>
          <w:color w:val="21286C"/>
        </w:rPr>
        <w:t xml:space="preserve">Επιπλέον, χάρη στη λειτουργική αποδοτικότητα, τα κέρδη EBITDA αυξήθηκαν κατά </w:t>
      </w:r>
      <w:r w:rsidR="00294936" w:rsidRPr="00294936">
        <w:rPr>
          <w:color w:val="21286C"/>
        </w:rPr>
        <w:t>11,7</w:t>
      </w:r>
      <w:r w:rsidR="00AA4C96">
        <w:rPr>
          <w:color w:val="21286C"/>
        </w:rPr>
        <w:t>% έναντι της αντίστοιχης περιόδου πέρυσι και διαμορφώθηκαν σε €</w:t>
      </w:r>
      <w:r w:rsidR="00294936" w:rsidRPr="00294936">
        <w:rPr>
          <w:color w:val="21286C"/>
        </w:rPr>
        <w:t xml:space="preserve">122,6 </w:t>
      </w:r>
      <w:r w:rsidR="00AA4C96">
        <w:rPr>
          <w:color w:val="21286C"/>
        </w:rPr>
        <w:t>εκ., ενώ όλοι οι γεωγραφικοί τομείς κατέγραψαν άνοδο, εκτός της Νοτιοανατολικής Ευρώπης. Τα κέρδη EBITDA ενισχύθηκαν</w:t>
      </w:r>
      <w:r w:rsidR="009342BF">
        <w:rPr>
          <w:color w:val="21286C"/>
        </w:rPr>
        <w:t>, κυρίως</w:t>
      </w:r>
      <w:r w:rsidR="00AA4C96">
        <w:rPr>
          <w:color w:val="21286C"/>
        </w:rPr>
        <w:t xml:space="preserve"> χάρη στις </w:t>
      </w:r>
      <w:r w:rsidR="008D6614">
        <w:rPr>
          <w:color w:val="21286C"/>
        </w:rPr>
        <w:t>ισχυρές</w:t>
      </w:r>
      <w:r w:rsidR="00AA4C96">
        <w:rPr>
          <w:color w:val="21286C"/>
        </w:rPr>
        <w:t xml:space="preserve"> επιδόσεις στην Ελλάδα και στις ΗΠΑ.</w:t>
      </w:r>
      <w:r w:rsidR="00F72654">
        <w:rPr>
          <w:color w:val="21286C"/>
        </w:rPr>
        <w:t xml:space="preserve"> </w:t>
      </w:r>
      <w:r w:rsidR="00B17B7E">
        <w:rPr>
          <w:color w:val="21286C"/>
        </w:rPr>
        <w:t>Στην Ελλάδα, η</w:t>
      </w:r>
      <w:r w:rsidR="00F72654" w:rsidRPr="00F72654">
        <w:rPr>
          <w:color w:val="21286C"/>
        </w:rPr>
        <w:t xml:space="preserve"> κερδοφορία</w:t>
      </w:r>
      <w:r w:rsidR="00B17B7E">
        <w:rPr>
          <w:color w:val="21286C"/>
        </w:rPr>
        <w:t xml:space="preserve"> </w:t>
      </w:r>
      <w:r w:rsidR="00BE4946">
        <w:rPr>
          <w:color w:val="21286C"/>
        </w:rPr>
        <w:t>ωφελήθηκε</w:t>
      </w:r>
      <w:r w:rsidR="00F72654" w:rsidRPr="00F72654">
        <w:rPr>
          <w:color w:val="21286C"/>
        </w:rPr>
        <w:t xml:space="preserve"> από την αυξημένη ζήτηση και τις υψηλότερες τιμές, ενώ στις ΗΠΑ, </w:t>
      </w:r>
      <w:r w:rsidR="00120D04">
        <w:rPr>
          <w:color w:val="21286C"/>
        </w:rPr>
        <w:t xml:space="preserve">η </w:t>
      </w:r>
      <w:r w:rsidR="00AD35D5">
        <w:rPr>
          <w:color w:val="21286C"/>
        </w:rPr>
        <w:t xml:space="preserve">προσήλωση στη </w:t>
      </w:r>
      <w:r w:rsidR="00120D04">
        <w:rPr>
          <w:color w:val="21286C"/>
        </w:rPr>
        <w:t>λειτουργική αποδοτικότητα</w:t>
      </w:r>
      <w:r w:rsidR="00F72654" w:rsidRPr="00F72654">
        <w:rPr>
          <w:color w:val="21286C"/>
        </w:rPr>
        <w:t xml:space="preserve">, η ολοκλήρωση </w:t>
      </w:r>
      <w:r w:rsidR="00AD35D5">
        <w:rPr>
          <w:color w:val="21286C"/>
        </w:rPr>
        <w:t>σ</w:t>
      </w:r>
      <w:r w:rsidR="00120D04">
        <w:rPr>
          <w:color w:val="21286C"/>
        </w:rPr>
        <w:t xml:space="preserve">ημαντικών </w:t>
      </w:r>
      <w:r w:rsidR="00F72654" w:rsidRPr="00F72654">
        <w:rPr>
          <w:color w:val="21286C"/>
        </w:rPr>
        <w:t>στρατηγικών επενδύσεων και οι χρονικές διαφορές στις προγραμματισμένες συντηρήσεις συνέβαλαν στη διεύρυνση των περιθωρίων κέρδους και τη βελτίωση της κερδοφορίας.</w:t>
      </w:r>
      <w:r w:rsidR="00AA4C96">
        <w:rPr>
          <w:color w:val="21286C"/>
        </w:rPr>
        <w:t xml:space="preserve"> </w:t>
      </w:r>
      <w:r w:rsidR="00023946">
        <w:rPr>
          <w:color w:val="21286C"/>
        </w:rPr>
        <w:t>Στη</w:t>
      </w:r>
      <w:r w:rsidR="00AA4C96">
        <w:rPr>
          <w:color w:val="21286C"/>
        </w:rPr>
        <w:t xml:space="preserve"> Νοτιοανατολική Ευρώπη</w:t>
      </w:r>
      <w:r w:rsidR="00023946">
        <w:rPr>
          <w:color w:val="21286C"/>
        </w:rPr>
        <w:t xml:space="preserve">, οι </w:t>
      </w:r>
      <w:r w:rsidR="004606C0">
        <w:rPr>
          <w:color w:val="21286C"/>
        </w:rPr>
        <w:t xml:space="preserve">πωλήσεις ήταν χαμηλότερες </w:t>
      </w:r>
      <w:r w:rsidR="007B6E52">
        <w:rPr>
          <w:color w:val="21286C"/>
        </w:rPr>
        <w:t>συγκριτικά με πέρυσι</w:t>
      </w:r>
      <w:r w:rsidR="00BE2D89">
        <w:rPr>
          <w:color w:val="21286C"/>
        </w:rPr>
        <w:t>, λόγω των</w:t>
      </w:r>
      <w:r w:rsidR="00AA4C96">
        <w:rPr>
          <w:color w:val="21286C"/>
        </w:rPr>
        <w:t xml:space="preserve"> δυσμενών καιρικών συνθηκών και </w:t>
      </w:r>
      <w:r w:rsidR="009B1B10">
        <w:rPr>
          <w:color w:val="21286C"/>
        </w:rPr>
        <w:t xml:space="preserve">του </w:t>
      </w:r>
      <w:r w:rsidR="00761E9A">
        <w:rPr>
          <w:color w:val="21286C"/>
        </w:rPr>
        <w:t xml:space="preserve">ιδιαίτερα </w:t>
      </w:r>
      <w:r w:rsidR="009B1B10">
        <w:rPr>
          <w:color w:val="21286C"/>
        </w:rPr>
        <w:t xml:space="preserve">υψηλού πρώτου τριμήνου </w:t>
      </w:r>
      <w:r w:rsidR="002D25AB" w:rsidRPr="002D25AB">
        <w:rPr>
          <w:color w:val="21286C"/>
        </w:rPr>
        <w:t>του 2024</w:t>
      </w:r>
      <w:r w:rsidR="009B1B10">
        <w:rPr>
          <w:color w:val="21286C"/>
        </w:rPr>
        <w:t>, το οποίο</w:t>
      </w:r>
      <w:r w:rsidR="002D25AB" w:rsidRPr="002D25AB">
        <w:rPr>
          <w:color w:val="21286C"/>
        </w:rPr>
        <w:t xml:space="preserve"> είχε ωφεληθεί από έναν ασυνήθιστα ήπιο χειμώνα.</w:t>
      </w:r>
      <w:r w:rsidR="002D25AB">
        <w:rPr>
          <w:color w:val="21286C"/>
        </w:rPr>
        <w:t xml:space="preserve"> </w:t>
      </w:r>
      <w:r w:rsidR="00E8342D" w:rsidRPr="00E8342D">
        <w:rPr>
          <w:color w:val="21286C"/>
        </w:rPr>
        <w:t>Στην Ανατολική Μεσ</w:t>
      </w:r>
      <w:r w:rsidR="008C3153">
        <w:rPr>
          <w:color w:val="21286C"/>
        </w:rPr>
        <w:t>όγειο</w:t>
      </w:r>
      <w:r w:rsidR="00E8342D" w:rsidRPr="00E8342D">
        <w:rPr>
          <w:color w:val="21286C"/>
        </w:rPr>
        <w:t xml:space="preserve">, η Αίγυπτος </w:t>
      </w:r>
      <w:r w:rsidR="008C3153">
        <w:rPr>
          <w:color w:val="21286C"/>
        </w:rPr>
        <w:t>κατέγραψε</w:t>
      </w:r>
      <w:r w:rsidR="00E8342D" w:rsidRPr="00E8342D">
        <w:rPr>
          <w:color w:val="21286C"/>
        </w:rPr>
        <w:t xml:space="preserve"> σημαντική </w:t>
      </w:r>
      <w:r w:rsidR="00761E9A">
        <w:rPr>
          <w:color w:val="21286C"/>
        </w:rPr>
        <w:t>βελτίωση</w:t>
      </w:r>
      <w:r w:rsidR="00E8342D" w:rsidRPr="00E8342D">
        <w:rPr>
          <w:color w:val="21286C"/>
        </w:rPr>
        <w:t xml:space="preserve">, όπως αποτυπώνεται στη </w:t>
      </w:r>
      <w:r w:rsidR="00B92160">
        <w:rPr>
          <w:color w:val="21286C"/>
        </w:rPr>
        <w:t>αύξηση</w:t>
      </w:r>
      <w:r w:rsidR="00E8342D" w:rsidRPr="00E8342D">
        <w:rPr>
          <w:color w:val="21286C"/>
        </w:rPr>
        <w:t xml:space="preserve"> τόσο των εγχώριων πωλήσεων όσο και των εξαγωγών</w:t>
      </w:r>
      <w:r w:rsidR="00D773F7">
        <w:rPr>
          <w:color w:val="21286C"/>
        </w:rPr>
        <w:t>, ενώ α</w:t>
      </w:r>
      <w:r w:rsidR="00B316AA" w:rsidRPr="00B316AA">
        <w:rPr>
          <w:color w:val="21286C"/>
        </w:rPr>
        <w:t>ντιθέτως, η Τουρκία επηρεάστηκε αρνητικά από τον υπερπληθωρισμό και την αυξημένη φορολογ</w:t>
      </w:r>
      <w:r w:rsidR="00D773F7">
        <w:rPr>
          <w:color w:val="21286C"/>
        </w:rPr>
        <w:t>ία</w:t>
      </w:r>
      <w:r w:rsidR="00B316AA" w:rsidRPr="00B316AA">
        <w:rPr>
          <w:color w:val="21286C"/>
        </w:rPr>
        <w:t>.</w:t>
      </w:r>
      <w:r w:rsidR="00606BAB">
        <w:rPr>
          <w:color w:val="21286C"/>
        </w:rPr>
        <w:t xml:space="preserve"> </w:t>
      </w:r>
      <w:r w:rsidR="00E8342D">
        <w:rPr>
          <w:color w:val="21286C"/>
        </w:rPr>
        <w:t>Τα κέρ</w:t>
      </w:r>
      <w:r w:rsidR="00903496">
        <w:rPr>
          <w:color w:val="21286C"/>
        </w:rPr>
        <w:t>δη προ φόρων αυξήθηκαν κατά 2,9</w:t>
      </w:r>
      <w:r w:rsidR="00913E5E">
        <w:rPr>
          <w:color w:val="21286C"/>
        </w:rPr>
        <w:t>%</w:t>
      </w:r>
      <w:r w:rsidR="00913E5E" w:rsidRPr="00913E5E">
        <w:rPr>
          <w:color w:val="21286C"/>
        </w:rPr>
        <w:t xml:space="preserve">, παρά </w:t>
      </w:r>
      <w:r w:rsidR="00D5259C">
        <w:rPr>
          <w:color w:val="21286C"/>
        </w:rPr>
        <w:t xml:space="preserve">τις </w:t>
      </w:r>
      <w:r w:rsidR="00913E5E" w:rsidRPr="00913E5E">
        <w:rPr>
          <w:color w:val="21286C"/>
        </w:rPr>
        <w:t>υψηλότερες αποσβέσεις και το κόστος υπερπληθωρισμού</w:t>
      </w:r>
      <w:r w:rsidR="0020334D">
        <w:rPr>
          <w:color w:val="21286C"/>
        </w:rPr>
        <w:t xml:space="preserve">. </w:t>
      </w:r>
      <w:r w:rsidR="00AA4C96">
        <w:rPr>
          <w:color w:val="21286C"/>
        </w:rPr>
        <w:t>Τα καθαρά κέρδη μετά από φόρους και δικαιώματα μειοψηφίας μειώθηκαν κατά €</w:t>
      </w:r>
      <w:r w:rsidR="0020334D">
        <w:rPr>
          <w:color w:val="21286C"/>
        </w:rPr>
        <w:t>8,7</w:t>
      </w:r>
      <w:r w:rsidR="00AA4C96">
        <w:rPr>
          <w:color w:val="21286C"/>
        </w:rPr>
        <w:t xml:space="preserve"> εκ. </w:t>
      </w:r>
      <w:r w:rsidR="00D7431E">
        <w:rPr>
          <w:color w:val="21286C"/>
        </w:rPr>
        <w:t>ω</w:t>
      </w:r>
      <w:r w:rsidR="00D7431E" w:rsidRPr="00D7431E">
        <w:rPr>
          <w:color w:val="21286C"/>
        </w:rPr>
        <w:t xml:space="preserve">ς αποτέλεσμα </w:t>
      </w:r>
      <w:r w:rsidR="00EB4DA5">
        <w:rPr>
          <w:color w:val="21286C"/>
        </w:rPr>
        <w:t xml:space="preserve">των αυξημένων </w:t>
      </w:r>
      <w:r w:rsidR="00D409B1">
        <w:rPr>
          <w:color w:val="21286C"/>
        </w:rPr>
        <w:t>κερδών</w:t>
      </w:r>
      <w:r w:rsidR="00D7431E" w:rsidRPr="00D7431E">
        <w:rPr>
          <w:color w:val="21286C"/>
        </w:rPr>
        <w:t xml:space="preserve"> μειοψηφίας στην Titan America και της σημαντικά υψηλότερης φορολογίας στην Ανατολική Μεσ</w:t>
      </w:r>
      <w:r w:rsidR="00D5259C">
        <w:rPr>
          <w:color w:val="21286C"/>
        </w:rPr>
        <w:t>ό</w:t>
      </w:r>
      <w:r w:rsidR="00D7431E" w:rsidRPr="00D7431E">
        <w:rPr>
          <w:color w:val="21286C"/>
        </w:rPr>
        <w:t>γε</w:t>
      </w:r>
      <w:r w:rsidR="00D5259C">
        <w:rPr>
          <w:color w:val="21286C"/>
        </w:rPr>
        <w:t>ιο</w:t>
      </w:r>
      <w:r w:rsidR="00D7431E" w:rsidRPr="00D7431E">
        <w:rPr>
          <w:color w:val="21286C"/>
        </w:rPr>
        <w:t>.</w:t>
      </w:r>
    </w:p>
    <w:p w14:paraId="3E4FC6CA" w14:textId="77777777" w:rsidR="006B2D01" w:rsidRPr="00E8342D" w:rsidRDefault="006B2D01" w:rsidP="00AA4C96">
      <w:pPr>
        <w:pStyle w:val="Copy"/>
        <w:jc w:val="both"/>
        <w:rPr>
          <w:color w:val="21286C"/>
        </w:rPr>
      </w:pPr>
    </w:p>
    <w:tbl>
      <w:tblPr>
        <w:tblpPr w:leftFromText="180" w:rightFromText="180" w:vertAnchor="text" w:horzAnchor="margin" w:tblpY="-100"/>
        <w:tblW w:w="9514" w:type="dxa"/>
        <w:tblLayout w:type="fixed"/>
        <w:tblCellMar>
          <w:left w:w="0" w:type="dxa"/>
          <w:right w:w="0" w:type="dxa"/>
        </w:tblCellMar>
        <w:tblLook w:val="01E0" w:firstRow="1" w:lastRow="1" w:firstColumn="1" w:lastColumn="1" w:noHBand="0" w:noVBand="0"/>
      </w:tblPr>
      <w:tblGrid>
        <w:gridCol w:w="5515"/>
        <w:gridCol w:w="20"/>
        <w:gridCol w:w="1134"/>
        <w:gridCol w:w="1411"/>
        <w:gridCol w:w="1391"/>
        <w:gridCol w:w="20"/>
        <w:gridCol w:w="23"/>
      </w:tblGrid>
      <w:tr w:rsidR="00CC2C6F" w:rsidRPr="0087712A" w14:paraId="7D6624C0" w14:textId="77777777" w:rsidTr="00C6227F">
        <w:trPr>
          <w:trHeight w:val="330"/>
        </w:trPr>
        <w:tc>
          <w:tcPr>
            <w:tcW w:w="5515" w:type="dxa"/>
            <w:tcBorders>
              <w:bottom w:val="single" w:sz="4" w:space="0" w:color="000000"/>
            </w:tcBorders>
            <w:vAlign w:val="center"/>
          </w:tcPr>
          <w:p w14:paraId="5FC7B31E" w14:textId="77777777" w:rsidR="00CC2C6F" w:rsidRPr="00B3201E" w:rsidRDefault="00CC2C6F" w:rsidP="00C6227F">
            <w:pPr>
              <w:pStyle w:val="TableParagraph"/>
              <w:spacing w:line="240" w:lineRule="auto"/>
              <w:ind w:left="122"/>
              <w:jc w:val="left"/>
              <w:rPr>
                <w:i/>
                <w:iCs/>
                <w:color w:val="21286C"/>
                <w:sz w:val="14"/>
                <w:szCs w:val="14"/>
                <w:lang w:eastAsia="en-GB" w:bidi="ar-SA"/>
              </w:rPr>
            </w:pPr>
          </w:p>
          <w:p w14:paraId="0B2F5DF1" w14:textId="77777777" w:rsidR="00CC2C6F" w:rsidRPr="0023367C" w:rsidRDefault="00CC2C6F" w:rsidP="00C6227F">
            <w:pPr>
              <w:pStyle w:val="TableParagraph"/>
              <w:spacing w:line="240" w:lineRule="auto"/>
              <w:ind w:left="122"/>
              <w:jc w:val="left"/>
              <w:rPr>
                <w:i/>
                <w:color w:val="21286C"/>
                <w:sz w:val="14"/>
              </w:rPr>
            </w:pPr>
            <w:r w:rsidRPr="0023367C">
              <w:rPr>
                <w:i/>
                <w:iCs/>
                <w:color w:val="21286C"/>
                <w:sz w:val="14"/>
                <w:szCs w:val="14"/>
                <w:lang w:eastAsia="en-GB" w:bidi="ar-SA"/>
              </w:rPr>
              <w:t>Σε εκατομμύρια Ευρώ, εκτός εάν ορίζεται διαφορετικά</w:t>
            </w:r>
          </w:p>
        </w:tc>
        <w:tc>
          <w:tcPr>
            <w:tcW w:w="20" w:type="dxa"/>
            <w:tcBorders>
              <w:bottom w:val="single" w:sz="4" w:space="0" w:color="000000"/>
            </w:tcBorders>
            <w:shd w:val="clear" w:color="auto" w:fill="D9D9D9" w:themeFill="background1" w:themeFillShade="D9"/>
          </w:tcPr>
          <w:p w14:paraId="3333AA70" w14:textId="77777777" w:rsidR="00CC2C6F" w:rsidRPr="0023367C" w:rsidRDefault="00CC2C6F" w:rsidP="00C6227F">
            <w:pPr>
              <w:pStyle w:val="TableParagraph"/>
              <w:spacing w:before="83" w:line="240" w:lineRule="auto"/>
              <w:ind w:right="105"/>
              <w:rPr>
                <w:b/>
                <w:color w:val="21286C"/>
                <w:sz w:val="21"/>
              </w:rPr>
            </w:pPr>
          </w:p>
        </w:tc>
        <w:tc>
          <w:tcPr>
            <w:tcW w:w="1134" w:type="dxa"/>
            <w:tcBorders>
              <w:bottom w:val="single" w:sz="4" w:space="0" w:color="000000"/>
            </w:tcBorders>
            <w:shd w:val="clear" w:color="auto" w:fill="F2F2F2" w:themeFill="background1" w:themeFillShade="F2"/>
          </w:tcPr>
          <w:p w14:paraId="601E53E4" w14:textId="58719731" w:rsidR="00CC2C6F" w:rsidRPr="0023367C" w:rsidRDefault="00CC2C6F" w:rsidP="00C6227F">
            <w:pPr>
              <w:pStyle w:val="TableParagraph"/>
              <w:spacing w:before="83" w:line="240" w:lineRule="auto"/>
              <w:ind w:right="105"/>
              <w:rPr>
                <w:b/>
                <w:color w:val="21286C"/>
                <w:sz w:val="21"/>
                <w:lang w:val="en-US"/>
              </w:rPr>
            </w:pPr>
            <w:r w:rsidRPr="00CC2B3E">
              <w:rPr>
                <w:rFonts w:asciiTheme="minorHAnsi" w:hAnsiTheme="minorHAnsi" w:cstheme="minorHAnsi"/>
                <w:b/>
                <w:bCs/>
                <w:color w:val="01B1D7"/>
                <w:sz w:val="21"/>
                <w:szCs w:val="21"/>
                <w:lang w:eastAsia="en-GB"/>
              </w:rPr>
              <w:t>1</w:t>
            </w:r>
            <w:r w:rsidRPr="00CC2B3E">
              <w:rPr>
                <w:rFonts w:asciiTheme="minorHAnsi" w:hAnsiTheme="minorHAnsi" w:cstheme="minorHAnsi"/>
                <w:b/>
                <w:bCs/>
                <w:color w:val="01B1D7"/>
                <w:sz w:val="21"/>
                <w:szCs w:val="21"/>
                <w:vertAlign w:val="superscript"/>
                <w:lang w:eastAsia="en-GB"/>
              </w:rPr>
              <w:t>ο</w:t>
            </w:r>
            <w:r w:rsidRPr="00CC2B3E">
              <w:rPr>
                <w:rFonts w:asciiTheme="minorHAnsi" w:hAnsiTheme="minorHAnsi" w:cstheme="minorHAnsi"/>
                <w:b/>
                <w:bCs/>
                <w:color w:val="01B1D7"/>
                <w:sz w:val="21"/>
                <w:szCs w:val="21"/>
                <w:lang w:eastAsia="en-GB"/>
              </w:rPr>
              <w:t xml:space="preserve"> Τρίμηνο</w:t>
            </w:r>
            <w:r w:rsidRPr="00CC2B3E">
              <w:rPr>
                <w:rFonts w:asciiTheme="minorHAnsi" w:hAnsiTheme="minorHAnsi" w:cstheme="minorHAnsi"/>
                <w:b/>
                <w:bCs/>
                <w:color w:val="01B1D7"/>
                <w:sz w:val="21"/>
                <w:szCs w:val="21"/>
                <w:lang w:val="en-GB" w:eastAsia="en-GB"/>
              </w:rPr>
              <w:t xml:space="preserve"> </w:t>
            </w:r>
            <w:r w:rsidRPr="00034702">
              <w:rPr>
                <w:b/>
                <w:color w:val="01B1D7"/>
                <w:sz w:val="21"/>
                <w:szCs w:val="21"/>
                <w:lang w:val="en-GB" w:eastAsia="en-GB"/>
              </w:rPr>
              <w:t>202</w:t>
            </w:r>
            <w:r w:rsidR="00EF6840">
              <w:rPr>
                <w:b/>
                <w:color w:val="01B1D7"/>
                <w:sz w:val="21"/>
                <w:szCs w:val="21"/>
                <w:lang w:eastAsia="en-GB"/>
              </w:rPr>
              <w:t>5</w:t>
            </w:r>
          </w:p>
        </w:tc>
        <w:tc>
          <w:tcPr>
            <w:tcW w:w="1411" w:type="dxa"/>
            <w:tcBorders>
              <w:bottom w:val="single" w:sz="4" w:space="0" w:color="000000"/>
            </w:tcBorders>
            <w:shd w:val="clear" w:color="auto" w:fill="FFFFFF" w:themeFill="background1"/>
          </w:tcPr>
          <w:p w14:paraId="06853D6E" w14:textId="685A5684" w:rsidR="00CC2C6F" w:rsidRPr="0023367C" w:rsidRDefault="00CC2C6F" w:rsidP="00C6227F">
            <w:pPr>
              <w:pStyle w:val="TableParagraph"/>
              <w:spacing w:before="83" w:line="240" w:lineRule="auto"/>
              <w:ind w:right="105"/>
              <w:rPr>
                <w:b/>
                <w:color w:val="21286C"/>
                <w:sz w:val="21"/>
                <w:lang w:val="en-US"/>
              </w:rPr>
            </w:pPr>
            <w:r w:rsidRPr="006122F8">
              <w:rPr>
                <w:rFonts w:asciiTheme="minorHAnsi" w:hAnsiTheme="minorHAnsi" w:cstheme="minorHAnsi"/>
                <w:b/>
                <w:bCs/>
                <w:color w:val="21286C"/>
                <w:sz w:val="21"/>
                <w:szCs w:val="21"/>
                <w:lang w:eastAsia="en-GB"/>
              </w:rPr>
              <w:t>1</w:t>
            </w:r>
            <w:r w:rsidRPr="006122F8">
              <w:rPr>
                <w:b/>
                <w:bCs/>
                <w:color w:val="21286C"/>
                <w:sz w:val="21"/>
                <w:szCs w:val="21"/>
                <w:vertAlign w:val="superscript"/>
                <w:lang w:eastAsia="en-GB"/>
              </w:rPr>
              <w:t>ο</w:t>
            </w:r>
            <w:r w:rsidRPr="006122F8">
              <w:rPr>
                <w:rFonts w:asciiTheme="minorHAnsi" w:hAnsiTheme="minorHAnsi" w:cstheme="minorHAnsi"/>
                <w:b/>
                <w:bCs/>
                <w:color w:val="21286C"/>
                <w:sz w:val="21"/>
                <w:szCs w:val="21"/>
                <w:lang w:eastAsia="en-GB"/>
              </w:rPr>
              <w:t xml:space="preserve"> </w:t>
            </w:r>
            <w:r w:rsidRPr="006122F8">
              <w:rPr>
                <w:b/>
                <w:bCs/>
                <w:color w:val="21286C"/>
                <w:sz w:val="21"/>
                <w:szCs w:val="21"/>
                <w:lang w:eastAsia="en-GB"/>
              </w:rPr>
              <w:t>Τρίμηνο</w:t>
            </w:r>
            <w:r>
              <w:rPr>
                <w:b/>
                <w:bCs/>
                <w:color w:val="21286C"/>
                <w:sz w:val="21"/>
                <w:szCs w:val="21"/>
                <w:lang w:val="en-US" w:eastAsia="en-GB"/>
              </w:rPr>
              <w:br/>
            </w:r>
            <w:r w:rsidRPr="00034702">
              <w:rPr>
                <w:b/>
                <w:color w:val="21286C"/>
                <w:sz w:val="21"/>
                <w:szCs w:val="21"/>
                <w:lang w:val="en-GB" w:eastAsia="en-GB"/>
              </w:rPr>
              <w:t>202</w:t>
            </w:r>
            <w:r w:rsidR="00EF6840">
              <w:rPr>
                <w:b/>
                <w:color w:val="21286C"/>
                <w:sz w:val="21"/>
                <w:szCs w:val="21"/>
                <w:lang w:eastAsia="en-GB"/>
              </w:rPr>
              <w:t>4</w:t>
            </w:r>
          </w:p>
        </w:tc>
        <w:tc>
          <w:tcPr>
            <w:tcW w:w="1391" w:type="dxa"/>
            <w:tcBorders>
              <w:bottom w:val="single" w:sz="4" w:space="0" w:color="000000"/>
            </w:tcBorders>
            <w:shd w:val="clear" w:color="auto" w:fill="FFFFFF" w:themeFill="background1"/>
          </w:tcPr>
          <w:p w14:paraId="40925225" w14:textId="77777777" w:rsidR="00CC2C6F" w:rsidRPr="0023367C" w:rsidRDefault="00CC2C6F" w:rsidP="00C6227F">
            <w:pPr>
              <w:pStyle w:val="TableParagraph"/>
              <w:spacing w:before="83" w:line="240" w:lineRule="auto"/>
              <w:ind w:right="105"/>
              <w:rPr>
                <w:b/>
                <w:color w:val="21286C"/>
                <w:sz w:val="21"/>
                <w:lang w:val="en-US"/>
              </w:rPr>
            </w:pPr>
            <w:r w:rsidRPr="0023367C">
              <w:rPr>
                <w:b/>
                <w:bCs/>
                <w:color w:val="21286C"/>
                <w:sz w:val="21"/>
                <w:szCs w:val="21"/>
                <w:lang w:eastAsia="en-GB" w:bidi="ar-SA"/>
              </w:rPr>
              <w:t>Μεταβολή</w:t>
            </w:r>
            <w:r>
              <w:rPr>
                <w:b/>
                <w:bCs/>
                <w:color w:val="21286C"/>
                <w:sz w:val="21"/>
                <w:szCs w:val="21"/>
                <w:lang w:val="en-US" w:eastAsia="en-GB" w:bidi="ar-SA"/>
              </w:rPr>
              <w:br/>
            </w:r>
            <w:r w:rsidRPr="0023367C">
              <w:rPr>
                <w:b/>
                <w:bCs/>
                <w:color w:val="21286C"/>
                <w:sz w:val="21"/>
                <w:szCs w:val="21"/>
                <w:lang w:val="en-GB" w:eastAsia="en-GB" w:bidi="ar-SA"/>
              </w:rPr>
              <w:t>%</w:t>
            </w:r>
          </w:p>
        </w:tc>
        <w:tc>
          <w:tcPr>
            <w:tcW w:w="20" w:type="dxa"/>
            <w:tcBorders>
              <w:bottom w:val="single" w:sz="4" w:space="0" w:color="000000"/>
            </w:tcBorders>
            <w:shd w:val="clear" w:color="auto" w:fill="D9D9D9" w:themeFill="background1" w:themeFillShade="D9"/>
          </w:tcPr>
          <w:p w14:paraId="48661D39" w14:textId="77777777" w:rsidR="00CC2C6F" w:rsidRPr="0023367C" w:rsidRDefault="00CC2C6F" w:rsidP="00C6227F">
            <w:pPr>
              <w:pStyle w:val="TableParagraph"/>
              <w:spacing w:before="83" w:line="240" w:lineRule="auto"/>
              <w:ind w:right="105"/>
              <w:rPr>
                <w:b/>
                <w:color w:val="21286C"/>
                <w:sz w:val="21"/>
                <w:lang w:val="en-US"/>
              </w:rPr>
            </w:pPr>
          </w:p>
        </w:tc>
        <w:tc>
          <w:tcPr>
            <w:tcW w:w="23" w:type="dxa"/>
            <w:tcBorders>
              <w:bottom w:val="single" w:sz="4" w:space="0" w:color="000000"/>
            </w:tcBorders>
            <w:shd w:val="clear" w:color="auto" w:fill="D9D9D9" w:themeFill="background1" w:themeFillShade="D9"/>
          </w:tcPr>
          <w:p w14:paraId="107BEE00" w14:textId="77777777" w:rsidR="00CC2C6F" w:rsidRPr="0087712A" w:rsidRDefault="00CC2C6F" w:rsidP="00C6227F">
            <w:pPr>
              <w:pStyle w:val="TableParagraph"/>
              <w:spacing w:before="83" w:line="240" w:lineRule="auto"/>
              <w:ind w:right="101"/>
              <w:rPr>
                <w:b/>
                <w:color w:val="00173C"/>
                <w:sz w:val="21"/>
              </w:rPr>
            </w:pPr>
          </w:p>
        </w:tc>
      </w:tr>
      <w:tr w:rsidR="00A87339" w:rsidRPr="0087712A" w14:paraId="2BEBFD32" w14:textId="77777777" w:rsidTr="00C6227F">
        <w:trPr>
          <w:trHeight w:val="299"/>
        </w:trPr>
        <w:tc>
          <w:tcPr>
            <w:tcW w:w="5515" w:type="dxa"/>
            <w:tcBorders>
              <w:top w:val="single" w:sz="4" w:space="0" w:color="000000"/>
              <w:bottom w:val="single" w:sz="4" w:space="0" w:color="000000"/>
            </w:tcBorders>
          </w:tcPr>
          <w:p w14:paraId="529CE724" w14:textId="77777777" w:rsidR="00A87339" w:rsidRPr="00C0301E" w:rsidRDefault="00A87339" w:rsidP="00A87339">
            <w:pPr>
              <w:pStyle w:val="TableParagraph"/>
              <w:spacing w:before="61" w:line="240" w:lineRule="auto"/>
              <w:ind w:left="122"/>
              <w:jc w:val="left"/>
              <w:rPr>
                <w:b/>
                <w:bCs/>
                <w:color w:val="21286C"/>
                <w:sz w:val="21"/>
              </w:rPr>
            </w:pPr>
            <w:r w:rsidRPr="00C0301E">
              <w:rPr>
                <w:b/>
                <w:bCs/>
                <w:color w:val="21286C"/>
                <w:sz w:val="21"/>
                <w:szCs w:val="21"/>
                <w:lang w:eastAsia="en-GB" w:bidi="ar-SA"/>
              </w:rPr>
              <w:t>Πωλήσεις</w:t>
            </w:r>
          </w:p>
        </w:tc>
        <w:tc>
          <w:tcPr>
            <w:tcW w:w="20" w:type="dxa"/>
            <w:tcBorders>
              <w:top w:val="single" w:sz="4" w:space="0" w:color="000000"/>
              <w:bottom w:val="single" w:sz="4" w:space="0" w:color="000000"/>
            </w:tcBorders>
            <w:shd w:val="clear" w:color="auto" w:fill="D9D9D9" w:themeFill="background1" w:themeFillShade="D9"/>
          </w:tcPr>
          <w:p w14:paraId="685C20A0" w14:textId="77777777" w:rsidR="00A87339" w:rsidRPr="0023367C" w:rsidRDefault="00A87339" w:rsidP="00A87339">
            <w:pPr>
              <w:pStyle w:val="TableParagraph"/>
              <w:spacing w:before="61" w:line="240" w:lineRule="auto"/>
              <w:ind w:right="105"/>
              <w:rPr>
                <w:color w:val="21286C"/>
                <w:sz w:val="21"/>
                <w:lang w:val="en-US"/>
              </w:rPr>
            </w:pPr>
          </w:p>
        </w:tc>
        <w:tc>
          <w:tcPr>
            <w:tcW w:w="1134" w:type="dxa"/>
            <w:tcBorders>
              <w:top w:val="single" w:sz="4" w:space="0" w:color="000000"/>
              <w:bottom w:val="single" w:sz="4" w:space="0" w:color="000000"/>
            </w:tcBorders>
            <w:shd w:val="clear" w:color="auto" w:fill="F2F2F2" w:themeFill="background1" w:themeFillShade="F2"/>
          </w:tcPr>
          <w:p w14:paraId="315C7E15" w14:textId="32413705" w:rsidR="00A87339" w:rsidRPr="001A1FB2" w:rsidRDefault="00A87339" w:rsidP="00A87339">
            <w:pPr>
              <w:pStyle w:val="TableParagraph"/>
              <w:spacing w:before="83" w:line="240" w:lineRule="auto"/>
              <w:ind w:right="105"/>
              <w:rPr>
                <w:b/>
                <w:color w:val="21286C"/>
                <w:sz w:val="21"/>
                <w:lang w:val="en-US"/>
              </w:rPr>
            </w:pPr>
            <w:r>
              <w:rPr>
                <w:b/>
                <w:bCs/>
                <w:color w:val="21286C"/>
                <w:sz w:val="21"/>
                <w:lang w:val="en-US"/>
              </w:rPr>
              <w:t>6</w:t>
            </w:r>
            <w:r w:rsidR="001A1FB2">
              <w:rPr>
                <w:b/>
                <w:bCs/>
                <w:color w:val="21286C"/>
                <w:sz w:val="21"/>
                <w:lang w:val="en-US"/>
              </w:rPr>
              <w:t>38,4</w:t>
            </w:r>
          </w:p>
        </w:tc>
        <w:tc>
          <w:tcPr>
            <w:tcW w:w="1411" w:type="dxa"/>
            <w:tcBorders>
              <w:top w:val="single" w:sz="4" w:space="0" w:color="000000"/>
              <w:bottom w:val="single" w:sz="4" w:space="0" w:color="000000"/>
            </w:tcBorders>
            <w:shd w:val="clear" w:color="auto" w:fill="FFFFFF" w:themeFill="background1"/>
          </w:tcPr>
          <w:p w14:paraId="445DAAF2" w14:textId="5F3B25CA" w:rsidR="00A87339" w:rsidRPr="0023367C" w:rsidRDefault="00A87339" w:rsidP="00A87339">
            <w:pPr>
              <w:pStyle w:val="TableParagraph"/>
              <w:spacing w:before="61" w:line="240" w:lineRule="auto"/>
              <w:ind w:right="105"/>
              <w:rPr>
                <w:color w:val="21286C"/>
                <w:sz w:val="21"/>
                <w:lang w:val="en-US"/>
              </w:rPr>
            </w:pPr>
            <w:r>
              <w:rPr>
                <w:b/>
                <w:bCs/>
                <w:color w:val="21286C"/>
                <w:sz w:val="21"/>
                <w:lang w:val="en-US"/>
              </w:rPr>
              <w:t>623</w:t>
            </w:r>
            <w:r>
              <w:rPr>
                <w:b/>
                <w:bCs/>
                <w:color w:val="21286C"/>
                <w:sz w:val="21"/>
              </w:rPr>
              <w:t>,</w:t>
            </w:r>
            <w:r>
              <w:rPr>
                <w:b/>
                <w:bCs/>
                <w:color w:val="21286C"/>
                <w:sz w:val="21"/>
                <w:lang w:val="en-US"/>
              </w:rPr>
              <w:t>7</w:t>
            </w:r>
          </w:p>
        </w:tc>
        <w:tc>
          <w:tcPr>
            <w:tcW w:w="1391" w:type="dxa"/>
            <w:tcBorders>
              <w:top w:val="single" w:sz="4" w:space="0" w:color="000000"/>
              <w:bottom w:val="single" w:sz="4" w:space="0" w:color="000000"/>
            </w:tcBorders>
            <w:shd w:val="clear" w:color="auto" w:fill="FFFFFF" w:themeFill="background1"/>
          </w:tcPr>
          <w:p w14:paraId="5873CC0C" w14:textId="022743FF" w:rsidR="00A87339" w:rsidRPr="0023367C" w:rsidRDefault="001A1FB2" w:rsidP="00A87339">
            <w:pPr>
              <w:pStyle w:val="TableParagraph"/>
              <w:spacing w:before="61" w:line="240" w:lineRule="auto"/>
              <w:ind w:right="105"/>
              <w:rPr>
                <w:color w:val="21286C"/>
                <w:sz w:val="21"/>
                <w:lang w:val="en-US"/>
              </w:rPr>
            </w:pPr>
            <w:r>
              <w:rPr>
                <w:color w:val="21286C"/>
                <w:sz w:val="21"/>
                <w:lang w:val="en-US"/>
              </w:rPr>
              <w:t>2,4</w:t>
            </w:r>
            <w:r w:rsidR="00A87339">
              <w:rPr>
                <w:color w:val="21286C"/>
                <w:sz w:val="21"/>
                <w:lang w:val="en-US"/>
              </w:rPr>
              <w:t>%</w:t>
            </w:r>
          </w:p>
        </w:tc>
        <w:tc>
          <w:tcPr>
            <w:tcW w:w="20" w:type="dxa"/>
            <w:tcBorders>
              <w:top w:val="single" w:sz="4" w:space="0" w:color="000000"/>
              <w:bottom w:val="single" w:sz="4" w:space="0" w:color="000000"/>
            </w:tcBorders>
            <w:shd w:val="clear" w:color="auto" w:fill="D9D9D9" w:themeFill="background1" w:themeFillShade="D9"/>
            <w:vAlign w:val="center"/>
          </w:tcPr>
          <w:p w14:paraId="6D67C2CC" w14:textId="77777777" w:rsidR="00A87339" w:rsidRPr="0023367C" w:rsidRDefault="00A87339" w:rsidP="00A87339">
            <w:pPr>
              <w:pStyle w:val="TableParagraph"/>
              <w:spacing w:before="61" w:line="240" w:lineRule="auto"/>
              <w:ind w:right="105"/>
              <w:rPr>
                <w:color w:val="21286C"/>
                <w:sz w:val="21"/>
                <w:lang w:val="en-US"/>
              </w:rPr>
            </w:pPr>
          </w:p>
        </w:tc>
        <w:tc>
          <w:tcPr>
            <w:tcW w:w="23" w:type="dxa"/>
            <w:tcBorders>
              <w:top w:val="single" w:sz="4" w:space="0" w:color="000000"/>
              <w:bottom w:val="single" w:sz="4" w:space="0" w:color="000000"/>
            </w:tcBorders>
            <w:shd w:val="clear" w:color="auto" w:fill="D9D9D9" w:themeFill="background1" w:themeFillShade="D9"/>
          </w:tcPr>
          <w:p w14:paraId="40A8EF2A" w14:textId="77777777" w:rsidR="00A87339" w:rsidRPr="0087712A" w:rsidRDefault="00A87339" w:rsidP="00A87339">
            <w:pPr>
              <w:pStyle w:val="TableParagraph"/>
              <w:spacing w:before="61" w:line="240" w:lineRule="auto"/>
              <w:ind w:right="101"/>
              <w:rPr>
                <w:color w:val="00173C"/>
                <w:sz w:val="21"/>
                <w:lang w:val="en-US"/>
              </w:rPr>
            </w:pPr>
          </w:p>
        </w:tc>
      </w:tr>
      <w:tr w:rsidR="00A87339" w:rsidRPr="0087712A" w14:paraId="6724EE66" w14:textId="77777777" w:rsidTr="00C6227F">
        <w:trPr>
          <w:trHeight w:val="299"/>
        </w:trPr>
        <w:tc>
          <w:tcPr>
            <w:tcW w:w="5515" w:type="dxa"/>
            <w:tcBorders>
              <w:top w:val="single" w:sz="4" w:space="0" w:color="000000"/>
              <w:bottom w:val="single" w:sz="4" w:space="0" w:color="000000"/>
            </w:tcBorders>
          </w:tcPr>
          <w:p w14:paraId="175D1FF6" w14:textId="77777777" w:rsidR="00A87339" w:rsidRPr="00C0301E" w:rsidRDefault="00A87339" w:rsidP="00A87339">
            <w:pPr>
              <w:pStyle w:val="TableParagraph"/>
              <w:spacing w:before="61" w:line="240" w:lineRule="auto"/>
              <w:ind w:left="122"/>
              <w:jc w:val="left"/>
              <w:rPr>
                <w:b/>
                <w:bCs/>
                <w:color w:val="21286C"/>
                <w:sz w:val="21"/>
              </w:rPr>
            </w:pPr>
            <w:r w:rsidRPr="00C0301E">
              <w:rPr>
                <w:b/>
                <w:bCs/>
                <w:color w:val="21286C"/>
                <w:sz w:val="21"/>
                <w:szCs w:val="21"/>
                <w:lang w:eastAsia="en-GB" w:bidi="ar-SA"/>
              </w:rPr>
              <w:t>Κέρδη προ τόκων, φόρων, και αποσβέσεων (</w:t>
            </w:r>
            <w:r w:rsidRPr="00C0301E">
              <w:rPr>
                <w:b/>
                <w:bCs/>
                <w:color w:val="21286C"/>
                <w:sz w:val="21"/>
                <w:szCs w:val="21"/>
                <w:lang w:val="en-GB" w:eastAsia="en-GB" w:bidi="ar-SA"/>
              </w:rPr>
              <w:t>EBITDA</w:t>
            </w:r>
            <w:r w:rsidRPr="00C0301E">
              <w:rPr>
                <w:b/>
                <w:bCs/>
                <w:color w:val="21286C"/>
                <w:sz w:val="21"/>
                <w:szCs w:val="21"/>
                <w:lang w:eastAsia="en-GB" w:bidi="ar-SA"/>
              </w:rPr>
              <w:t>)</w:t>
            </w:r>
          </w:p>
        </w:tc>
        <w:tc>
          <w:tcPr>
            <w:tcW w:w="20" w:type="dxa"/>
            <w:tcBorders>
              <w:top w:val="single" w:sz="4" w:space="0" w:color="000000"/>
              <w:bottom w:val="single" w:sz="4" w:space="0" w:color="000000"/>
            </w:tcBorders>
            <w:shd w:val="clear" w:color="auto" w:fill="D9D9D9" w:themeFill="background1" w:themeFillShade="D9"/>
          </w:tcPr>
          <w:p w14:paraId="6A9FEE11" w14:textId="77777777" w:rsidR="00A87339" w:rsidRPr="0023367C" w:rsidRDefault="00A87339" w:rsidP="00A87339">
            <w:pPr>
              <w:pStyle w:val="TableParagraph"/>
              <w:spacing w:before="61" w:line="240" w:lineRule="auto"/>
              <w:ind w:right="105"/>
              <w:rPr>
                <w:color w:val="21286C"/>
                <w:sz w:val="21"/>
              </w:rPr>
            </w:pPr>
          </w:p>
        </w:tc>
        <w:tc>
          <w:tcPr>
            <w:tcW w:w="1134" w:type="dxa"/>
            <w:tcBorders>
              <w:top w:val="single" w:sz="4" w:space="0" w:color="000000"/>
              <w:bottom w:val="single" w:sz="4" w:space="0" w:color="000000"/>
            </w:tcBorders>
            <w:shd w:val="clear" w:color="auto" w:fill="F2F2F2" w:themeFill="background1" w:themeFillShade="F2"/>
          </w:tcPr>
          <w:p w14:paraId="147CE9E1" w14:textId="12842F10" w:rsidR="00A87339" w:rsidRPr="001A1FB2" w:rsidRDefault="00A87339" w:rsidP="00A87339">
            <w:pPr>
              <w:pStyle w:val="TableParagraph"/>
              <w:spacing w:before="83" w:line="240" w:lineRule="auto"/>
              <w:ind w:right="105"/>
              <w:rPr>
                <w:b/>
                <w:color w:val="21286C"/>
                <w:sz w:val="21"/>
                <w:lang w:val="en-US"/>
              </w:rPr>
            </w:pPr>
            <w:r w:rsidRPr="000816F5">
              <w:rPr>
                <w:b/>
                <w:bCs/>
                <w:color w:val="21286C"/>
                <w:sz w:val="21"/>
                <w:lang w:val="en-US"/>
              </w:rPr>
              <w:t>1</w:t>
            </w:r>
            <w:r w:rsidR="001A1FB2">
              <w:rPr>
                <w:b/>
                <w:bCs/>
                <w:color w:val="21286C"/>
                <w:sz w:val="21"/>
                <w:lang w:val="en-US"/>
              </w:rPr>
              <w:t>22,6</w:t>
            </w:r>
          </w:p>
        </w:tc>
        <w:tc>
          <w:tcPr>
            <w:tcW w:w="1411" w:type="dxa"/>
            <w:tcBorders>
              <w:top w:val="single" w:sz="4" w:space="0" w:color="000000"/>
              <w:bottom w:val="single" w:sz="4" w:space="0" w:color="000000"/>
            </w:tcBorders>
            <w:shd w:val="clear" w:color="auto" w:fill="FFFFFF" w:themeFill="background1"/>
          </w:tcPr>
          <w:p w14:paraId="17251F34" w14:textId="6FEEB4C4" w:rsidR="00A87339" w:rsidRPr="0023367C" w:rsidRDefault="00A87339" w:rsidP="00A87339">
            <w:pPr>
              <w:pStyle w:val="TableParagraph"/>
              <w:spacing w:before="61" w:line="240" w:lineRule="auto"/>
              <w:ind w:right="105"/>
              <w:rPr>
                <w:color w:val="21286C"/>
                <w:sz w:val="21"/>
                <w:lang w:val="en-US"/>
              </w:rPr>
            </w:pPr>
            <w:r w:rsidRPr="000816F5">
              <w:rPr>
                <w:b/>
                <w:bCs/>
                <w:color w:val="21286C"/>
                <w:sz w:val="21"/>
                <w:lang w:val="en-US"/>
              </w:rPr>
              <w:t>109</w:t>
            </w:r>
            <w:r>
              <w:rPr>
                <w:b/>
                <w:bCs/>
                <w:color w:val="21286C"/>
                <w:sz w:val="21"/>
              </w:rPr>
              <w:t>,</w:t>
            </w:r>
            <w:r w:rsidRPr="00C9030D">
              <w:rPr>
                <w:b/>
                <w:bCs/>
                <w:color w:val="21286C"/>
                <w:sz w:val="21"/>
                <w:lang w:val="en-US"/>
              </w:rPr>
              <w:t>8</w:t>
            </w:r>
          </w:p>
        </w:tc>
        <w:tc>
          <w:tcPr>
            <w:tcW w:w="1391" w:type="dxa"/>
            <w:tcBorders>
              <w:top w:val="single" w:sz="4" w:space="0" w:color="000000"/>
              <w:bottom w:val="single" w:sz="4" w:space="0" w:color="000000"/>
            </w:tcBorders>
            <w:shd w:val="clear" w:color="auto" w:fill="FFFFFF" w:themeFill="background1"/>
          </w:tcPr>
          <w:p w14:paraId="062AC5CA" w14:textId="6FA46601" w:rsidR="00A87339" w:rsidRPr="0023367C" w:rsidRDefault="001A1FB2" w:rsidP="00A87339">
            <w:pPr>
              <w:pStyle w:val="TableParagraph"/>
              <w:spacing w:before="61" w:line="240" w:lineRule="auto"/>
              <w:ind w:right="105"/>
              <w:rPr>
                <w:color w:val="21286C"/>
                <w:sz w:val="21"/>
                <w:lang w:val="en-US"/>
              </w:rPr>
            </w:pPr>
            <w:r>
              <w:rPr>
                <w:color w:val="21286C"/>
                <w:sz w:val="21"/>
                <w:lang w:val="en-US"/>
              </w:rPr>
              <w:t>11,7</w:t>
            </w:r>
            <w:r w:rsidR="00A87339">
              <w:rPr>
                <w:color w:val="21286C"/>
                <w:sz w:val="21"/>
                <w:lang w:val="en-US"/>
              </w:rPr>
              <w:t>%</w:t>
            </w:r>
          </w:p>
        </w:tc>
        <w:tc>
          <w:tcPr>
            <w:tcW w:w="20" w:type="dxa"/>
            <w:tcBorders>
              <w:top w:val="single" w:sz="4" w:space="0" w:color="000000"/>
              <w:bottom w:val="single" w:sz="4" w:space="0" w:color="000000"/>
            </w:tcBorders>
            <w:shd w:val="clear" w:color="auto" w:fill="D9D9D9" w:themeFill="background1" w:themeFillShade="D9"/>
            <w:vAlign w:val="center"/>
          </w:tcPr>
          <w:p w14:paraId="31F29D31" w14:textId="77777777" w:rsidR="00A87339" w:rsidRPr="0023367C" w:rsidRDefault="00A87339" w:rsidP="00A87339">
            <w:pPr>
              <w:pStyle w:val="TableParagraph"/>
              <w:spacing w:before="61" w:line="240" w:lineRule="auto"/>
              <w:ind w:right="105"/>
              <w:rPr>
                <w:color w:val="21286C"/>
                <w:sz w:val="21"/>
                <w:lang w:val="en-US"/>
              </w:rPr>
            </w:pPr>
          </w:p>
        </w:tc>
        <w:tc>
          <w:tcPr>
            <w:tcW w:w="23" w:type="dxa"/>
            <w:tcBorders>
              <w:top w:val="single" w:sz="4" w:space="0" w:color="000000"/>
              <w:bottom w:val="single" w:sz="4" w:space="0" w:color="000000"/>
            </w:tcBorders>
            <w:shd w:val="clear" w:color="auto" w:fill="D9D9D9" w:themeFill="background1" w:themeFillShade="D9"/>
          </w:tcPr>
          <w:p w14:paraId="43852D3A" w14:textId="77777777" w:rsidR="00A87339" w:rsidRPr="0087712A" w:rsidRDefault="00A87339" w:rsidP="00A87339">
            <w:pPr>
              <w:pStyle w:val="TableParagraph"/>
              <w:spacing w:before="61" w:line="240" w:lineRule="auto"/>
              <w:ind w:right="102"/>
              <w:rPr>
                <w:color w:val="00173C"/>
                <w:sz w:val="21"/>
                <w:lang w:val="en-US"/>
              </w:rPr>
            </w:pPr>
          </w:p>
        </w:tc>
      </w:tr>
      <w:tr w:rsidR="00A87339" w:rsidRPr="0087712A" w14:paraId="77A0CF65" w14:textId="77777777" w:rsidTr="00C6227F">
        <w:trPr>
          <w:trHeight w:val="299"/>
        </w:trPr>
        <w:tc>
          <w:tcPr>
            <w:tcW w:w="5515" w:type="dxa"/>
            <w:tcBorders>
              <w:top w:val="single" w:sz="4" w:space="0" w:color="000000"/>
              <w:bottom w:val="single" w:sz="4" w:space="0" w:color="000000"/>
            </w:tcBorders>
          </w:tcPr>
          <w:p w14:paraId="5F736A57" w14:textId="74008E5C" w:rsidR="00A87339" w:rsidRPr="00C0301E" w:rsidRDefault="00A87339" w:rsidP="00A87339">
            <w:pPr>
              <w:pStyle w:val="TableParagraph"/>
              <w:spacing w:before="61" w:line="240" w:lineRule="auto"/>
              <w:ind w:left="122"/>
              <w:jc w:val="left"/>
              <w:rPr>
                <w:b/>
                <w:bCs/>
                <w:color w:val="21286C"/>
                <w:sz w:val="21"/>
                <w:szCs w:val="21"/>
                <w:lang w:eastAsia="en-GB" w:bidi="ar-SA"/>
              </w:rPr>
            </w:pPr>
            <w:r>
              <w:rPr>
                <w:b/>
                <w:bCs/>
                <w:color w:val="21286C"/>
                <w:sz w:val="21"/>
                <w:szCs w:val="21"/>
                <w:lang w:eastAsia="en-GB" w:bidi="ar-SA"/>
              </w:rPr>
              <w:t>Κέρδη προ φόρων</w:t>
            </w:r>
          </w:p>
        </w:tc>
        <w:tc>
          <w:tcPr>
            <w:tcW w:w="20" w:type="dxa"/>
            <w:tcBorders>
              <w:top w:val="single" w:sz="4" w:space="0" w:color="000000"/>
              <w:bottom w:val="single" w:sz="4" w:space="0" w:color="000000"/>
            </w:tcBorders>
            <w:shd w:val="clear" w:color="auto" w:fill="D9D9D9" w:themeFill="background1" w:themeFillShade="D9"/>
          </w:tcPr>
          <w:p w14:paraId="69C38403" w14:textId="77777777" w:rsidR="00A87339" w:rsidRPr="0023367C" w:rsidRDefault="00A87339" w:rsidP="00A87339">
            <w:pPr>
              <w:pStyle w:val="TableParagraph"/>
              <w:spacing w:before="61" w:line="240" w:lineRule="auto"/>
              <w:ind w:right="105"/>
              <w:rPr>
                <w:color w:val="21286C"/>
                <w:sz w:val="21"/>
              </w:rPr>
            </w:pPr>
          </w:p>
        </w:tc>
        <w:tc>
          <w:tcPr>
            <w:tcW w:w="1134" w:type="dxa"/>
            <w:tcBorders>
              <w:top w:val="single" w:sz="4" w:space="0" w:color="000000"/>
              <w:bottom w:val="single" w:sz="4" w:space="0" w:color="000000"/>
            </w:tcBorders>
            <w:shd w:val="clear" w:color="auto" w:fill="F2F2F2" w:themeFill="background1" w:themeFillShade="F2"/>
          </w:tcPr>
          <w:p w14:paraId="0CAC6353" w14:textId="7E7DE65A" w:rsidR="00A87339" w:rsidRPr="000816F5" w:rsidRDefault="001A1FB2" w:rsidP="00A87339">
            <w:pPr>
              <w:pStyle w:val="TableParagraph"/>
              <w:spacing w:before="83" w:line="240" w:lineRule="auto"/>
              <w:ind w:right="105"/>
              <w:rPr>
                <w:b/>
                <w:bCs/>
                <w:color w:val="21286C"/>
                <w:sz w:val="21"/>
                <w:lang w:val="en-US"/>
              </w:rPr>
            </w:pPr>
            <w:r>
              <w:rPr>
                <w:b/>
                <w:bCs/>
                <w:color w:val="21286C"/>
                <w:sz w:val="21"/>
                <w:lang w:val="en-US"/>
              </w:rPr>
              <w:t>66,6</w:t>
            </w:r>
          </w:p>
        </w:tc>
        <w:tc>
          <w:tcPr>
            <w:tcW w:w="1411" w:type="dxa"/>
            <w:tcBorders>
              <w:top w:val="single" w:sz="4" w:space="0" w:color="000000"/>
              <w:bottom w:val="single" w:sz="4" w:space="0" w:color="000000"/>
            </w:tcBorders>
            <w:shd w:val="clear" w:color="auto" w:fill="FFFFFF" w:themeFill="background1"/>
          </w:tcPr>
          <w:p w14:paraId="4C6B20C6" w14:textId="59A00FBA" w:rsidR="00A87339" w:rsidRPr="000816F5" w:rsidRDefault="00415923" w:rsidP="00A87339">
            <w:pPr>
              <w:pStyle w:val="TableParagraph"/>
              <w:spacing w:before="61" w:line="240" w:lineRule="auto"/>
              <w:ind w:right="105"/>
              <w:rPr>
                <w:b/>
                <w:bCs/>
                <w:color w:val="21286C"/>
                <w:sz w:val="21"/>
                <w:lang w:val="en-US"/>
              </w:rPr>
            </w:pPr>
            <w:r>
              <w:rPr>
                <w:b/>
                <w:bCs/>
                <w:color w:val="21286C"/>
                <w:sz w:val="21"/>
                <w:lang w:val="en-US"/>
              </w:rPr>
              <w:t>64,8</w:t>
            </w:r>
          </w:p>
        </w:tc>
        <w:tc>
          <w:tcPr>
            <w:tcW w:w="1391" w:type="dxa"/>
            <w:tcBorders>
              <w:top w:val="single" w:sz="4" w:space="0" w:color="000000"/>
              <w:bottom w:val="single" w:sz="4" w:space="0" w:color="000000"/>
            </w:tcBorders>
            <w:shd w:val="clear" w:color="auto" w:fill="FFFFFF" w:themeFill="background1"/>
          </w:tcPr>
          <w:p w14:paraId="44D5198E" w14:textId="26F2162A" w:rsidR="00A87339" w:rsidRDefault="001A1FB2" w:rsidP="00A87339">
            <w:pPr>
              <w:pStyle w:val="TableParagraph"/>
              <w:spacing w:before="61" w:line="240" w:lineRule="auto"/>
              <w:ind w:right="105"/>
              <w:rPr>
                <w:color w:val="21286C"/>
                <w:sz w:val="21"/>
                <w:lang w:val="en-US"/>
              </w:rPr>
            </w:pPr>
            <w:r>
              <w:rPr>
                <w:color w:val="21286C"/>
                <w:sz w:val="21"/>
                <w:lang w:val="en-US"/>
              </w:rPr>
              <w:t>2,9%</w:t>
            </w:r>
          </w:p>
        </w:tc>
        <w:tc>
          <w:tcPr>
            <w:tcW w:w="20" w:type="dxa"/>
            <w:tcBorders>
              <w:top w:val="single" w:sz="4" w:space="0" w:color="000000"/>
              <w:bottom w:val="single" w:sz="4" w:space="0" w:color="000000"/>
            </w:tcBorders>
            <w:shd w:val="clear" w:color="auto" w:fill="D9D9D9" w:themeFill="background1" w:themeFillShade="D9"/>
            <w:vAlign w:val="center"/>
          </w:tcPr>
          <w:p w14:paraId="3E423D52" w14:textId="77777777" w:rsidR="00A87339" w:rsidRPr="0023367C" w:rsidRDefault="00A87339" w:rsidP="00A87339">
            <w:pPr>
              <w:pStyle w:val="TableParagraph"/>
              <w:spacing w:before="61" w:line="240" w:lineRule="auto"/>
              <w:ind w:right="105"/>
              <w:rPr>
                <w:color w:val="21286C"/>
                <w:sz w:val="21"/>
                <w:lang w:val="en-US"/>
              </w:rPr>
            </w:pPr>
          </w:p>
        </w:tc>
        <w:tc>
          <w:tcPr>
            <w:tcW w:w="23" w:type="dxa"/>
            <w:tcBorders>
              <w:top w:val="single" w:sz="4" w:space="0" w:color="000000"/>
              <w:bottom w:val="single" w:sz="4" w:space="0" w:color="000000"/>
            </w:tcBorders>
            <w:shd w:val="clear" w:color="auto" w:fill="D9D9D9" w:themeFill="background1" w:themeFillShade="D9"/>
          </w:tcPr>
          <w:p w14:paraId="0E373960" w14:textId="77777777" w:rsidR="00A87339" w:rsidRPr="0087712A" w:rsidRDefault="00A87339" w:rsidP="00A87339">
            <w:pPr>
              <w:pStyle w:val="TableParagraph"/>
              <w:spacing w:before="61" w:line="240" w:lineRule="auto"/>
              <w:ind w:right="102"/>
              <w:rPr>
                <w:color w:val="00173C"/>
                <w:sz w:val="21"/>
                <w:lang w:val="en-US"/>
              </w:rPr>
            </w:pPr>
          </w:p>
        </w:tc>
      </w:tr>
      <w:tr w:rsidR="00A87339" w:rsidRPr="0087712A" w14:paraId="32595DA8" w14:textId="77777777" w:rsidTr="00C6227F">
        <w:trPr>
          <w:trHeight w:val="299"/>
        </w:trPr>
        <w:tc>
          <w:tcPr>
            <w:tcW w:w="5515" w:type="dxa"/>
            <w:tcBorders>
              <w:top w:val="single" w:sz="4" w:space="0" w:color="000000"/>
              <w:bottom w:val="single" w:sz="4" w:space="0" w:color="000000"/>
            </w:tcBorders>
          </w:tcPr>
          <w:p w14:paraId="0EDAA137" w14:textId="77777777" w:rsidR="00A87339" w:rsidRPr="00C0301E" w:rsidRDefault="00A87339" w:rsidP="00A87339">
            <w:pPr>
              <w:pStyle w:val="TableParagraph"/>
              <w:spacing w:before="61" w:line="240" w:lineRule="auto"/>
              <w:ind w:left="122"/>
              <w:jc w:val="left"/>
              <w:rPr>
                <w:b/>
                <w:bCs/>
                <w:color w:val="21286C"/>
                <w:sz w:val="21"/>
              </w:rPr>
            </w:pPr>
            <w:r w:rsidRPr="00C0301E">
              <w:rPr>
                <w:b/>
                <w:bCs/>
                <w:color w:val="21286C"/>
                <w:sz w:val="21"/>
                <w:szCs w:val="21"/>
                <w:lang w:eastAsia="en-GB" w:bidi="ar-SA"/>
              </w:rPr>
              <w:t>Καθαρά κέρδη μετά από φόρους &amp; δικαιώματα μειοψηφίας</w:t>
            </w:r>
          </w:p>
        </w:tc>
        <w:tc>
          <w:tcPr>
            <w:tcW w:w="20" w:type="dxa"/>
            <w:tcBorders>
              <w:top w:val="single" w:sz="4" w:space="0" w:color="000000"/>
              <w:bottom w:val="single" w:sz="4" w:space="0" w:color="000000"/>
            </w:tcBorders>
            <w:shd w:val="clear" w:color="auto" w:fill="D9D9D9" w:themeFill="background1" w:themeFillShade="D9"/>
          </w:tcPr>
          <w:p w14:paraId="74676C81" w14:textId="77777777" w:rsidR="00A87339" w:rsidRPr="0023367C" w:rsidRDefault="00A87339" w:rsidP="00A87339">
            <w:pPr>
              <w:pStyle w:val="TableParagraph"/>
              <w:spacing w:before="61" w:line="240" w:lineRule="auto"/>
              <w:ind w:right="107"/>
              <w:rPr>
                <w:color w:val="21286C"/>
                <w:sz w:val="21"/>
              </w:rPr>
            </w:pPr>
          </w:p>
        </w:tc>
        <w:tc>
          <w:tcPr>
            <w:tcW w:w="1134" w:type="dxa"/>
            <w:tcBorders>
              <w:top w:val="single" w:sz="4" w:space="0" w:color="000000"/>
              <w:bottom w:val="single" w:sz="4" w:space="0" w:color="000000"/>
            </w:tcBorders>
            <w:shd w:val="clear" w:color="auto" w:fill="F2F2F2" w:themeFill="background1" w:themeFillShade="F2"/>
          </w:tcPr>
          <w:p w14:paraId="3EBA938A" w14:textId="1FE9A159" w:rsidR="00A87339" w:rsidRPr="001A1FB2" w:rsidRDefault="001A1FB2" w:rsidP="00A87339">
            <w:pPr>
              <w:pStyle w:val="TableParagraph"/>
              <w:spacing w:before="83" w:line="240" w:lineRule="auto"/>
              <w:ind w:right="105"/>
              <w:rPr>
                <w:b/>
                <w:color w:val="21286C"/>
                <w:sz w:val="21"/>
                <w:lang w:val="en-US"/>
              </w:rPr>
            </w:pPr>
            <w:r>
              <w:rPr>
                <w:b/>
                <w:bCs/>
                <w:color w:val="21286C"/>
                <w:sz w:val="21"/>
                <w:lang w:val="en-US"/>
              </w:rPr>
              <w:t>43,7</w:t>
            </w:r>
          </w:p>
        </w:tc>
        <w:tc>
          <w:tcPr>
            <w:tcW w:w="1411" w:type="dxa"/>
            <w:tcBorders>
              <w:top w:val="single" w:sz="4" w:space="0" w:color="000000"/>
              <w:bottom w:val="single" w:sz="4" w:space="0" w:color="000000"/>
            </w:tcBorders>
            <w:shd w:val="clear" w:color="auto" w:fill="FFFFFF" w:themeFill="background1"/>
          </w:tcPr>
          <w:p w14:paraId="16BAE695" w14:textId="2BBF4BFB" w:rsidR="00A87339" w:rsidRPr="0023367C" w:rsidRDefault="00A87339" w:rsidP="00A87339">
            <w:pPr>
              <w:pStyle w:val="TableParagraph"/>
              <w:spacing w:before="61" w:line="240" w:lineRule="auto"/>
              <w:ind w:right="107"/>
              <w:rPr>
                <w:color w:val="21286C"/>
                <w:sz w:val="21"/>
                <w:lang w:val="en-US"/>
              </w:rPr>
            </w:pPr>
            <w:r>
              <w:rPr>
                <w:b/>
                <w:bCs/>
                <w:color w:val="21286C"/>
                <w:sz w:val="21"/>
                <w:lang w:val="en-US"/>
              </w:rPr>
              <w:t>52</w:t>
            </w:r>
            <w:r>
              <w:rPr>
                <w:b/>
                <w:bCs/>
                <w:color w:val="21286C"/>
                <w:sz w:val="21"/>
              </w:rPr>
              <w:t>,</w:t>
            </w:r>
            <w:r>
              <w:rPr>
                <w:b/>
                <w:bCs/>
                <w:color w:val="21286C"/>
                <w:sz w:val="21"/>
                <w:lang w:val="en-US"/>
              </w:rPr>
              <w:t>4</w:t>
            </w:r>
          </w:p>
        </w:tc>
        <w:tc>
          <w:tcPr>
            <w:tcW w:w="1391" w:type="dxa"/>
            <w:tcBorders>
              <w:top w:val="single" w:sz="4" w:space="0" w:color="000000"/>
              <w:bottom w:val="single" w:sz="4" w:space="0" w:color="000000"/>
            </w:tcBorders>
            <w:shd w:val="clear" w:color="auto" w:fill="FFFFFF" w:themeFill="background1"/>
          </w:tcPr>
          <w:p w14:paraId="1B2CA69E" w14:textId="6A91F7FE" w:rsidR="00A87339" w:rsidRPr="0023367C" w:rsidRDefault="001A1FB2" w:rsidP="00A87339">
            <w:pPr>
              <w:pStyle w:val="TableParagraph"/>
              <w:spacing w:before="61" w:line="240" w:lineRule="auto"/>
              <w:ind w:right="107"/>
              <w:rPr>
                <w:color w:val="21286C"/>
                <w:sz w:val="21"/>
                <w:lang w:val="en-US"/>
              </w:rPr>
            </w:pPr>
            <w:r>
              <w:rPr>
                <w:color w:val="21286C"/>
                <w:sz w:val="21"/>
                <w:lang w:val="en-US"/>
              </w:rPr>
              <w:t>-16,6</w:t>
            </w:r>
            <w:r w:rsidR="00A87339">
              <w:rPr>
                <w:color w:val="21286C"/>
                <w:sz w:val="21"/>
                <w:lang w:val="en-US"/>
              </w:rPr>
              <w:t>%</w:t>
            </w:r>
          </w:p>
        </w:tc>
        <w:tc>
          <w:tcPr>
            <w:tcW w:w="20" w:type="dxa"/>
            <w:tcBorders>
              <w:top w:val="single" w:sz="4" w:space="0" w:color="000000"/>
              <w:bottom w:val="single" w:sz="4" w:space="0" w:color="000000"/>
            </w:tcBorders>
            <w:shd w:val="clear" w:color="auto" w:fill="D9D9D9" w:themeFill="background1" w:themeFillShade="D9"/>
            <w:vAlign w:val="center"/>
          </w:tcPr>
          <w:p w14:paraId="1B00AFA0" w14:textId="77777777" w:rsidR="00A87339" w:rsidRPr="0023367C" w:rsidRDefault="00A87339" w:rsidP="00A87339">
            <w:pPr>
              <w:pStyle w:val="TableParagraph"/>
              <w:spacing w:before="61" w:line="240" w:lineRule="auto"/>
              <w:ind w:right="107"/>
              <w:rPr>
                <w:color w:val="21286C"/>
                <w:sz w:val="21"/>
                <w:lang w:val="en-US"/>
              </w:rPr>
            </w:pPr>
          </w:p>
        </w:tc>
        <w:tc>
          <w:tcPr>
            <w:tcW w:w="23" w:type="dxa"/>
            <w:tcBorders>
              <w:top w:val="single" w:sz="4" w:space="0" w:color="000000"/>
              <w:bottom w:val="single" w:sz="4" w:space="0" w:color="000000"/>
            </w:tcBorders>
            <w:shd w:val="clear" w:color="auto" w:fill="D9D9D9" w:themeFill="background1" w:themeFillShade="D9"/>
          </w:tcPr>
          <w:p w14:paraId="045E57C2" w14:textId="77777777" w:rsidR="00A87339" w:rsidRPr="0087712A" w:rsidRDefault="00A87339" w:rsidP="00A87339">
            <w:pPr>
              <w:pStyle w:val="TableParagraph"/>
              <w:spacing w:before="61" w:line="240" w:lineRule="auto"/>
              <w:ind w:right="102"/>
              <w:rPr>
                <w:color w:val="00173C"/>
                <w:sz w:val="21"/>
                <w:lang w:val="en-US"/>
              </w:rPr>
            </w:pPr>
          </w:p>
        </w:tc>
      </w:tr>
      <w:tr w:rsidR="00A87339" w:rsidRPr="0087712A" w14:paraId="121FAE34" w14:textId="77777777" w:rsidTr="00C6227F">
        <w:trPr>
          <w:trHeight w:val="299"/>
        </w:trPr>
        <w:tc>
          <w:tcPr>
            <w:tcW w:w="5515" w:type="dxa"/>
            <w:tcBorders>
              <w:top w:val="single" w:sz="4" w:space="0" w:color="000000"/>
              <w:bottom w:val="single" w:sz="4" w:space="0" w:color="000000"/>
            </w:tcBorders>
          </w:tcPr>
          <w:p w14:paraId="296AC801" w14:textId="77777777" w:rsidR="00A87339" w:rsidRPr="00C0301E" w:rsidRDefault="00A87339" w:rsidP="00A87339">
            <w:pPr>
              <w:pStyle w:val="TableParagraph"/>
              <w:spacing w:before="61" w:line="240" w:lineRule="auto"/>
              <w:ind w:left="122"/>
              <w:jc w:val="left"/>
              <w:rPr>
                <w:b/>
                <w:bCs/>
                <w:color w:val="21286C"/>
                <w:sz w:val="21"/>
              </w:rPr>
            </w:pPr>
            <w:r w:rsidRPr="00C0301E">
              <w:rPr>
                <w:b/>
                <w:bCs/>
                <w:color w:val="21286C"/>
                <w:sz w:val="21"/>
                <w:szCs w:val="21"/>
                <w:lang w:eastAsia="en-GB" w:bidi="ar-SA"/>
              </w:rPr>
              <w:t>Επενδυτικές δαπάνες</w:t>
            </w:r>
          </w:p>
        </w:tc>
        <w:tc>
          <w:tcPr>
            <w:tcW w:w="20" w:type="dxa"/>
            <w:tcBorders>
              <w:top w:val="single" w:sz="4" w:space="0" w:color="000000"/>
              <w:bottom w:val="single" w:sz="4" w:space="0" w:color="000000"/>
            </w:tcBorders>
            <w:shd w:val="clear" w:color="auto" w:fill="D9D9D9" w:themeFill="background1" w:themeFillShade="D9"/>
          </w:tcPr>
          <w:p w14:paraId="00879D44" w14:textId="77777777" w:rsidR="00A87339" w:rsidRPr="0023367C" w:rsidRDefault="00A87339" w:rsidP="00A87339">
            <w:pPr>
              <w:pStyle w:val="TableParagraph"/>
              <w:spacing w:before="61" w:line="240" w:lineRule="auto"/>
              <w:ind w:right="107"/>
              <w:rPr>
                <w:color w:val="21286C"/>
                <w:sz w:val="21"/>
              </w:rPr>
            </w:pPr>
          </w:p>
        </w:tc>
        <w:tc>
          <w:tcPr>
            <w:tcW w:w="1134" w:type="dxa"/>
            <w:tcBorders>
              <w:top w:val="single" w:sz="4" w:space="0" w:color="000000"/>
              <w:bottom w:val="single" w:sz="4" w:space="0" w:color="000000"/>
            </w:tcBorders>
            <w:shd w:val="clear" w:color="auto" w:fill="F2F2F2" w:themeFill="background1" w:themeFillShade="F2"/>
          </w:tcPr>
          <w:p w14:paraId="6DA8F771" w14:textId="77777777" w:rsidR="00A87339" w:rsidRPr="0023367C" w:rsidRDefault="00A87339" w:rsidP="00A87339">
            <w:pPr>
              <w:pStyle w:val="TableParagraph"/>
              <w:spacing w:before="83" w:line="240" w:lineRule="auto"/>
              <w:ind w:right="105"/>
              <w:rPr>
                <w:b/>
                <w:color w:val="21286C"/>
                <w:sz w:val="21"/>
                <w:lang w:val="en-US"/>
              </w:rPr>
            </w:pPr>
            <w:r>
              <w:rPr>
                <w:b/>
                <w:bCs/>
                <w:color w:val="21286C"/>
                <w:sz w:val="21"/>
                <w:lang w:val="en-US"/>
              </w:rPr>
              <w:t>52</w:t>
            </w:r>
            <w:r>
              <w:rPr>
                <w:b/>
                <w:bCs/>
                <w:color w:val="21286C"/>
                <w:sz w:val="21"/>
              </w:rPr>
              <w:t>,</w:t>
            </w:r>
            <w:r>
              <w:rPr>
                <w:b/>
                <w:bCs/>
                <w:color w:val="21286C"/>
                <w:sz w:val="21"/>
                <w:lang w:val="en-US"/>
              </w:rPr>
              <w:t>5</w:t>
            </w:r>
          </w:p>
        </w:tc>
        <w:tc>
          <w:tcPr>
            <w:tcW w:w="1411" w:type="dxa"/>
            <w:tcBorders>
              <w:top w:val="single" w:sz="4" w:space="0" w:color="000000"/>
              <w:bottom w:val="single" w:sz="4" w:space="0" w:color="000000"/>
            </w:tcBorders>
            <w:shd w:val="clear" w:color="auto" w:fill="FFFFFF" w:themeFill="background1"/>
          </w:tcPr>
          <w:p w14:paraId="06299DAC" w14:textId="7ED5216E" w:rsidR="00A87339" w:rsidRPr="0023367C" w:rsidRDefault="00A87339" w:rsidP="00A87339">
            <w:pPr>
              <w:pStyle w:val="TableParagraph"/>
              <w:spacing w:before="61" w:line="240" w:lineRule="auto"/>
              <w:ind w:right="107"/>
              <w:rPr>
                <w:color w:val="21286C"/>
                <w:sz w:val="21"/>
                <w:lang w:val="en-US"/>
              </w:rPr>
            </w:pPr>
            <w:r>
              <w:rPr>
                <w:b/>
                <w:bCs/>
                <w:color w:val="21286C"/>
                <w:sz w:val="21"/>
                <w:lang w:val="en-US"/>
              </w:rPr>
              <w:t>52</w:t>
            </w:r>
            <w:r>
              <w:rPr>
                <w:b/>
                <w:bCs/>
                <w:color w:val="21286C"/>
                <w:sz w:val="21"/>
              </w:rPr>
              <w:t>,</w:t>
            </w:r>
            <w:r>
              <w:rPr>
                <w:b/>
                <w:bCs/>
                <w:color w:val="21286C"/>
                <w:sz w:val="21"/>
                <w:lang w:val="en-US"/>
              </w:rPr>
              <w:t>5</w:t>
            </w:r>
          </w:p>
        </w:tc>
        <w:tc>
          <w:tcPr>
            <w:tcW w:w="1391" w:type="dxa"/>
            <w:tcBorders>
              <w:top w:val="single" w:sz="4" w:space="0" w:color="000000"/>
              <w:bottom w:val="single" w:sz="4" w:space="0" w:color="000000"/>
            </w:tcBorders>
            <w:shd w:val="clear" w:color="auto" w:fill="FFFFFF" w:themeFill="background1"/>
          </w:tcPr>
          <w:p w14:paraId="059272A1" w14:textId="77777777" w:rsidR="00A87339" w:rsidRPr="0023367C" w:rsidRDefault="00A87339" w:rsidP="00A87339">
            <w:pPr>
              <w:pStyle w:val="TableParagraph"/>
              <w:spacing w:before="61" w:line="240" w:lineRule="auto"/>
              <w:ind w:right="107"/>
              <w:rPr>
                <w:color w:val="21286C"/>
                <w:sz w:val="21"/>
                <w:lang w:val="en-US"/>
              </w:rPr>
            </w:pPr>
          </w:p>
        </w:tc>
        <w:tc>
          <w:tcPr>
            <w:tcW w:w="20" w:type="dxa"/>
            <w:tcBorders>
              <w:top w:val="single" w:sz="4" w:space="0" w:color="000000"/>
              <w:bottom w:val="single" w:sz="4" w:space="0" w:color="000000"/>
            </w:tcBorders>
            <w:shd w:val="clear" w:color="auto" w:fill="D9D9D9" w:themeFill="background1" w:themeFillShade="D9"/>
            <w:vAlign w:val="center"/>
          </w:tcPr>
          <w:p w14:paraId="5E44453B" w14:textId="77777777" w:rsidR="00A87339" w:rsidRPr="0023367C" w:rsidRDefault="00A87339" w:rsidP="00A87339">
            <w:pPr>
              <w:pStyle w:val="TableParagraph"/>
              <w:spacing w:before="61" w:line="240" w:lineRule="auto"/>
              <w:ind w:right="107"/>
              <w:rPr>
                <w:color w:val="21286C"/>
                <w:sz w:val="21"/>
                <w:lang w:val="en-US"/>
              </w:rPr>
            </w:pPr>
          </w:p>
        </w:tc>
        <w:tc>
          <w:tcPr>
            <w:tcW w:w="23" w:type="dxa"/>
            <w:tcBorders>
              <w:top w:val="single" w:sz="4" w:space="0" w:color="000000"/>
              <w:bottom w:val="single" w:sz="4" w:space="0" w:color="000000"/>
            </w:tcBorders>
            <w:shd w:val="clear" w:color="auto" w:fill="D9D9D9" w:themeFill="background1" w:themeFillShade="D9"/>
          </w:tcPr>
          <w:p w14:paraId="7C20D1DB" w14:textId="77777777" w:rsidR="00A87339" w:rsidRPr="0087712A" w:rsidRDefault="00A87339" w:rsidP="00A87339">
            <w:pPr>
              <w:pStyle w:val="TableParagraph"/>
              <w:spacing w:before="61" w:line="240" w:lineRule="auto"/>
              <w:ind w:right="102"/>
              <w:rPr>
                <w:color w:val="00173C"/>
                <w:sz w:val="21"/>
                <w:lang w:val="en-US"/>
              </w:rPr>
            </w:pPr>
          </w:p>
        </w:tc>
      </w:tr>
    </w:tbl>
    <w:p w14:paraId="7764596D" w14:textId="77777777" w:rsidR="00CC2C6F" w:rsidRPr="00CC2C6F" w:rsidRDefault="00CC2C6F" w:rsidP="00AA4C96">
      <w:pPr>
        <w:pStyle w:val="Copy"/>
        <w:jc w:val="both"/>
        <w:rPr>
          <w:color w:val="21286C"/>
          <w:lang w:val="en-US"/>
        </w:rPr>
      </w:pPr>
    </w:p>
    <w:p w14:paraId="2F097A47" w14:textId="6E0B6E97" w:rsidR="00AA4C96" w:rsidRPr="00717BD4" w:rsidRDefault="00AA4C96" w:rsidP="00AA4C96">
      <w:pPr>
        <w:pStyle w:val="Copy"/>
        <w:jc w:val="both"/>
        <w:rPr>
          <w:color w:val="21286C"/>
        </w:rPr>
      </w:pPr>
      <w:r>
        <w:rPr>
          <w:color w:val="21286C"/>
        </w:rPr>
        <w:t xml:space="preserve">Οι επενδυτικές δαπάνες διατηρήθηκαν </w:t>
      </w:r>
      <w:r w:rsidR="00C8305B">
        <w:rPr>
          <w:color w:val="21286C"/>
        </w:rPr>
        <w:t xml:space="preserve">και αυτό το τρίμηνο </w:t>
      </w:r>
      <w:r>
        <w:rPr>
          <w:color w:val="21286C"/>
        </w:rPr>
        <w:t>σ</w:t>
      </w:r>
      <w:r w:rsidR="00D11A65">
        <w:rPr>
          <w:color w:val="21286C"/>
        </w:rPr>
        <w:t>τα</w:t>
      </w:r>
      <w:r>
        <w:rPr>
          <w:color w:val="21286C"/>
        </w:rPr>
        <w:t xml:space="preserve"> υψηλά επίπεδα </w:t>
      </w:r>
      <w:r w:rsidR="00D11A65">
        <w:rPr>
          <w:color w:val="21286C"/>
        </w:rPr>
        <w:t>των</w:t>
      </w:r>
      <w:r>
        <w:rPr>
          <w:color w:val="21286C"/>
        </w:rPr>
        <w:t xml:space="preserve"> €</w:t>
      </w:r>
      <w:r w:rsidR="00FB6A3F">
        <w:rPr>
          <w:color w:val="21286C"/>
        </w:rPr>
        <w:t xml:space="preserve">52,5 </w:t>
      </w:r>
      <w:r>
        <w:rPr>
          <w:color w:val="21286C"/>
        </w:rPr>
        <w:t>εκ.</w:t>
      </w:r>
      <w:r w:rsidR="00175D1F">
        <w:rPr>
          <w:color w:val="21286C"/>
        </w:rPr>
        <w:t>,</w:t>
      </w:r>
      <w:r>
        <w:rPr>
          <w:color w:val="21286C"/>
        </w:rPr>
        <w:t xml:space="preserve"> </w:t>
      </w:r>
      <w:r w:rsidR="004222E0">
        <w:rPr>
          <w:color w:val="21286C"/>
        </w:rPr>
        <w:t>επίπεδα</w:t>
      </w:r>
      <w:r w:rsidR="00175D1F">
        <w:rPr>
          <w:color w:val="21286C"/>
        </w:rPr>
        <w:t xml:space="preserve"> αντίστοιχα</w:t>
      </w:r>
      <w:r w:rsidR="004222E0">
        <w:rPr>
          <w:color w:val="21286C"/>
        </w:rPr>
        <w:t xml:space="preserve"> με το προηγούμενο έτος</w:t>
      </w:r>
      <w:r>
        <w:rPr>
          <w:color w:val="21286C"/>
        </w:rPr>
        <w:t xml:space="preserve">, </w:t>
      </w:r>
      <w:r w:rsidR="004222E0">
        <w:rPr>
          <w:color w:val="21286C"/>
        </w:rPr>
        <w:t xml:space="preserve">ως αποτέλεσμα των συνεχιζόμενων </w:t>
      </w:r>
      <w:r w:rsidR="005A79E0">
        <w:rPr>
          <w:color w:val="21286C"/>
        </w:rPr>
        <w:t xml:space="preserve">επενδύσεών μας </w:t>
      </w:r>
      <w:r w:rsidR="00D11A65">
        <w:rPr>
          <w:color w:val="21286C"/>
        </w:rPr>
        <w:t>για</w:t>
      </w:r>
      <w:r>
        <w:rPr>
          <w:color w:val="21286C"/>
        </w:rPr>
        <w:t xml:space="preserve"> βιώσιμη ανάπτυξη</w:t>
      </w:r>
      <w:r w:rsidR="005A79E0">
        <w:rPr>
          <w:color w:val="21286C"/>
        </w:rPr>
        <w:t xml:space="preserve">. Οι επενδύσεις επικεντρώθηκαν </w:t>
      </w:r>
      <w:r w:rsidR="00961FED">
        <w:rPr>
          <w:color w:val="21286C"/>
        </w:rPr>
        <w:t xml:space="preserve">στην αυξανόμενη χρήση </w:t>
      </w:r>
      <w:r>
        <w:rPr>
          <w:color w:val="21286C"/>
        </w:rPr>
        <w:t xml:space="preserve">ανανεώσιμων πηγών ενέργειας σε όλους τους γεωγραφικούς τομείς </w:t>
      </w:r>
      <w:r w:rsidR="00961FED">
        <w:rPr>
          <w:color w:val="21286C"/>
        </w:rPr>
        <w:t>δραστηριοποί</w:t>
      </w:r>
      <w:r w:rsidR="008D7D75">
        <w:rPr>
          <w:color w:val="21286C"/>
        </w:rPr>
        <w:t>ησής μας, στην ενσωμάτωση</w:t>
      </w:r>
      <w:r>
        <w:rPr>
          <w:color w:val="21286C"/>
        </w:rPr>
        <w:t xml:space="preserve"> τσιμεντοειδών και εναλλακτικών υλικών στην εφοδιαστική αλυσίδα</w:t>
      </w:r>
      <w:r w:rsidR="009069F9">
        <w:rPr>
          <w:color w:val="21286C"/>
        </w:rPr>
        <w:t>, καθώς</w:t>
      </w:r>
      <w:r>
        <w:rPr>
          <w:color w:val="21286C"/>
        </w:rPr>
        <w:t xml:space="preserve"> και </w:t>
      </w:r>
      <w:r w:rsidR="009069F9">
        <w:rPr>
          <w:color w:val="21286C"/>
        </w:rPr>
        <w:t>σ</w:t>
      </w:r>
      <w:r>
        <w:rPr>
          <w:color w:val="21286C"/>
        </w:rPr>
        <w:t>τις προπαρασκευαστικές εργασίες για το έργο δέσμευσης και αποθήκευσης διοξειδίου του άνθρακα στην Ελλάδα</w:t>
      </w:r>
      <w:r w:rsidR="005277E1">
        <w:rPr>
          <w:color w:val="21286C"/>
        </w:rPr>
        <w:t xml:space="preserve">. </w:t>
      </w:r>
      <w:r>
        <w:rPr>
          <w:color w:val="21286C"/>
        </w:rPr>
        <w:t xml:space="preserve">Τον Φεβρουάριο </w:t>
      </w:r>
      <w:r w:rsidR="006F6FC9">
        <w:rPr>
          <w:color w:val="21286C"/>
        </w:rPr>
        <w:t xml:space="preserve">του </w:t>
      </w:r>
      <w:r>
        <w:rPr>
          <w:color w:val="21286C"/>
        </w:rPr>
        <w:t xml:space="preserve">2025 ανακοινώσαμε την ίδρυση κοινοπραξίας στην Ινδία, με στόχο την εξασφάλιση, επεξεργασία, εμπορία και </w:t>
      </w:r>
      <w:r w:rsidR="006F6FC9">
        <w:rPr>
          <w:color w:val="21286C"/>
        </w:rPr>
        <w:t>δ</w:t>
      </w:r>
      <w:r>
        <w:rPr>
          <w:color w:val="21286C"/>
        </w:rPr>
        <w:t>ιανομή συμπληρωματικών τσιμεντοειδών υλικών σε παγκόσμια κλίμακα</w:t>
      </w:r>
      <w:r w:rsidR="00342D94">
        <w:rPr>
          <w:color w:val="21286C"/>
        </w:rPr>
        <w:t xml:space="preserve">. Τον </w:t>
      </w:r>
      <w:r>
        <w:rPr>
          <w:color w:val="21286C"/>
        </w:rPr>
        <w:t xml:space="preserve">Μάρτιο </w:t>
      </w:r>
      <w:r w:rsidR="00342D94">
        <w:rPr>
          <w:color w:val="21286C"/>
        </w:rPr>
        <w:t xml:space="preserve">του </w:t>
      </w:r>
      <w:r>
        <w:rPr>
          <w:color w:val="21286C"/>
        </w:rPr>
        <w:t>2025</w:t>
      </w:r>
      <w:r w:rsidR="00342D94">
        <w:rPr>
          <w:color w:val="21286C"/>
        </w:rPr>
        <w:t>,</w:t>
      </w:r>
      <w:r>
        <w:rPr>
          <w:color w:val="21286C"/>
        </w:rPr>
        <w:t xml:space="preserve"> ανακοινώσαμε την εξαγορά νέου λατομείου αδρανών υλικών στη Θεσσαλία, </w:t>
      </w:r>
      <w:r w:rsidR="00972708">
        <w:rPr>
          <w:color w:val="21286C"/>
        </w:rPr>
        <w:t>ενισχύοντας</w:t>
      </w:r>
      <w:r w:rsidR="004923B7">
        <w:rPr>
          <w:color w:val="21286C"/>
        </w:rPr>
        <w:t xml:space="preserve"> </w:t>
      </w:r>
      <w:r w:rsidR="00972708">
        <w:rPr>
          <w:color w:val="21286C"/>
        </w:rPr>
        <w:t xml:space="preserve">τα διαθέσιμα αποθέματά </w:t>
      </w:r>
      <w:r w:rsidR="00453040">
        <w:rPr>
          <w:color w:val="21286C"/>
        </w:rPr>
        <w:t xml:space="preserve">μας. </w:t>
      </w:r>
      <w:r>
        <w:rPr>
          <w:color w:val="22326E"/>
        </w:rPr>
        <w:t>Είχαν προηγηθεί το 2024</w:t>
      </w:r>
      <w:r w:rsidR="00453040">
        <w:rPr>
          <w:color w:val="22326E"/>
        </w:rPr>
        <w:t>,</w:t>
      </w:r>
      <w:r>
        <w:rPr>
          <w:color w:val="22326E"/>
        </w:rPr>
        <w:t xml:space="preserve"> η εξαγορά λατομείου αδρανών υλικών στην Αττική και η οριστικοποίηση μακροπρόθεσμης εμπορικής συμφωνίας στη Ν</w:t>
      </w:r>
      <w:r w:rsidR="004923B7">
        <w:rPr>
          <w:color w:val="22326E"/>
        </w:rPr>
        <w:t>.</w:t>
      </w:r>
      <w:r w:rsidR="003F4E7A">
        <w:rPr>
          <w:color w:val="22326E"/>
        </w:rPr>
        <w:t xml:space="preserve"> </w:t>
      </w:r>
      <w:r>
        <w:rPr>
          <w:color w:val="22326E"/>
        </w:rPr>
        <w:t xml:space="preserve">Πελοπόννησο, κινήσεις οι οποίες εξασφάλισαν </w:t>
      </w:r>
      <w:r w:rsidR="007432B4">
        <w:rPr>
          <w:color w:val="22326E"/>
        </w:rPr>
        <w:t xml:space="preserve">επίσης </w:t>
      </w:r>
      <w:r>
        <w:rPr>
          <w:color w:val="22326E"/>
        </w:rPr>
        <w:t xml:space="preserve">επιπλέον αποθέματα. </w:t>
      </w:r>
      <w:r>
        <w:tab/>
      </w:r>
      <w:r>
        <w:rPr>
          <w:rFonts w:eastAsia="Aptos" w:cs="Calibri Light"/>
          <w:color w:val="22326E"/>
          <w:szCs w:val="21"/>
        </w:rPr>
        <w:br/>
      </w:r>
      <w:r>
        <w:rPr>
          <w:color w:val="21286C"/>
        </w:rPr>
        <w:t xml:space="preserve">Σημαντικό ορόσημο του πρώτου τριμήνου ήταν η επιτυχής ολοκλήρωση της αρχικής δημόσιας προσφοράς (IPO) της Titan America στο Χρηματιστήριο της Νέας Υόρκης (NYSE) τον Φεβρουάριο 2025, χάρη στην οποία ο Όμιλος </w:t>
      </w:r>
      <w:r w:rsidR="007432B4">
        <w:rPr>
          <w:color w:val="21286C"/>
        </w:rPr>
        <w:t>άντλησε μικτά κεφάλαια</w:t>
      </w:r>
      <w:r>
        <w:rPr>
          <w:color w:val="21286C"/>
        </w:rPr>
        <w:t xml:space="preserve"> $393 εκ. Στις 11 Μαρτίου 2025 οι κοινές μετοχές της Titan America που βρίσκονταν στην </w:t>
      </w:r>
      <w:r>
        <w:rPr>
          <w:color w:val="21286C"/>
        </w:rPr>
        <w:lastRenderedPageBreak/>
        <w:t xml:space="preserve">κατοχή του Ομίλου ανέρχονταν σε ποσοστό 86,7% του συνόλου των κοινών μετοχών </w:t>
      </w:r>
      <w:r w:rsidR="00304C0F">
        <w:rPr>
          <w:color w:val="21286C"/>
        </w:rPr>
        <w:t>σε κυκλοφορία</w:t>
      </w:r>
      <w:r>
        <w:rPr>
          <w:color w:val="21286C"/>
        </w:rPr>
        <w:t>. Τον Φεβρουάριο 2025</w:t>
      </w:r>
      <w:r w:rsidR="00F90AE7">
        <w:rPr>
          <w:color w:val="21286C"/>
        </w:rPr>
        <w:t>,</w:t>
      </w:r>
      <w:r>
        <w:rPr>
          <w:color w:val="21286C"/>
        </w:rPr>
        <w:t xml:space="preserve"> ο </w:t>
      </w:r>
      <w:r w:rsidR="00F90AE7">
        <w:rPr>
          <w:color w:val="21286C"/>
        </w:rPr>
        <w:t xml:space="preserve">Όμιλος </w:t>
      </w:r>
      <w:r>
        <w:rPr>
          <w:color w:val="21286C"/>
        </w:rPr>
        <w:t xml:space="preserve">ανακοίνωσε επίσης την πώληση του μεριδίου του (75%) στην εταιρία Adocim στην Ανατολική Τουρκία. Μετά τη συναλλαγή, η οποία αναμένεται να ολοκληρωθεί </w:t>
      </w:r>
      <w:r w:rsidR="004939B2">
        <w:rPr>
          <w:color w:val="21286C"/>
        </w:rPr>
        <w:t>στη διάρκεια του καλοκαιριού</w:t>
      </w:r>
      <w:r>
        <w:rPr>
          <w:color w:val="21286C"/>
        </w:rPr>
        <w:t xml:space="preserve"> του 2025, ο Όμιλος θα λάβει συνολικά 87,5 εκ. δολάρια σε μετρητά. </w:t>
      </w:r>
      <w:r>
        <w:tab/>
      </w:r>
      <w:r>
        <w:rPr>
          <w:color w:val="21286C"/>
        </w:rPr>
        <w:br/>
        <w:t>Από την 5η Μαΐου 2025, ύστερα από έγκριση της έκτακτης γενικής συνέλευσης, η «Titan Cement International</w:t>
      </w:r>
      <w:r w:rsidR="00D52F4F" w:rsidRPr="00D52F4F">
        <w:rPr>
          <w:color w:val="21286C"/>
        </w:rPr>
        <w:t xml:space="preserve"> </w:t>
      </w:r>
      <w:r w:rsidR="00D52F4F">
        <w:rPr>
          <w:color w:val="21286C"/>
          <w:lang w:val="en-US"/>
        </w:rPr>
        <w:t>SA</w:t>
      </w:r>
      <w:r>
        <w:rPr>
          <w:color w:val="21286C"/>
        </w:rPr>
        <w:t>», η μητρική εταιρία του Ομίλου, μετονομάσθηκε σε «Titan</w:t>
      </w:r>
      <w:r w:rsidR="00D52F4F" w:rsidRPr="00D52F4F">
        <w:rPr>
          <w:color w:val="21286C"/>
        </w:rPr>
        <w:t xml:space="preserve"> </w:t>
      </w:r>
      <w:r w:rsidR="00D52F4F">
        <w:rPr>
          <w:color w:val="21286C"/>
          <w:lang w:val="en-US"/>
        </w:rPr>
        <w:t>SA</w:t>
      </w:r>
      <w:r>
        <w:rPr>
          <w:color w:val="21286C"/>
        </w:rPr>
        <w:t>», υιοθετώντας μια επωνυμία που αντανακλά πιο εύστοχα το ευρύτερο και πιο μακρόπνοο όραμα του Ομίλου και εναρμονίζεται με την προσήλωσή του στη βιώσιμη ανάπτυξη και τη δημιουργία προϊόντων και λύσεων προστιθέμενης αξίας με στόχο ένα βιώσιμο μέλλον. Επιπλέον, το όνομα του ιστότοπου της Εταιρίας άλλαξε σε «</w:t>
      </w:r>
      <w:hyperlink r:id="rId10">
        <w:r w:rsidRPr="00161CB0">
          <w:rPr>
            <w:color w:val="21286C"/>
          </w:rPr>
          <w:t>www.titanmaterials.com</w:t>
        </w:r>
      </w:hyperlink>
      <w:r>
        <w:rPr>
          <w:color w:val="21286C"/>
        </w:rPr>
        <w:t xml:space="preserve">». </w:t>
      </w:r>
      <w:r>
        <w:tab/>
      </w:r>
      <w:r>
        <w:rPr>
          <w:color w:val="21286C"/>
        </w:rPr>
        <w:br/>
      </w:r>
      <w:r w:rsidR="00A34AD9">
        <w:rPr>
          <w:color w:val="21286C"/>
        </w:rPr>
        <w:t>Τ</w:t>
      </w:r>
      <w:r>
        <w:rPr>
          <w:color w:val="21286C"/>
        </w:rPr>
        <w:t xml:space="preserve">ο πρώτο τρίμηνο του 2025, </w:t>
      </w:r>
      <w:r w:rsidR="009B2329">
        <w:rPr>
          <w:color w:val="21286C"/>
        </w:rPr>
        <w:t>οι</w:t>
      </w:r>
      <w:r>
        <w:rPr>
          <w:color w:val="21286C"/>
        </w:rPr>
        <w:t xml:space="preserve"> ελεύθερες ταμειακές ροές </w:t>
      </w:r>
      <w:r w:rsidR="009B2329">
        <w:rPr>
          <w:color w:val="21286C"/>
        </w:rPr>
        <w:t>ανήλθαν σε</w:t>
      </w:r>
      <w:r>
        <w:rPr>
          <w:color w:val="21286C"/>
        </w:rPr>
        <w:t xml:space="preserve"> €</w:t>
      </w:r>
      <w:r w:rsidR="00A34AD9">
        <w:rPr>
          <w:color w:val="21286C"/>
        </w:rPr>
        <w:t>10</w:t>
      </w:r>
      <w:r>
        <w:rPr>
          <w:color w:val="21286C"/>
        </w:rPr>
        <w:t xml:space="preserve"> εκ., ενώ ο καθαρό</w:t>
      </w:r>
      <w:r w:rsidR="00C740D3">
        <w:rPr>
          <w:color w:val="21286C"/>
        </w:rPr>
        <w:t>ς δανεισμός</w:t>
      </w:r>
      <w:r>
        <w:rPr>
          <w:color w:val="21286C"/>
        </w:rPr>
        <w:t xml:space="preserve"> του Ομίλου </w:t>
      </w:r>
      <w:r w:rsidR="0054391E">
        <w:rPr>
          <w:color w:val="21286C"/>
        </w:rPr>
        <w:t>διαμορφώθηκε</w:t>
      </w:r>
      <w:r>
        <w:rPr>
          <w:color w:val="21286C"/>
        </w:rPr>
        <w:t xml:space="preserve"> σε €</w:t>
      </w:r>
      <w:r w:rsidR="00B132D8" w:rsidRPr="005A18A2">
        <w:rPr>
          <w:color w:val="21286C"/>
        </w:rPr>
        <w:t>280</w:t>
      </w:r>
      <w:r>
        <w:rPr>
          <w:color w:val="21286C"/>
        </w:rPr>
        <w:t xml:space="preserve"> εκ.</w:t>
      </w:r>
      <w:r w:rsidR="006016B5">
        <w:rPr>
          <w:color w:val="21286C"/>
        </w:rPr>
        <w:t xml:space="preserve"> στο τέλος Μαρτίου 2025</w:t>
      </w:r>
      <w:r>
        <w:rPr>
          <w:color w:val="21286C"/>
        </w:rPr>
        <w:t xml:space="preserve">, έναντι €622 εκ. </w:t>
      </w:r>
      <w:r w:rsidR="00C70231">
        <w:rPr>
          <w:color w:val="21286C"/>
        </w:rPr>
        <w:t>σ</w:t>
      </w:r>
      <w:r>
        <w:rPr>
          <w:color w:val="21286C"/>
        </w:rPr>
        <w:t>το τέλος του 2024,</w:t>
      </w:r>
      <w:r w:rsidR="005B3043">
        <w:rPr>
          <w:color w:val="21286C"/>
        </w:rPr>
        <w:t xml:space="preserve"> χάρη στα κεφάλαια</w:t>
      </w:r>
      <w:r>
        <w:rPr>
          <w:color w:val="21286C"/>
        </w:rPr>
        <w:t xml:space="preserve"> που </w:t>
      </w:r>
      <w:r w:rsidR="00650397">
        <w:rPr>
          <w:color w:val="21286C"/>
        </w:rPr>
        <w:t>αντλήθηκαν</w:t>
      </w:r>
      <w:r>
        <w:rPr>
          <w:color w:val="21286C"/>
        </w:rPr>
        <w:t xml:space="preserve"> </w:t>
      </w:r>
      <w:r w:rsidR="00C70231">
        <w:rPr>
          <w:color w:val="21286C"/>
        </w:rPr>
        <w:t xml:space="preserve">μέσω της </w:t>
      </w:r>
      <w:r>
        <w:rPr>
          <w:color w:val="21286C"/>
        </w:rPr>
        <w:t>αρχική</w:t>
      </w:r>
      <w:r w:rsidR="008C62FA">
        <w:rPr>
          <w:color w:val="21286C"/>
        </w:rPr>
        <w:t>ς</w:t>
      </w:r>
      <w:r>
        <w:rPr>
          <w:color w:val="21286C"/>
        </w:rPr>
        <w:t xml:space="preserve"> δημόσια</w:t>
      </w:r>
      <w:r w:rsidR="008C62FA">
        <w:rPr>
          <w:color w:val="21286C"/>
        </w:rPr>
        <w:t>ς</w:t>
      </w:r>
      <w:r>
        <w:rPr>
          <w:color w:val="21286C"/>
        </w:rPr>
        <w:t xml:space="preserve"> προσφορά</w:t>
      </w:r>
      <w:r w:rsidR="008C62FA">
        <w:rPr>
          <w:color w:val="21286C"/>
        </w:rPr>
        <w:t>ς</w:t>
      </w:r>
      <w:r>
        <w:rPr>
          <w:color w:val="21286C"/>
        </w:rPr>
        <w:t xml:space="preserve"> (IPO) της Titan America.</w:t>
      </w:r>
      <w:r w:rsidR="008C62FA">
        <w:rPr>
          <w:color w:val="21286C"/>
        </w:rPr>
        <w:t xml:space="preserve"> Πρ</w:t>
      </w:r>
      <w:r w:rsidR="00BD0BB4">
        <w:rPr>
          <w:color w:val="21286C"/>
        </w:rPr>
        <w:t>ο</w:t>
      </w:r>
      <w:r w:rsidR="008C62FA">
        <w:rPr>
          <w:color w:val="21286C"/>
        </w:rPr>
        <w:t>τε</w:t>
      </w:r>
      <w:r w:rsidR="00BD0BB4">
        <w:rPr>
          <w:color w:val="21286C"/>
        </w:rPr>
        <w:t>ί</w:t>
      </w:r>
      <w:r w:rsidR="008C62FA">
        <w:rPr>
          <w:color w:val="21286C"/>
        </w:rPr>
        <w:t>νεται</w:t>
      </w:r>
      <w:r>
        <w:rPr>
          <w:color w:val="21286C"/>
        </w:rPr>
        <w:t xml:space="preserve"> </w:t>
      </w:r>
      <w:r w:rsidR="00F47992" w:rsidRPr="00A14C35">
        <w:rPr>
          <w:color w:val="21286C"/>
        </w:rPr>
        <w:t>στη σημερινή Ετήσια Γενική Συνέλευση</w:t>
      </w:r>
      <w:r w:rsidR="00F47992" w:rsidRPr="00290C73">
        <w:rPr>
          <w:color w:val="21286C"/>
        </w:rPr>
        <w:t xml:space="preserve"> </w:t>
      </w:r>
      <w:r w:rsidR="00BD0BB4">
        <w:rPr>
          <w:color w:val="21286C"/>
          <w:lang w:val="en-US"/>
        </w:rPr>
        <w:t>a</w:t>
      </w:r>
      <w:r w:rsidR="00303AB1">
        <w:rPr>
          <w:color w:val="21286C"/>
          <w:lang w:val="en-US"/>
        </w:rPr>
        <w:t>d</w:t>
      </w:r>
      <w:r w:rsidR="00303AB1" w:rsidRPr="00303AB1">
        <w:rPr>
          <w:color w:val="21286C"/>
        </w:rPr>
        <w:t>-</w:t>
      </w:r>
      <w:r w:rsidR="00303AB1">
        <w:rPr>
          <w:color w:val="21286C"/>
          <w:lang w:val="en-US"/>
        </w:rPr>
        <w:t>hoc</w:t>
      </w:r>
      <w:r w:rsidR="00A14C35" w:rsidRPr="00A14C35">
        <w:rPr>
          <w:color w:val="21286C"/>
        </w:rPr>
        <w:t xml:space="preserve"> αύξηση του ετήσιου μερίσματος κατά €2,00 ανά μετοχή</w:t>
      </w:r>
      <w:r w:rsidR="00290C73">
        <w:rPr>
          <w:color w:val="21286C"/>
        </w:rPr>
        <w:t xml:space="preserve">, </w:t>
      </w:r>
      <w:r w:rsidR="00731860">
        <w:rPr>
          <w:color w:val="21286C"/>
        </w:rPr>
        <w:t>διαμορφώνοντας</w:t>
      </w:r>
      <w:r w:rsidR="00731860" w:rsidRPr="00A14C35">
        <w:rPr>
          <w:color w:val="21286C"/>
        </w:rPr>
        <w:t xml:space="preserve"> </w:t>
      </w:r>
      <w:r w:rsidR="00A14C35" w:rsidRPr="00A14C35">
        <w:rPr>
          <w:color w:val="21286C"/>
        </w:rPr>
        <w:t>το συνολικό μέρισμα σε €3,00 ανά μετοχ</w:t>
      </w:r>
      <w:r w:rsidR="005B3043">
        <w:rPr>
          <w:color w:val="21286C"/>
        </w:rPr>
        <w:t>ή, με την</w:t>
      </w:r>
      <w:r w:rsidR="00A14C35" w:rsidRPr="00A14C35">
        <w:rPr>
          <w:color w:val="21286C"/>
        </w:rPr>
        <w:t xml:space="preserve"> καταβολή του μερίσματος </w:t>
      </w:r>
      <w:r w:rsidR="005B3043">
        <w:rPr>
          <w:color w:val="21286C"/>
        </w:rPr>
        <w:t xml:space="preserve">να </w:t>
      </w:r>
      <w:r w:rsidR="00A14C35" w:rsidRPr="00A14C35">
        <w:rPr>
          <w:color w:val="21286C"/>
        </w:rPr>
        <w:t>έχει οριστεί για τις 3 Ιουλίου 2025.</w:t>
      </w:r>
      <w:r w:rsidR="00731860">
        <w:rPr>
          <w:color w:val="21286C"/>
        </w:rPr>
        <w:tab/>
      </w:r>
      <w:r w:rsidR="00006648">
        <w:rPr>
          <w:color w:val="21286C"/>
        </w:rPr>
        <w:br/>
        <w:t>Τέλος</w:t>
      </w:r>
      <w:r>
        <w:rPr>
          <w:color w:val="21286C"/>
        </w:rPr>
        <w:t>, το Διοικητικό Συμβούλιο</w:t>
      </w:r>
      <w:r w:rsidR="00006648">
        <w:rPr>
          <w:color w:val="21286C"/>
        </w:rPr>
        <w:t>,</w:t>
      </w:r>
      <w:r w:rsidR="00006648" w:rsidRPr="00006648">
        <w:rPr>
          <w:color w:val="21286C"/>
        </w:rPr>
        <w:t xml:space="preserve"> </w:t>
      </w:r>
      <w:r w:rsidR="00006648">
        <w:rPr>
          <w:color w:val="21286C"/>
        </w:rPr>
        <w:t xml:space="preserve">στη συνεδρίαση της 7ης Μαΐου 2025, </w:t>
      </w:r>
      <w:r>
        <w:rPr>
          <w:color w:val="21286C"/>
        </w:rPr>
        <w:t xml:space="preserve">αποφάσισε να προβεί σε νέο πρόγραμμα </w:t>
      </w:r>
      <w:r w:rsidR="00006648">
        <w:rPr>
          <w:color w:val="21286C"/>
        </w:rPr>
        <w:t xml:space="preserve">αγοράς </w:t>
      </w:r>
      <w:r w:rsidR="006D7099">
        <w:rPr>
          <w:color w:val="21286C"/>
        </w:rPr>
        <w:t>ιδίων</w:t>
      </w:r>
      <w:r w:rsidR="00006648">
        <w:rPr>
          <w:color w:val="21286C"/>
        </w:rPr>
        <w:t xml:space="preserve"> </w:t>
      </w:r>
      <w:r>
        <w:rPr>
          <w:color w:val="21286C"/>
        </w:rPr>
        <w:t xml:space="preserve">μετοχών, </w:t>
      </w:r>
      <w:r w:rsidR="00006648">
        <w:rPr>
          <w:color w:val="21286C"/>
        </w:rPr>
        <w:t xml:space="preserve">ύψους </w:t>
      </w:r>
      <w:r w:rsidR="00ED421F">
        <w:rPr>
          <w:color w:val="21286C"/>
        </w:rPr>
        <w:t>έως</w:t>
      </w:r>
      <w:r>
        <w:rPr>
          <w:color w:val="21286C"/>
        </w:rPr>
        <w:t xml:space="preserve"> €10 εκ., το οποίο θα αρχίσει μετά τη λήξη του υφιστάμενου προγράμματος,</w:t>
      </w:r>
      <w:r w:rsidR="00290C73">
        <w:rPr>
          <w:color w:val="21286C"/>
        </w:rPr>
        <w:t xml:space="preserve"> </w:t>
      </w:r>
      <w:r>
        <w:rPr>
          <w:color w:val="21286C"/>
        </w:rPr>
        <w:t>στα τέλη Ιουνίου 2025, και εκτιμάται ότι θα ολοκληρωθεί έως την 31η Μαρτίου 2026.</w:t>
      </w:r>
    </w:p>
    <w:p w14:paraId="19A4D494" w14:textId="47022F10" w:rsidR="00AA4C96" w:rsidRPr="00717BD4" w:rsidRDefault="00AA4C96" w:rsidP="00AA4C96">
      <w:pPr>
        <w:pStyle w:val="C"/>
        <w:spacing w:line="240" w:lineRule="auto"/>
        <w:jc w:val="both"/>
        <w:rPr>
          <w:rFonts w:eastAsia="Times New Roman"/>
          <w:b w:val="0"/>
          <w:color w:val="21286C"/>
          <w:sz w:val="27"/>
          <w:szCs w:val="27"/>
        </w:rPr>
      </w:pPr>
      <w:r>
        <w:rPr>
          <w:rFonts w:cs="Calibri"/>
          <w:noProof/>
          <w:color w:val="21286C"/>
          <w:lang w:val="en-US" w:eastAsia="en-US" w:bidi="ar-SA"/>
        </w:rPr>
        <mc:AlternateContent>
          <mc:Choice Requires="wps">
            <w:drawing>
              <wp:anchor distT="0" distB="0" distL="114300" distR="114300" simplePos="0" relativeHeight="251658240" behindDoc="0" locked="0" layoutInCell="1" allowOverlap="1" wp14:anchorId="5C93DFA6" wp14:editId="2142C48A">
                <wp:simplePos x="0" y="0"/>
                <wp:positionH relativeFrom="column">
                  <wp:posOffset>-1634</wp:posOffset>
                </wp:positionH>
                <wp:positionV relativeFrom="paragraph">
                  <wp:posOffset>231428</wp:posOffset>
                </wp:positionV>
                <wp:extent cx="6116491" cy="19210"/>
                <wp:effectExtent l="0" t="0" r="17780" b="19050"/>
                <wp:wrapNone/>
                <wp:docPr id="14" name="Straight Connector 14"/>
                <wp:cNvGraphicFramePr/>
                <a:graphic xmlns:a="http://schemas.openxmlformats.org/drawingml/2006/main">
                  <a:graphicData uri="http://schemas.microsoft.com/office/word/2010/wordprocessingShape">
                    <wps:wsp>
                      <wps:cNvCnPr/>
                      <wps:spPr>
                        <a:xfrm>
                          <a:off x="0" y="0"/>
                          <a:ext cx="6116491" cy="19210"/>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C389B11"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2pt" to="481.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" strokecolor="#00183d" strokeweight=".25pt"/>
            </w:pict>
          </mc:Fallback>
        </mc:AlternateContent>
      </w:r>
      <w:r>
        <w:rPr>
          <w:noProof/>
          <w:color w:val="21286C"/>
        </w:rPr>
        <w:t>Επιδόσεις γεωγραφικών τομέων για το πρώτο τρίμηνο του 2025</w:t>
      </w:r>
    </w:p>
    <w:tbl>
      <w:tblPr>
        <w:tblW w:w="9679" w:type="dxa"/>
        <w:tblLayout w:type="fixed"/>
        <w:tblLook w:val="04A0" w:firstRow="1" w:lastRow="0" w:firstColumn="1" w:lastColumn="0" w:noHBand="0" w:noVBand="1"/>
      </w:tblPr>
      <w:tblGrid>
        <w:gridCol w:w="2552"/>
        <w:gridCol w:w="1417"/>
        <w:gridCol w:w="1134"/>
        <w:gridCol w:w="877"/>
        <w:gridCol w:w="283"/>
        <w:gridCol w:w="1280"/>
        <w:gridCol w:w="1280"/>
        <w:gridCol w:w="856"/>
      </w:tblGrid>
      <w:tr w:rsidR="00BD566F" w:rsidRPr="00CC2B3E" w14:paraId="158946FC" w14:textId="77777777" w:rsidTr="00C6227F">
        <w:trPr>
          <w:trHeight w:val="238"/>
        </w:trPr>
        <w:tc>
          <w:tcPr>
            <w:tcW w:w="2552" w:type="dxa"/>
            <w:tcBorders>
              <w:top w:val="nil"/>
              <w:left w:val="nil"/>
              <w:bottom w:val="nil"/>
              <w:right w:val="nil"/>
            </w:tcBorders>
            <w:shd w:val="clear" w:color="auto" w:fill="auto"/>
            <w:noWrap/>
            <w:vAlign w:val="center"/>
          </w:tcPr>
          <w:p w14:paraId="7CCDB882" w14:textId="77777777" w:rsidR="00BD566F" w:rsidRPr="009C4B7F" w:rsidRDefault="00BD566F" w:rsidP="00C6227F">
            <w:pPr>
              <w:rPr>
                <w:rFonts w:asciiTheme="minorHAnsi" w:eastAsia="Calibri" w:hAnsiTheme="minorHAnsi" w:cstheme="minorHAnsi"/>
                <w:i/>
                <w:iCs/>
                <w:color w:val="00183D"/>
                <w:sz w:val="14"/>
                <w:szCs w:val="14"/>
                <w:lang w:eastAsia="en-GB"/>
              </w:rPr>
            </w:pPr>
          </w:p>
        </w:tc>
        <w:tc>
          <w:tcPr>
            <w:tcW w:w="3428" w:type="dxa"/>
            <w:gridSpan w:val="3"/>
            <w:tcBorders>
              <w:top w:val="nil"/>
              <w:left w:val="nil"/>
              <w:bottom w:val="nil"/>
              <w:right w:val="nil"/>
            </w:tcBorders>
            <w:shd w:val="clear" w:color="auto" w:fill="auto"/>
            <w:noWrap/>
            <w:vAlign w:val="center"/>
          </w:tcPr>
          <w:p w14:paraId="7B2C5BBE" w14:textId="77777777" w:rsidR="00BD566F" w:rsidRPr="00A927F7" w:rsidRDefault="00BD566F" w:rsidP="00C6227F">
            <w:pPr>
              <w:jc w:val="center"/>
              <w:rPr>
                <w:rFonts w:ascii="Calibri" w:eastAsia="Calibri" w:hAnsi="Calibri" w:cs="Calibri"/>
                <w:b/>
                <w:i/>
                <w:color w:val="21286C"/>
                <w:sz w:val="21"/>
                <w:szCs w:val="21"/>
                <w:lang w:eastAsia="en-GB"/>
              </w:rPr>
            </w:pPr>
            <w:r w:rsidRPr="00A927F7">
              <w:rPr>
                <w:rFonts w:ascii="Calibri" w:eastAsia="Calibri" w:hAnsi="Calibri" w:cs="Calibri"/>
                <w:b/>
                <w:i/>
                <w:color w:val="21286C"/>
                <w:sz w:val="21"/>
                <w:szCs w:val="21"/>
                <w:lang w:eastAsia="en-GB"/>
              </w:rPr>
              <w:t>Πωλήσεις</w:t>
            </w:r>
          </w:p>
        </w:tc>
        <w:tc>
          <w:tcPr>
            <w:tcW w:w="283" w:type="dxa"/>
            <w:tcBorders>
              <w:left w:val="nil"/>
              <w:bottom w:val="nil"/>
              <w:right w:val="nil"/>
            </w:tcBorders>
            <w:shd w:val="clear" w:color="auto" w:fill="auto"/>
          </w:tcPr>
          <w:p w14:paraId="6FC8866D" w14:textId="77777777" w:rsidR="00BD566F" w:rsidRPr="00A927F7" w:rsidRDefault="00BD566F" w:rsidP="00C6227F">
            <w:pPr>
              <w:jc w:val="right"/>
              <w:rPr>
                <w:rFonts w:ascii="Calibri" w:eastAsia="Calibri" w:hAnsi="Calibri" w:cs="Calibri"/>
                <w:b/>
                <w:color w:val="21286C"/>
                <w:sz w:val="21"/>
                <w:szCs w:val="21"/>
                <w:lang w:val="en-GB" w:eastAsia="en-GB"/>
              </w:rPr>
            </w:pPr>
          </w:p>
        </w:tc>
        <w:tc>
          <w:tcPr>
            <w:tcW w:w="3416" w:type="dxa"/>
            <w:gridSpan w:val="3"/>
            <w:tcBorders>
              <w:top w:val="nil"/>
              <w:left w:val="nil"/>
              <w:bottom w:val="nil"/>
              <w:right w:val="nil"/>
            </w:tcBorders>
            <w:vAlign w:val="center"/>
          </w:tcPr>
          <w:p w14:paraId="7AD9EDEB" w14:textId="77777777" w:rsidR="00BD566F" w:rsidRPr="00A927F7" w:rsidRDefault="00BD566F" w:rsidP="00C6227F">
            <w:pPr>
              <w:jc w:val="center"/>
              <w:rPr>
                <w:rFonts w:ascii="Calibri" w:eastAsia="Calibri" w:hAnsi="Calibri" w:cs="Calibri"/>
                <w:b/>
                <w:i/>
                <w:color w:val="21286C"/>
                <w:sz w:val="21"/>
                <w:szCs w:val="21"/>
                <w:lang w:val="en-GB" w:eastAsia="en-GB"/>
              </w:rPr>
            </w:pPr>
            <w:r w:rsidRPr="00A927F7">
              <w:rPr>
                <w:rFonts w:ascii="Calibri" w:eastAsia="Calibri" w:hAnsi="Calibri" w:cs="Calibri"/>
                <w:b/>
                <w:i/>
                <w:color w:val="21286C"/>
                <w:sz w:val="21"/>
                <w:szCs w:val="21"/>
                <w:lang w:val="en-GB" w:eastAsia="en-GB"/>
              </w:rPr>
              <w:t>EBITDA</w:t>
            </w:r>
          </w:p>
        </w:tc>
      </w:tr>
      <w:tr w:rsidR="00BD566F" w:rsidRPr="00CC2B3E" w14:paraId="4C6FE04E" w14:textId="77777777" w:rsidTr="00C6227F">
        <w:trPr>
          <w:trHeight w:val="761"/>
        </w:trPr>
        <w:tc>
          <w:tcPr>
            <w:tcW w:w="2552" w:type="dxa"/>
            <w:tcBorders>
              <w:top w:val="nil"/>
              <w:left w:val="nil"/>
              <w:bottom w:val="nil"/>
              <w:right w:val="nil"/>
            </w:tcBorders>
            <w:shd w:val="clear" w:color="auto" w:fill="auto"/>
            <w:noWrap/>
            <w:vAlign w:val="center"/>
            <w:hideMark/>
          </w:tcPr>
          <w:p w14:paraId="4E74F9B4" w14:textId="77777777" w:rsidR="00BD566F" w:rsidRPr="00875A45" w:rsidRDefault="00BD566F" w:rsidP="00C6227F">
            <w:pPr>
              <w:rPr>
                <w:rFonts w:asciiTheme="minorHAnsi" w:eastAsia="Calibri" w:hAnsiTheme="minorHAnsi" w:cstheme="minorHAnsi"/>
                <w:i/>
                <w:iCs/>
                <w:color w:val="00183D"/>
                <w:sz w:val="14"/>
                <w:szCs w:val="14"/>
                <w:lang w:eastAsia="en-GB"/>
              </w:rPr>
            </w:pPr>
            <w:r w:rsidRPr="00E140B2">
              <w:rPr>
                <w:rFonts w:ascii="Calibri" w:eastAsia="Calibri" w:hAnsi="Calibri" w:cs="Calibri"/>
                <w:i/>
                <w:iCs/>
                <w:color w:val="21286C"/>
                <w:sz w:val="14"/>
                <w:szCs w:val="14"/>
                <w:lang w:eastAsia="en-GB"/>
              </w:rPr>
              <w:t>Σε εκατομμύρια ευρώ, εκτός εάν ορίζεται διαφορετικά</w:t>
            </w:r>
          </w:p>
        </w:tc>
        <w:tc>
          <w:tcPr>
            <w:tcW w:w="1417" w:type="dxa"/>
            <w:tcBorders>
              <w:top w:val="single" w:sz="4" w:space="0" w:color="auto"/>
              <w:left w:val="nil"/>
              <w:bottom w:val="nil"/>
              <w:right w:val="nil"/>
            </w:tcBorders>
            <w:shd w:val="clear" w:color="auto" w:fill="F2F2F2" w:themeFill="background1" w:themeFillShade="F2"/>
            <w:noWrap/>
            <w:vAlign w:val="center"/>
            <w:hideMark/>
          </w:tcPr>
          <w:p w14:paraId="789C4528" w14:textId="3836F850" w:rsidR="00BD566F" w:rsidRPr="00034702" w:rsidRDefault="00BD566F" w:rsidP="00C6227F">
            <w:pPr>
              <w:jc w:val="right"/>
              <w:rPr>
                <w:rFonts w:ascii="Calibri" w:eastAsia="Calibri" w:hAnsi="Calibri" w:cs="Calibri"/>
                <w:b/>
                <w:color w:val="01B1D7"/>
                <w:sz w:val="21"/>
                <w:szCs w:val="21"/>
                <w:lang w:val="en-GB" w:eastAsia="en-GB"/>
              </w:rPr>
            </w:pPr>
            <w:r w:rsidRPr="00034702">
              <w:rPr>
                <w:rFonts w:ascii="Calibri" w:eastAsia="Calibri" w:hAnsi="Calibri" w:cs="Calibri"/>
                <w:b/>
                <w:color w:val="01B1D7"/>
                <w:sz w:val="21"/>
                <w:szCs w:val="21"/>
                <w:lang w:eastAsia="en-GB"/>
              </w:rPr>
              <w:t xml:space="preserve"> 1</w:t>
            </w:r>
            <w:r w:rsidRPr="00034702">
              <w:rPr>
                <w:rFonts w:ascii="Calibri" w:eastAsia="Calibri" w:hAnsi="Calibri" w:cs="Calibri"/>
                <w:b/>
                <w:color w:val="01B1D7"/>
                <w:sz w:val="21"/>
                <w:szCs w:val="21"/>
                <w:vertAlign w:val="superscript"/>
                <w:lang w:eastAsia="en-GB"/>
              </w:rPr>
              <w:t>ο</w:t>
            </w:r>
            <w:r w:rsidRPr="00034702">
              <w:rPr>
                <w:rFonts w:ascii="Calibri" w:eastAsia="Calibri" w:hAnsi="Calibri" w:cs="Calibri"/>
                <w:b/>
                <w:color w:val="01B1D7"/>
                <w:sz w:val="21"/>
                <w:szCs w:val="21"/>
                <w:lang w:eastAsia="en-GB"/>
              </w:rPr>
              <w:t xml:space="preserve"> Τρίμηνο</w:t>
            </w:r>
            <w:r w:rsidRPr="00034702">
              <w:rPr>
                <w:rFonts w:ascii="Calibri" w:eastAsia="Calibri" w:hAnsi="Calibri" w:cs="Calibri"/>
                <w:b/>
                <w:color w:val="01B1D7"/>
                <w:sz w:val="21"/>
                <w:szCs w:val="21"/>
                <w:lang w:val="en-GB" w:eastAsia="en-GB"/>
              </w:rPr>
              <w:t xml:space="preserve"> 202</w:t>
            </w:r>
            <w:r w:rsidR="00415923">
              <w:rPr>
                <w:rFonts w:ascii="Calibri" w:eastAsia="Calibri" w:hAnsi="Calibri" w:cs="Calibri"/>
                <w:b/>
                <w:color w:val="01B1D7"/>
                <w:sz w:val="21"/>
                <w:szCs w:val="21"/>
                <w:lang w:val="en-US" w:eastAsia="en-GB"/>
              </w:rPr>
              <w:t>5</w:t>
            </w:r>
            <w:r w:rsidRPr="00034702">
              <w:rPr>
                <w:rFonts w:ascii="Calibri" w:eastAsia="Calibri" w:hAnsi="Calibri" w:cs="Calibri"/>
                <w:b/>
                <w:color w:val="01B1D7"/>
                <w:sz w:val="21"/>
                <w:szCs w:val="21"/>
                <w:lang w:val="en-GB" w:eastAsia="en-GB"/>
              </w:rPr>
              <w:t xml:space="preserve"> </w:t>
            </w:r>
          </w:p>
        </w:tc>
        <w:tc>
          <w:tcPr>
            <w:tcW w:w="1134" w:type="dxa"/>
            <w:tcBorders>
              <w:top w:val="single" w:sz="4" w:space="0" w:color="auto"/>
              <w:left w:val="nil"/>
              <w:bottom w:val="nil"/>
              <w:right w:val="nil"/>
            </w:tcBorders>
            <w:vAlign w:val="center"/>
          </w:tcPr>
          <w:p w14:paraId="1E15F669" w14:textId="2B9058C7" w:rsidR="00BD566F" w:rsidRPr="00034702" w:rsidRDefault="00BD566F" w:rsidP="00C6227F">
            <w:pPr>
              <w:jc w:val="right"/>
              <w:rPr>
                <w:rFonts w:ascii="Calibri" w:eastAsia="Calibri" w:hAnsi="Calibri" w:cs="Calibri"/>
                <w:b/>
                <w:color w:val="21286C"/>
                <w:sz w:val="21"/>
                <w:szCs w:val="21"/>
                <w:lang w:eastAsia="en-GB"/>
              </w:rPr>
            </w:pPr>
            <w:r w:rsidRPr="00034702">
              <w:rPr>
                <w:rFonts w:ascii="Calibri" w:eastAsia="Calibri" w:hAnsi="Calibri" w:cs="Calibri"/>
                <w:b/>
                <w:color w:val="21286C"/>
                <w:sz w:val="21"/>
                <w:szCs w:val="21"/>
                <w:lang w:eastAsia="en-GB"/>
              </w:rPr>
              <w:t>1</w:t>
            </w:r>
            <w:r w:rsidRPr="00034702">
              <w:rPr>
                <w:rFonts w:ascii="Calibri" w:eastAsia="Calibri" w:hAnsi="Calibri" w:cs="Calibri"/>
                <w:b/>
                <w:color w:val="21286C"/>
                <w:sz w:val="21"/>
                <w:szCs w:val="21"/>
                <w:vertAlign w:val="superscript"/>
                <w:lang w:eastAsia="en-GB"/>
              </w:rPr>
              <w:t>ο</w:t>
            </w:r>
            <w:r w:rsidRPr="00034702">
              <w:rPr>
                <w:rFonts w:ascii="Calibri" w:eastAsia="Calibri" w:hAnsi="Calibri" w:cs="Calibri"/>
                <w:b/>
                <w:color w:val="21286C"/>
                <w:sz w:val="21"/>
                <w:szCs w:val="21"/>
                <w:lang w:eastAsia="en-GB"/>
              </w:rPr>
              <w:t xml:space="preserve">Τρίμηνο </w:t>
            </w:r>
            <w:r w:rsidRPr="00034702">
              <w:rPr>
                <w:rFonts w:ascii="Calibri" w:eastAsia="Calibri" w:hAnsi="Calibri" w:cs="Calibri"/>
                <w:b/>
                <w:color w:val="21286C"/>
                <w:sz w:val="21"/>
                <w:szCs w:val="21"/>
                <w:lang w:val="en-GB" w:eastAsia="en-GB"/>
              </w:rPr>
              <w:t>202</w:t>
            </w:r>
            <w:r w:rsidR="00415923">
              <w:rPr>
                <w:rFonts w:ascii="Calibri" w:eastAsia="Calibri" w:hAnsi="Calibri" w:cs="Calibri"/>
                <w:b/>
                <w:color w:val="21286C"/>
                <w:sz w:val="21"/>
                <w:szCs w:val="21"/>
                <w:lang w:val="en-GB" w:eastAsia="en-GB"/>
              </w:rPr>
              <w:t>4</w:t>
            </w:r>
            <w:r w:rsidRPr="00034702">
              <w:rPr>
                <w:rFonts w:ascii="Calibri" w:eastAsia="Calibri" w:hAnsi="Calibri" w:cs="Calibri"/>
                <w:b/>
                <w:color w:val="21286C"/>
                <w:sz w:val="21"/>
                <w:szCs w:val="21"/>
                <w:lang w:val="en-GB" w:eastAsia="en-GB"/>
              </w:rPr>
              <w:t xml:space="preserve"> </w:t>
            </w:r>
          </w:p>
        </w:tc>
        <w:tc>
          <w:tcPr>
            <w:tcW w:w="877" w:type="dxa"/>
            <w:tcBorders>
              <w:top w:val="single" w:sz="4" w:space="0" w:color="auto"/>
              <w:left w:val="nil"/>
              <w:bottom w:val="nil"/>
              <w:right w:val="nil"/>
            </w:tcBorders>
            <w:shd w:val="clear" w:color="auto" w:fill="auto"/>
            <w:noWrap/>
            <w:vAlign w:val="center"/>
            <w:hideMark/>
          </w:tcPr>
          <w:p w14:paraId="4B9ADCC1" w14:textId="77777777" w:rsidR="00BD566F" w:rsidRPr="00034702" w:rsidRDefault="00BD566F" w:rsidP="00C6227F">
            <w:pPr>
              <w:jc w:val="right"/>
              <w:rPr>
                <w:rFonts w:ascii="Calibri" w:eastAsia="Calibri" w:hAnsi="Calibri" w:cs="Calibri"/>
                <w:b/>
                <w:i/>
                <w:color w:val="21286C"/>
                <w:sz w:val="21"/>
                <w:szCs w:val="21"/>
                <w:lang w:val="en-GB" w:eastAsia="en-GB"/>
              </w:rPr>
            </w:pPr>
            <w:r w:rsidRPr="00034702">
              <w:rPr>
                <w:rFonts w:ascii="Calibri" w:eastAsia="Calibri" w:hAnsi="Calibri" w:cs="Calibri"/>
                <w:b/>
                <w:i/>
                <w:color w:val="21286C"/>
                <w:sz w:val="21"/>
                <w:szCs w:val="21"/>
                <w:lang w:val="en-GB" w:eastAsia="en-GB"/>
              </w:rPr>
              <w:t>%</w:t>
            </w:r>
            <w:r w:rsidRPr="00034702">
              <w:rPr>
                <w:rFonts w:ascii="Calibri" w:eastAsia="Calibri" w:hAnsi="Calibri" w:cs="Calibri"/>
                <w:b/>
                <w:i/>
                <w:color w:val="21286C"/>
                <w:sz w:val="21"/>
                <w:szCs w:val="21"/>
                <w:lang w:val="en-GB" w:eastAsia="en-GB"/>
              </w:rPr>
              <w:br/>
            </w:r>
          </w:p>
        </w:tc>
        <w:tc>
          <w:tcPr>
            <w:tcW w:w="283" w:type="dxa"/>
            <w:vMerge w:val="restart"/>
            <w:tcBorders>
              <w:left w:val="nil"/>
              <w:right w:val="nil"/>
            </w:tcBorders>
            <w:shd w:val="clear" w:color="auto" w:fill="A6A6A6" w:themeFill="background1" w:themeFillShade="A6"/>
          </w:tcPr>
          <w:p w14:paraId="0F13C450" w14:textId="77777777" w:rsidR="00BD566F" w:rsidRPr="00034702" w:rsidRDefault="00BD566F" w:rsidP="00C6227F">
            <w:pPr>
              <w:jc w:val="right"/>
              <w:rPr>
                <w:rFonts w:ascii="Calibri" w:eastAsia="Calibri" w:hAnsi="Calibri" w:cs="Calibri"/>
                <w:b/>
                <w:color w:val="21286C"/>
                <w:sz w:val="21"/>
                <w:szCs w:val="21"/>
                <w:lang w:val="en-GB" w:eastAsia="en-GB"/>
              </w:rPr>
            </w:pPr>
          </w:p>
        </w:tc>
        <w:tc>
          <w:tcPr>
            <w:tcW w:w="1280" w:type="dxa"/>
            <w:tcBorders>
              <w:top w:val="single" w:sz="4" w:space="0" w:color="auto"/>
              <w:left w:val="nil"/>
              <w:bottom w:val="nil"/>
              <w:right w:val="nil"/>
            </w:tcBorders>
            <w:shd w:val="clear" w:color="auto" w:fill="F2F2F2" w:themeFill="background1" w:themeFillShade="F2"/>
            <w:vAlign w:val="center"/>
          </w:tcPr>
          <w:p w14:paraId="045EEFA2" w14:textId="564894B4" w:rsidR="00BD566F" w:rsidRPr="00034702" w:rsidRDefault="00BD566F" w:rsidP="00C6227F">
            <w:pPr>
              <w:ind w:left="-125"/>
              <w:jc w:val="right"/>
              <w:rPr>
                <w:rFonts w:ascii="Calibri" w:eastAsia="Calibri" w:hAnsi="Calibri" w:cs="Calibri"/>
                <w:b/>
                <w:color w:val="01B1D7"/>
                <w:sz w:val="21"/>
                <w:szCs w:val="21"/>
                <w:lang w:val="en-GB" w:eastAsia="en-GB"/>
              </w:rPr>
            </w:pPr>
            <w:r w:rsidRPr="00034702">
              <w:rPr>
                <w:rFonts w:ascii="Calibri" w:eastAsia="Calibri" w:hAnsi="Calibri" w:cs="Calibri"/>
                <w:b/>
                <w:color w:val="01B1D7"/>
                <w:sz w:val="21"/>
                <w:szCs w:val="21"/>
                <w:lang w:eastAsia="en-GB"/>
              </w:rPr>
              <w:t>1</w:t>
            </w:r>
            <w:r w:rsidRPr="00034702">
              <w:rPr>
                <w:rFonts w:ascii="Calibri" w:eastAsia="Calibri" w:hAnsi="Calibri" w:cs="Calibri"/>
                <w:b/>
                <w:color w:val="01B1D7"/>
                <w:sz w:val="21"/>
                <w:szCs w:val="21"/>
                <w:vertAlign w:val="superscript"/>
                <w:lang w:eastAsia="en-GB"/>
              </w:rPr>
              <w:t>ο</w:t>
            </w:r>
            <w:r w:rsidRPr="00034702">
              <w:rPr>
                <w:rFonts w:ascii="Calibri" w:eastAsia="Calibri" w:hAnsi="Calibri" w:cs="Calibri"/>
                <w:b/>
                <w:color w:val="01B1D7"/>
                <w:sz w:val="21"/>
                <w:szCs w:val="21"/>
                <w:lang w:eastAsia="en-GB"/>
              </w:rPr>
              <w:t xml:space="preserve"> Τρίμηνο</w:t>
            </w:r>
            <w:r w:rsidRPr="00034702">
              <w:rPr>
                <w:rFonts w:ascii="Calibri" w:eastAsia="Calibri" w:hAnsi="Calibri" w:cs="Calibri"/>
                <w:b/>
                <w:color w:val="01B1D7"/>
                <w:sz w:val="21"/>
                <w:szCs w:val="21"/>
                <w:lang w:val="en-GB" w:eastAsia="en-GB"/>
              </w:rPr>
              <w:t xml:space="preserve"> 202</w:t>
            </w:r>
            <w:r w:rsidR="00415923">
              <w:rPr>
                <w:rFonts w:ascii="Calibri" w:eastAsia="Calibri" w:hAnsi="Calibri" w:cs="Calibri"/>
                <w:b/>
                <w:color w:val="01B1D7"/>
                <w:sz w:val="21"/>
                <w:szCs w:val="21"/>
                <w:lang w:val="en-US" w:eastAsia="en-GB"/>
              </w:rPr>
              <w:t>5</w:t>
            </w:r>
            <w:r w:rsidRPr="00034702">
              <w:rPr>
                <w:rFonts w:ascii="Calibri" w:eastAsia="Calibri" w:hAnsi="Calibri" w:cs="Calibri"/>
                <w:b/>
                <w:color w:val="01B1D7"/>
                <w:sz w:val="21"/>
                <w:szCs w:val="21"/>
                <w:lang w:val="en-GB" w:eastAsia="en-GB"/>
              </w:rPr>
              <w:t xml:space="preserve"> </w:t>
            </w:r>
          </w:p>
        </w:tc>
        <w:tc>
          <w:tcPr>
            <w:tcW w:w="1280" w:type="dxa"/>
            <w:tcBorders>
              <w:top w:val="single" w:sz="4" w:space="0" w:color="auto"/>
              <w:left w:val="nil"/>
              <w:bottom w:val="nil"/>
              <w:right w:val="nil"/>
            </w:tcBorders>
            <w:vAlign w:val="center"/>
          </w:tcPr>
          <w:p w14:paraId="491BC0AA" w14:textId="67DCD36E" w:rsidR="00BD566F" w:rsidRPr="00034702" w:rsidRDefault="00BD566F" w:rsidP="00C6227F">
            <w:pPr>
              <w:jc w:val="right"/>
              <w:rPr>
                <w:rFonts w:ascii="Calibri" w:eastAsia="Calibri" w:hAnsi="Calibri" w:cs="Calibri"/>
                <w:b/>
                <w:i/>
                <w:color w:val="21286C"/>
                <w:sz w:val="21"/>
                <w:szCs w:val="21"/>
                <w:lang w:val="en-GB" w:eastAsia="en-GB"/>
              </w:rPr>
            </w:pPr>
            <w:r w:rsidRPr="00034702">
              <w:rPr>
                <w:rFonts w:ascii="Calibri" w:eastAsia="Calibri" w:hAnsi="Calibri" w:cs="Calibri"/>
                <w:b/>
                <w:color w:val="21286C"/>
                <w:sz w:val="21"/>
                <w:szCs w:val="21"/>
                <w:lang w:eastAsia="en-GB"/>
              </w:rPr>
              <w:t>1</w:t>
            </w:r>
            <w:r w:rsidRPr="00034702">
              <w:rPr>
                <w:rFonts w:ascii="Calibri" w:eastAsia="Calibri" w:hAnsi="Calibri" w:cs="Calibri"/>
                <w:b/>
                <w:color w:val="21286C"/>
                <w:sz w:val="21"/>
                <w:szCs w:val="21"/>
                <w:vertAlign w:val="superscript"/>
                <w:lang w:eastAsia="en-GB"/>
              </w:rPr>
              <w:t xml:space="preserve">ο </w:t>
            </w:r>
            <w:r w:rsidRPr="00034702">
              <w:rPr>
                <w:rFonts w:ascii="Calibri" w:eastAsia="Calibri" w:hAnsi="Calibri" w:cs="Calibri"/>
                <w:b/>
                <w:color w:val="21286C"/>
                <w:sz w:val="21"/>
                <w:szCs w:val="21"/>
                <w:lang w:eastAsia="en-GB"/>
              </w:rPr>
              <w:t>Τρίμηνο</w:t>
            </w:r>
            <w:r w:rsidRPr="00034702">
              <w:rPr>
                <w:rFonts w:ascii="Calibri" w:eastAsia="Calibri" w:hAnsi="Calibri" w:cs="Calibri"/>
                <w:b/>
                <w:color w:val="21286C"/>
                <w:sz w:val="21"/>
                <w:szCs w:val="21"/>
                <w:lang w:val="en-GB" w:eastAsia="en-GB"/>
              </w:rPr>
              <w:t xml:space="preserve"> 202</w:t>
            </w:r>
            <w:r w:rsidR="00415923">
              <w:rPr>
                <w:rFonts w:ascii="Calibri" w:eastAsia="Calibri" w:hAnsi="Calibri" w:cs="Calibri"/>
                <w:b/>
                <w:color w:val="21286C"/>
                <w:sz w:val="21"/>
                <w:szCs w:val="21"/>
                <w:lang w:val="en-US" w:eastAsia="en-GB"/>
              </w:rPr>
              <w:t>4</w:t>
            </w:r>
            <w:r w:rsidRPr="00034702">
              <w:rPr>
                <w:rFonts w:ascii="Calibri" w:eastAsia="Calibri" w:hAnsi="Calibri" w:cs="Calibri"/>
                <w:b/>
                <w:color w:val="21286C"/>
                <w:sz w:val="21"/>
                <w:szCs w:val="21"/>
                <w:lang w:val="en-GB" w:eastAsia="en-GB"/>
              </w:rPr>
              <w:t xml:space="preserve"> </w:t>
            </w:r>
          </w:p>
        </w:tc>
        <w:tc>
          <w:tcPr>
            <w:tcW w:w="856" w:type="dxa"/>
            <w:tcBorders>
              <w:top w:val="single" w:sz="4" w:space="0" w:color="auto"/>
              <w:left w:val="nil"/>
              <w:bottom w:val="nil"/>
              <w:right w:val="nil"/>
            </w:tcBorders>
            <w:vAlign w:val="center"/>
          </w:tcPr>
          <w:p w14:paraId="48BB170B" w14:textId="77777777" w:rsidR="00BD566F" w:rsidRPr="00034702" w:rsidRDefault="00BD566F" w:rsidP="00C6227F">
            <w:pPr>
              <w:jc w:val="right"/>
              <w:rPr>
                <w:rFonts w:ascii="Calibri" w:eastAsia="Calibri" w:hAnsi="Calibri" w:cs="Calibri"/>
                <w:b/>
                <w:i/>
                <w:color w:val="21286C"/>
                <w:sz w:val="21"/>
                <w:szCs w:val="21"/>
                <w:lang w:val="en-GB" w:eastAsia="en-GB"/>
              </w:rPr>
            </w:pPr>
            <w:r w:rsidRPr="00034702">
              <w:rPr>
                <w:rFonts w:ascii="Calibri" w:eastAsia="Calibri" w:hAnsi="Calibri" w:cs="Calibri"/>
                <w:b/>
                <w:i/>
                <w:color w:val="21286C"/>
                <w:sz w:val="21"/>
                <w:szCs w:val="21"/>
                <w:lang w:val="en-GB" w:eastAsia="en-GB"/>
              </w:rPr>
              <w:t>%</w:t>
            </w:r>
            <w:r w:rsidRPr="00034702">
              <w:rPr>
                <w:rFonts w:ascii="Calibri" w:eastAsia="Calibri" w:hAnsi="Calibri" w:cs="Calibri"/>
                <w:b/>
                <w:i/>
                <w:color w:val="21286C"/>
                <w:sz w:val="21"/>
                <w:szCs w:val="21"/>
                <w:lang w:val="en-GB" w:eastAsia="en-GB"/>
              </w:rPr>
              <w:br/>
            </w:r>
          </w:p>
        </w:tc>
      </w:tr>
      <w:tr w:rsidR="00415923" w:rsidRPr="00CC2B3E" w14:paraId="48340E2F" w14:textId="77777777" w:rsidTr="00C6227F">
        <w:trPr>
          <w:trHeight w:val="334"/>
        </w:trPr>
        <w:tc>
          <w:tcPr>
            <w:tcW w:w="2552" w:type="dxa"/>
            <w:tcBorders>
              <w:top w:val="single" w:sz="4" w:space="0" w:color="auto"/>
              <w:left w:val="nil"/>
              <w:bottom w:val="single" w:sz="4" w:space="0" w:color="auto"/>
              <w:right w:val="nil"/>
            </w:tcBorders>
            <w:shd w:val="clear" w:color="auto" w:fill="auto"/>
            <w:noWrap/>
            <w:vAlign w:val="center"/>
            <w:hideMark/>
          </w:tcPr>
          <w:p w14:paraId="7AFCEBF8" w14:textId="77777777" w:rsidR="00415923" w:rsidRPr="006122F8" w:rsidRDefault="00415923" w:rsidP="00415923">
            <w:pPr>
              <w:rPr>
                <w:rFonts w:asciiTheme="minorHAnsi" w:eastAsia="Calibri" w:hAnsiTheme="minorHAnsi" w:cstheme="minorHAnsi"/>
                <w:b/>
                <w:bCs/>
                <w:color w:val="21286C"/>
                <w:sz w:val="21"/>
                <w:szCs w:val="21"/>
                <w:lang w:eastAsia="en-GB"/>
              </w:rPr>
            </w:pPr>
            <w:r w:rsidRPr="006122F8">
              <w:rPr>
                <w:rFonts w:asciiTheme="minorHAnsi" w:eastAsia="Calibri" w:hAnsiTheme="minorHAnsi" w:cstheme="minorHAnsi"/>
                <w:b/>
                <w:bCs/>
                <w:color w:val="21286C"/>
                <w:sz w:val="21"/>
                <w:szCs w:val="21"/>
                <w:lang w:eastAsia="en-GB"/>
              </w:rPr>
              <w:t>ΗΠΑ</w:t>
            </w:r>
          </w:p>
        </w:tc>
        <w:tc>
          <w:tcPr>
            <w:tcW w:w="1417" w:type="dxa"/>
            <w:tcBorders>
              <w:top w:val="single" w:sz="4" w:space="0" w:color="auto"/>
              <w:left w:val="nil"/>
              <w:bottom w:val="single" w:sz="4" w:space="0" w:color="auto"/>
              <w:right w:val="nil"/>
            </w:tcBorders>
            <w:shd w:val="clear" w:color="auto" w:fill="F2F2F2" w:themeFill="background1" w:themeFillShade="F2"/>
            <w:noWrap/>
            <w:vAlign w:val="center"/>
          </w:tcPr>
          <w:p w14:paraId="53F58EEA" w14:textId="78D94AAB" w:rsidR="00415923" w:rsidRPr="00415923" w:rsidRDefault="00415923" w:rsidP="00415923">
            <w:pPr>
              <w:jc w:val="right"/>
              <w:rPr>
                <w:rFonts w:asciiTheme="minorHAnsi" w:eastAsia="Calibri" w:hAnsiTheme="minorHAnsi" w:cstheme="minorHAnsi"/>
                <w:color w:val="21286C"/>
                <w:sz w:val="21"/>
                <w:szCs w:val="21"/>
                <w:lang w:val="en-US" w:eastAsia="en-GB"/>
              </w:rPr>
            </w:pPr>
            <w:r>
              <w:rPr>
                <w:rFonts w:ascii="Calibri" w:eastAsia="Calibri" w:hAnsi="Calibri" w:cs="Calibri"/>
                <w:b/>
                <w:bCs/>
                <w:color w:val="21286C"/>
                <w:sz w:val="21"/>
                <w:szCs w:val="21"/>
                <w:lang w:val="en-GB" w:eastAsia="en-GB"/>
              </w:rPr>
              <w:t>372,5</w:t>
            </w:r>
          </w:p>
        </w:tc>
        <w:tc>
          <w:tcPr>
            <w:tcW w:w="1134" w:type="dxa"/>
            <w:tcBorders>
              <w:top w:val="single" w:sz="4" w:space="0" w:color="auto"/>
              <w:left w:val="nil"/>
              <w:bottom w:val="single" w:sz="4" w:space="0" w:color="auto"/>
              <w:right w:val="nil"/>
            </w:tcBorders>
            <w:vAlign w:val="center"/>
          </w:tcPr>
          <w:p w14:paraId="0E7890BC" w14:textId="763D70F4" w:rsidR="00415923" w:rsidRPr="00415923" w:rsidRDefault="00415923" w:rsidP="00415923">
            <w:pPr>
              <w:jc w:val="right"/>
              <w:rPr>
                <w:rFonts w:asciiTheme="minorHAnsi" w:eastAsia="Calibri" w:hAnsiTheme="minorHAnsi" w:cstheme="minorHAnsi"/>
                <w:color w:val="21286C"/>
                <w:sz w:val="21"/>
                <w:szCs w:val="21"/>
                <w:lang w:val="en-GB" w:eastAsia="en-GB"/>
              </w:rPr>
            </w:pPr>
            <w:r w:rsidRPr="00415923">
              <w:rPr>
                <w:rFonts w:ascii="Calibri" w:eastAsia="Calibri" w:hAnsi="Calibri" w:cs="Calibri"/>
                <w:color w:val="21286C"/>
                <w:sz w:val="21"/>
                <w:szCs w:val="21"/>
                <w:lang w:val="en-GB" w:eastAsia="en-GB"/>
              </w:rPr>
              <w:t>370</w:t>
            </w:r>
            <w:r w:rsidRPr="00415923">
              <w:rPr>
                <w:rFonts w:ascii="Calibri" w:eastAsia="Calibri" w:hAnsi="Calibri" w:cs="Calibri"/>
                <w:color w:val="21286C"/>
                <w:sz w:val="21"/>
                <w:szCs w:val="21"/>
                <w:lang w:eastAsia="en-GB"/>
              </w:rPr>
              <w:t>,</w:t>
            </w:r>
            <w:r w:rsidRPr="00415923">
              <w:rPr>
                <w:rFonts w:ascii="Calibri" w:eastAsia="Calibri" w:hAnsi="Calibri" w:cs="Calibri"/>
                <w:color w:val="21286C"/>
                <w:sz w:val="21"/>
                <w:szCs w:val="21"/>
                <w:lang w:val="en-GB" w:eastAsia="en-GB"/>
              </w:rPr>
              <w:t>6</w:t>
            </w:r>
          </w:p>
        </w:tc>
        <w:tc>
          <w:tcPr>
            <w:tcW w:w="877" w:type="dxa"/>
            <w:tcBorders>
              <w:top w:val="single" w:sz="4" w:space="0" w:color="auto"/>
              <w:left w:val="nil"/>
              <w:bottom w:val="single" w:sz="4" w:space="0" w:color="auto"/>
              <w:right w:val="nil"/>
            </w:tcBorders>
            <w:shd w:val="clear" w:color="auto" w:fill="auto"/>
            <w:noWrap/>
            <w:vAlign w:val="center"/>
          </w:tcPr>
          <w:p w14:paraId="42553B16" w14:textId="7EEA0891" w:rsidR="00415923" w:rsidRPr="006122F8" w:rsidRDefault="00665FC5" w:rsidP="00415923">
            <w:pPr>
              <w:jc w:val="right"/>
              <w:rPr>
                <w:rFonts w:asciiTheme="minorHAnsi" w:eastAsia="Calibri" w:hAnsiTheme="minorHAnsi" w:cstheme="minorHAnsi"/>
                <w:i/>
                <w:iCs/>
                <w:color w:val="21286C"/>
                <w:sz w:val="21"/>
                <w:szCs w:val="21"/>
                <w:lang w:val="en-GB" w:eastAsia="en-GB"/>
              </w:rPr>
            </w:pPr>
            <w:r>
              <w:rPr>
                <w:rFonts w:ascii="Calibri" w:eastAsia="Calibri" w:hAnsi="Calibri" w:cs="Calibri"/>
                <w:i/>
                <w:iCs/>
                <w:color w:val="21286C"/>
                <w:sz w:val="21"/>
                <w:szCs w:val="21"/>
                <w:lang w:val="en-GB" w:eastAsia="en-GB"/>
              </w:rPr>
              <w:t>0,5</w:t>
            </w:r>
            <w:r w:rsidR="00415923">
              <w:rPr>
                <w:rFonts w:ascii="Calibri" w:eastAsia="Calibri" w:hAnsi="Calibri" w:cs="Calibri"/>
                <w:i/>
                <w:iCs/>
                <w:color w:val="21286C"/>
                <w:sz w:val="21"/>
                <w:szCs w:val="21"/>
                <w:lang w:val="en-GB" w:eastAsia="en-GB"/>
              </w:rPr>
              <w:t>%</w:t>
            </w:r>
          </w:p>
        </w:tc>
        <w:tc>
          <w:tcPr>
            <w:tcW w:w="283" w:type="dxa"/>
            <w:vMerge/>
            <w:tcBorders>
              <w:left w:val="nil"/>
              <w:right w:val="nil"/>
            </w:tcBorders>
            <w:shd w:val="clear" w:color="auto" w:fill="A6A6A6" w:themeFill="background1" w:themeFillShade="A6"/>
            <w:vAlign w:val="center"/>
          </w:tcPr>
          <w:p w14:paraId="5AC89D12" w14:textId="77777777" w:rsidR="00415923" w:rsidRPr="006122F8" w:rsidRDefault="00415923" w:rsidP="00415923">
            <w:pPr>
              <w:jc w:val="right"/>
              <w:rPr>
                <w:rFonts w:asciiTheme="minorHAnsi" w:eastAsia="Calibri" w:hAnsiTheme="minorHAnsi" w:cstheme="minorHAnsi"/>
                <w:i/>
                <w:iCs/>
                <w:color w:val="21286C"/>
                <w:sz w:val="21"/>
                <w:szCs w:val="21"/>
                <w:lang w:val="en-GB" w:eastAsia="en-GB"/>
              </w:rPr>
            </w:pPr>
          </w:p>
        </w:tc>
        <w:tc>
          <w:tcPr>
            <w:tcW w:w="1280" w:type="dxa"/>
            <w:tcBorders>
              <w:top w:val="single" w:sz="4" w:space="0" w:color="auto"/>
              <w:left w:val="nil"/>
              <w:bottom w:val="single" w:sz="4" w:space="0" w:color="auto"/>
              <w:right w:val="nil"/>
            </w:tcBorders>
            <w:shd w:val="clear" w:color="auto" w:fill="F2F2F2" w:themeFill="background1" w:themeFillShade="F2"/>
            <w:vAlign w:val="center"/>
          </w:tcPr>
          <w:p w14:paraId="5D3EB2D3" w14:textId="286866E5" w:rsidR="00415923" w:rsidRPr="00665FC5" w:rsidRDefault="0093747F" w:rsidP="00415923">
            <w:pPr>
              <w:jc w:val="right"/>
              <w:rPr>
                <w:rFonts w:asciiTheme="minorHAnsi" w:eastAsia="Calibri" w:hAnsiTheme="minorHAnsi" w:cstheme="minorHAnsi"/>
                <w:color w:val="21286C"/>
                <w:sz w:val="21"/>
                <w:szCs w:val="21"/>
                <w:lang w:val="en-US" w:eastAsia="en-GB"/>
              </w:rPr>
            </w:pPr>
            <w:r>
              <w:rPr>
                <w:rFonts w:ascii="Calibri" w:eastAsia="Calibri" w:hAnsi="Calibri" w:cs="Calibri"/>
                <w:b/>
                <w:bCs/>
                <w:color w:val="21286C"/>
                <w:sz w:val="21"/>
                <w:szCs w:val="21"/>
                <w:lang w:eastAsia="en-GB"/>
              </w:rPr>
              <w:t>7</w:t>
            </w:r>
            <w:r w:rsidR="00665FC5">
              <w:rPr>
                <w:rFonts w:ascii="Calibri" w:eastAsia="Calibri" w:hAnsi="Calibri" w:cs="Calibri"/>
                <w:b/>
                <w:bCs/>
                <w:color w:val="21286C"/>
                <w:sz w:val="21"/>
                <w:szCs w:val="21"/>
                <w:lang w:val="en-US" w:eastAsia="en-GB"/>
              </w:rPr>
              <w:t>2,9</w:t>
            </w:r>
          </w:p>
        </w:tc>
        <w:tc>
          <w:tcPr>
            <w:tcW w:w="1280" w:type="dxa"/>
            <w:tcBorders>
              <w:top w:val="single" w:sz="4" w:space="0" w:color="auto"/>
              <w:left w:val="nil"/>
              <w:bottom w:val="single" w:sz="4" w:space="0" w:color="auto"/>
              <w:right w:val="nil"/>
            </w:tcBorders>
            <w:vAlign w:val="center"/>
          </w:tcPr>
          <w:p w14:paraId="495F2916" w14:textId="459246BA" w:rsidR="00415923" w:rsidRPr="00415923" w:rsidRDefault="00415923" w:rsidP="00415923">
            <w:pPr>
              <w:jc w:val="right"/>
              <w:rPr>
                <w:rFonts w:asciiTheme="minorHAnsi" w:eastAsia="Calibri" w:hAnsiTheme="minorHAnsi" w:cstheme="minorHAnsi"/>
                <w:i/>
                <w:iCs/>
                <w:color w:val="21286C"/>
                <w:sz w:val="21"/>
                <w:szCs w:val="21"/>
                <w:lang w:val="en-GB" w:eastAsia="en-GB"/>
              </w:rPr>
            </w:pPr>
            <w:r w:rsidRPr="00415923">
              <w:rPr>
                <w:rFonts w:ascii="Calibri" w:eastAsia="Calibri" w:hAnsi="Calibri" w:cs="Calibri"/>
                <w:color w:val="21286C"/>
                <w:sz w:val="21"/>
                <w:szCs w:val="21"/>
                <w:lang w:eastAsia="en-GB"/>
              </w:rPr>
              <w:t>62,2</w:t>
            </w:r>
          </w:p>
        </w:tc>
        <w:tc>
          <w:tcPr>
            <w:tcW w:w="856" w:type="dxa"/>
            <w:tcBorders>
              <w:top w:val="single" w:sz="4" w:space="0" w:color="auto"/>
              <w:left w:val="nil"/>
              <w:bottom w:val="single" w:sz="4" w:space="0" w:color="auto"/>
              <w:right w:val="nil"/>
            </w:tcBorders>
            <w:vAlign w:val="center"/>
          </w:tcPr>
          <w:p w14:paraId="62B80210" w14:textId="14B6C270" w:rsidR="00415923" w:rsidRPr="006122F8" w:rsidRDefault="00453213" w:rsidP="00415923">
            <w:pPr>
              <w:jc w:val="right"/>
              <w:rPr>
                <w:rFonts w:asciiTheme="minorHAnsi" w:eastAsia="Calibri" w:hAnsiTheme="minorHAnsi" w:cstheme="minorHAnsi"/>
                <w:i/>
                <w:iCs/>
                <w:color w:val="21286C"/>
                <w:sz w:val="21"/>
                <w:szCs w:val="21"/>
                <w:lang w:val="en-GB" w:eastAsia="en-GB"/>
              </w:rPr>
            </w:pPr>
            <w:r>
              <w:rPr>
                <w:rFonts w:ascii="Calibri" w:eastAsia="Calibri" w:hAnsi="Calibri" w:cs="Calibri"/>
                <w:i/>
                <w:iCs/>
                <w:color w:val="21286C"/>
                <w:sz w:val="21"/>
                <w:szCs w:val="21"/>
                <w:lang w:val="en-GB" w:eastAsia="en-GB"/>
              </w:rPr>
              <w:t>17,2</w:t>
            </w:r>
            <w:r w:rsidR="00415923" w:rsidRPr="00944B2D">
              <w:rPr>
                <w:rFonts w:ascii="Calibri" w:eastAsia="Calibri" w:hAnsi="Calibri" w:cs="Calibri"/>
                <w:i/>
                <w:iCs/>
                <w:color w:val="21286C"/>
                <w:sz w:val="21"/>
                <w:szCs w:val="21"/>
                <w:lang w:val="en-GB" w:eastAsia="en-GB"/>
              </w:rPr>
              <w:t>%</w:t>
            </w:r>
          </w:p>
        </w:tc>
      </w:tr>
      <w:tr w:rsidR="00415923" w:rsidRPr="00CC2B3E" w14:paraId="47626E72" w14:textId="77777777" w:rsidTr="00C6227F">
        <w:trPr>
          <w:trHeight w:val="349"/>
        </w:trPr>
        <w:tc>
          <w:tcPr>
            <w:tcW w:w="2552" w:type="dxa"/>
            <w:tcBorders>
              <w:top w:val="single" w:sz="4" w:space="0" w:color="auto"/>
              <w:left w:val="nil"/>
              <w:bottom w:val="single" w:sz="4" w:space="0" w:color="auto"/>
              <w:right w:val="nil"/>
            </w:tcBorders>
            <w:shd w:val="clear" w:color="auto" w:fill="auto"/>
            <w:noWrap/>
            <w:vAlign w:val="center"/>
          </w:tcPr>
          <w:p w14:paraId="1010E9E8" w14:textId="77777777" w:rsidR="00415923" w:rsidRPr="00AE19AB" w:rsidRDefault="00415923" w:rsidP="00415923">
            <w:pPr>
              <w:rPr>
                <w:rFonts w:ascii="Calibri" w:eastAsia="Calibri" w:hAnsi="Calibri" w:cs="Calibri"/>
                <w:b/>
                <w:bCs/>
                <w:color w:val="21286C"/>
                <w:sz w:val="21"/>
                <w:szCs w:val="21"/>
                <w:lang w:eastAsia="en-GB"/>
              </w:rPr>
            </w:pPr>
            <w:r w:rsidRPr="006122F8">
              <w:rPr>
                <w:rFonts w:asciiTheme="minorHAnsi" w:eastAsia="Calibri" w:hAnsiTheme="minorHAnsi" w:cstheme="minorHAnsi"/>
                <w:b/>
                <w:bCs/>
                <w:color w:val="21286C"/>
                <w:sz w:val="21"/>
                <w:szCs w:val="21"/>
                <w:lang w:eastAsia="en-GB"/>
              </w:rPr>
              <w:t xml:space="preserve">Ελλάδα &amp; Δ. </w:t>
            </w:r>
            <w:r>
              <w:rPr>
                <w:rFonts w:ascii="Calibri" w:eastAsia="Calibri" w:hAnsi="Calibri" w:cs="Calibri"/>
                <w:b/>
                <w:bCs/>
                <w:color w:val="21286C"/>
                <w:sz w:val="21"/>
                <w:szCs w:val="21"/>
                <w:lang w:eastAsia="en-GB"/>
              </w:rPr>
              <w:t>Ευρώπη</w:t>
            </w:r>
          </w:p>
        </w:tc>
        <w:tc>
          <w:tcPr>
            <w:tcW w:w="1417" w:type="dxa"/>
            <w:tcBorders>
              <w:top w:val="single" w:sz="4" w:space="0" w:color="auto"/>
              <w:left w:val="nil"/>
              <w:bottom w:val="single" w:sz="4" w:space="0" w:color="auto"/>
              <w:right w:val="nil"/>
            </w:tcBorders>
            <w:shd w:val="clear" w:color="auto" w:fill="F2F2F2" w:themeFill="background1" w:themeFillShade="F2"/>
            <w:noWrap/>
            <w:vAlign w:val="center"/>
          </w:tcPr>
          <w:p w14:paraId="73EA3209" w14:textId="39128072" w:rsidR="00415923" w:rsidRPr="00415923" w:rsidRDefault="00415923" w:rsidP="00415923">
            <w:pPr>
              <w:jc w:val="right"/>
              <w:rPr>
                <w:rFonts w:asciiTheme="minorHAnsi" w:eastAsia="Calibri" w:hAnsiTheme="minorHAnsi" w:cstheme="minorHAnsi"/>
                <w:color w:val="21286C"/>
                <w:sz w:val="21"/>
                <w:szCs w:val="21"/>
                <w:lang w:val="en-US" w:eastAsia="en-GB"/>
              </w:rPr>
            </w:pPr>
            <w:r w:rsidRPr="00453DDF">
              <w:rPr>
                <w:rFonts w:ascii="Calibri" w:eastAsia="Calibri" w:hAnsi="Calibri" w:cs="Calibri"/>
                <w:b/>
                <w:bCs/>
                <w:color w:val="21286C"/>
                <w:sz w:val="21"/>
                <w:szCs w:val="21"/>
                <w:lang w:val="en-GB" w:eastAsia="en-GB"/>
              </w:rPr>
              <w:t>1</w:t>
            </w:r>
            <w:r>
              <w:rPr>
                <w:rFonts w:ascii="Calibri" w:eastAsia="Calibri" w:hAnsi="Calibri" w:cs="Calibri"/>
                <w:b/>
                <w:bCs/>
                <w:color w:val="21286C"/>
                <w:sz w:val="21"/>
                <w:szCs w:val="21"/>
                <w:lang w:val="en-GB" w:eastAsia="en-GB"/>
              </w:rPr>
              <w:t>24,9</w:t>
            </w:r>
          </w:p>
        </w:tc>
        <w:tc>
          <w:tcPr>
            <w:tcW w:w="1134" w:type="dxa"/>
            <w:tcBorders>
              <w:top w:val="single" w:sz="4" w:space="0" w:color="auto"/>
              <w:left w:val="nil"/>
              <w:bottom w:val="single" w:sz="4" w:space="0" w:color="auto"/>
              <w:right w:val="nil"/>
            </w:tcBorders>
            <w:vAlign w:val="center"/>
          </w:tcPr>
          <w:p w14:paraId="7A8E6B6B" w14:textId="7DE1CBA8" w:rsidR="00415923" w:rsidRPr="00207D5D" w:rsidRDefault="00415923" w:rsidP="00415923">
            <w:pPr>
              <w:jc w:val="right"/>
              <w:rPr>
                <w:rFonts w:asciiTheme="minorHAnsi" w:eastAsia="Calibri" w:hAnsiTheme="minorHAnsi" w:cstheme="minorHAnsi"/>
                <w:color w:val="21286C"/>
                <w:sz w:val="21"/>
                <w:szCs w:val="21"/>
                <w:lang w:eastAsia="en-GB"/>
              </w:rPr>
            </w:pPr>
            <w:r w:rsidRPr="00415923">
              <w:rPr>
                <w:rFonts w:ascii="Calibri" w:eastAsia="Calibri" w:hAnsi="Calibri" w:cs="Calibri"/>
                <w:color w:val="21286C"/>
                <w:sz w:val="21"/>
                <w:szCs w:val="21"/>
                <w:lang w:val="en-GB" w:eastAsia="en-GB"/>
              </w:rPr>
              <w:t>10</w:t>
            </w:r>
            <w:r w:rsidR="00207D5D">
              <w:rPr>
                <w:rFonts w:ascii="Calibri" w:eastAsia="Calibri" w:hAnsi="Calibri" w:cs="Calibri"/>
                <w:color w:val="21286C"/>
                <w:sz w:val="21"/>
                <w:szCs w:val="21"/>
                <w:lang w:eastAsia="en-GB"/>
              </w:rPr>
              <w:t>7,8</w:t>
            </w:r>
          </w:p>
        </w:tc>
        <w:tc>
          <w:tcPr>
            <w:tcW w:w="877" w:type="dxa"/>
            <w:tcBorders>
              <w:top w:val="single" w:sz="4" w:space="0" w:color="auto"/>
              <w:left w:val="nil"/>
              <w:bottom w:val="single" w:sz="4" w:space="0" w:color="auto"/>
              <w:right w:val="nil"/>
            </w:tcBorders>
            <w:shd w:val="clear" w:color="auto" w:fill="auto"/>
            <w:noWrap/>
            <w:vAlign w:val="center"/>
          </w:tcPr>
          <w:p w14:paraId="44BBD44B" w14:textId="1A47D259" w:rsidR="00415923" w:rsidRPr="006122F8" w:rsidRDefault="00665FC5" w:rsidP="00415923">
            <w:pPr>
              <w:jc w:val="right"/>
              <w:rPr>
                <w:rFonts w:asciiTheme="minorHAnsi" w:eastAsia="Calibri" w:hAnsiTheme="minorHAnsi" w:cstheme="minorHAnsi"/>
                <w:i/>
                <w:iCs/>
                <w:color w:val="21286C"/>
                <w:sz w:val="21"/>
                <w:szCs w:val="21"/>
                <w:lang w:eastAsia="en-GB"/>
              </w:rPr>
            </w:pPr>
            <w:r>
              <w:rPr>
                <w:rFonts w:ascii="Calibri" w:eastAsia="Calibri" w:hAnsi="Calibri" w:cs="Calibri"/>
                <w:i/>
                <w:iCs/>
                <w:color w:val="21286C"/>
                <w:sz w:val="21"/>
                <w:szCs w:val="21"/>
                <w:lang w:val="en-US" w:eastAsia="en-GB"/>
              </w:rPr>
              <w:t>15,</w:t>
            </w:r>
            <w:r w:rsidR="00A21E9F">
              <w:rPr>
                <w:rFonts w:ascii="Calibri" w:eastAsia="Calibri" w:hAnsi="Calibri" w:cs="Calibri"/>
                <w:i/>
                <w:iCs/>
                <w:color w:val="21286C"/>
                <w:sz w:val="21"/>
                <w:szCs w:val="21"/>
                <w:lang w:val="en-US" w:eastAsia="en-GB"/>
              </w:rPr>
              <w:t>9</w:t>
            </w:r>
            <w:r w:rsidR="00415923" w:rsidRPr="00453DDF">
              <w:rPr>
                <w:rFonts w:ascii="Calibri" w:eastAsia="Calibri" w:hAnsi="Calibri" w:cs="Calibri"/>
                <w:i/>
                <w:iCs/>
                <w:color w:val="21286C"/>
                <w:sz w:val="21"/>
                <w:szCs w:val="21"/>
                <w:lang w:eastAsia="en-GB"/>
              </w:rPr>
              <w:t>%</w:t>
            </w:r>
          </w:p>
        </w:tc>
        <w:tc>
          <w:tcPr>
            <w:tcW w:w="283" w:type="dxa"/>
            <w:vMerge/>
            <w:tcBorders>
              <w:left w:val="nil"/>
              <w:right w:val="nil"/>
            </w:tcBorders>
            <w:shd w:val="clear" w:color="auto" w:fill="A6A6A6" w:themeFill="background1" w:themeFillShade="A6"/>
            <w:vAlign w:val="center"/>
          </w:tcPr>
          <w:p w14:paraId="74CC14CA" w14:textId="77777777" w:rsidR="00415923" w:rsidRPr="006122F8" w:rsidRDefault="00415923" w:rsidP="00415923">
            <w:pPr>
              <w:jc w:val="right"/>
              <w:rPr>
                <w:rFonts w:asciiTheme="minorHAnsi" w:eastAsia="Calibri" w:hAnsiTheme="minorHAnsi" w:cstheme="minorHAnsi"/>
                <w:i/>
                <w:iCs/>
                <w:color w:val="21286C"/>
                <w:sz w:val="21"/>
                <w:szCs w:val="21"/>
                <w:lang w:eastAsia="en-GB"/>
              </w:rPr>
            </w:pPr>
          </w:p>
        </w:tc>
        <w:tc>
          <w:tcPr>
            <w:tcW w:w="1280" w:type="dxa"/>
            <w:tcBorders>
              <w:top w:val="single" w:sz="4" w:space="0" w:color="auto"/>
              <w:left w:val="nil"/>
              <w:bottom w:val="single" w:sz="4" w:space="0" w:color="auto"/>
              <w:right w:val="nil"/>
            </w:tcBorders>
            <w:shd w:val="clear" w:color="auto" w:fill="F2F2F2" w:themeFill="background1" w:themeFillShade="F2"/>
            <w:vAlign w:val="center"/>
          </w:tcPr>
          <w:p w14:paraId="54467787" w14:textId="25759F8A" w:rsidR="00415923" w:rsidRPr="00665FC5" w:rsidRDefault="00415923" w:rsidP="00415923">
            <w:pPr>
              <w:jc w:val="right"/>
              <w:rPr>
                <w:rFonts w:asciiTheme="minorHAnsi" w:eastAsia="Calibri" w:hAnsiTheme="minorHAnsi" w:cstheme="minorHAnsi"/>
                <w:color w:val="21286C"/>
                <w:sz w:val="21"/>
                <w:szCs w:val="21"/>
                <w:lang w:val="en-US" w:eastAsia="en-GB"/>
              </w:rPr>
            </w:pPr>
            <w:r w:rsidRPr="00453DDF">
              <w:rPr>
                <w:rFonts w:ascii="Calibri" w:eastAsia="Calibri" w:hAnsi="Calibri" w:cs="Calibri"/>
                <w:b/>
                <w:bCs/>
                <w:color w:val="21286C"/>
                <w:sz w:val="21"/>
                <w:szCs w:val="21"/>
                <w:lang w:eastAsia="en-GB"/>
              </w:rPr>
              <w:t>1</w:t>
            </w:r>
            <w:r w:rsidR="00665FC5">
              <w:rPr>
                <w:rFonts w:ascii="Calibri" w:eastAsia="Calibri" w:hAnsi="Calibri" w:cs="Calibri"/>
                <w:b/>
                <w:bCs/>
                <w:color w:val="21286C"/>
                <w:sz w:val="21"/>
                <w:szCs w:val="21"/>
                <w:lang w:val="en-US" w:eastAsia="en-GB"/>
              </w:rPr>
              <w:t>9,4</w:t>
            </w:r>
          </w:p>
        </w:tc>
        <w:tc>
          <w:tcPr>
            <w:tcW w:w="1280" w:type="dxa"/>
            <w:tcBorders>
              <w:top w:val="single" w:sz="4" w:space="0" w:color="auto"/>
              <w:left w:val="nil"/>
              <w:bottom w:val="single" w:sz="4" w:space="0" w:color="auto"/>
              <w:right w:val="nil"/>
            </w:tcBorders>
            <w:vAlign w:val="center"/>
          </w:tcPr>
          <w:p w14:paraId="2E64507C" w14:textId="34283236" w:rsidR="00415923" w:rsidRPr="00665FC5" w:rsidRDefault="00665FC5" w:rsidP="00415923">
            <w:pPr>
              <w:jc w:val="right"/>
              <w:rPr>
                <w:rFonts w:asciiTheme="minorHAnsi" w:eastAsia="Calibri" w:hAnsiTheme="minorHAnsi" w:cstheme="minorHAnsi"/>
                <w:i/>
                <w:iCs/>
                <w:color w:val="21286C"/>
                <w:sz w:val="21"/>
                <w:szCs w:val="21"/>
                <w:lang w:val="en-US" w:eastAsia="en-GB"/>
              </w:rPr>
            </w:pPr>
            <w:r>
              <w:rPr>
                <w:rFonts w:ascii="Calibri" w:eastAsia="Calibri" w:hAnsi="Calibri" w:cs="Calibri"/>
                <w:color w:val="21286C"/>
                <w:sz w:val="21"/>
                <w:szCs w:val="21"/>
                <w:lang w:val="en-US" w:eastAsia="en-GB"/>
              </w:rPr>
              <w:t>12,7</w:t>
            </w:r>
          </w:p>
        </w:tc>
        <w:tc>
          <w:tcPr>
            <w:tcW w:w="856" w:type="dxa"/>
            <w:tcBorders>
              <w:top w:val="single" w:sz="4" w:space="0" w:color="auto"/>
              <w:left w:val="nil"/>
              <w:bottom w:val="single" w:sz="4" w:space="0" w:color="auto"/>
              <w:right w:val="nil"/>
            </w:tcBorders>
            <w:vAlign w:val="center"/>
          </w:tcPr>
          <w:p w14:paraId="597061BD" w14:textId="25AA86B5" w:rsidR="00415923" w:rsidRPr="006122F8" w:rsidRDefault="00453213" w:rsidP="00415923">
            <w:pPr>
              <w:jc w:val="right"/>
              <w:rPr>
                <w:rFonts w:asciiTheme="minorHAnsi" w:eastAsia="Calibri" w:hAnsiTheme="minorHAnsi" w:cstheme="minorHAnsi"/>
                <w:i/>
                <w:iCs/>
                <w:color w:val="21286C"/>
                <w:sz w:val="21"/>
                <w:szCs w:val="21"/>
                <w:lang w:eastAsia="en-GB"/>
              </w:rPr>
            </w:pPr>
            <w:r>
              <w:rPr>
                <w:rFonts w:ascii="Calibri" w:eastAsia="Calibri" w:hAnsi="Calibri" w:cs="Calibri"/>
                <w:i/>
                <w:iCs/>
                <w:color w:val="21286C"/>
                <w:sz w:val="21"/>
                <w:szCs w:val="21"/>
                <w:lang w:val="en-US" w:eastAsia="en-GB"/>
              </w:rPr>
              <w:t>53,2</w:t>
            </w:r>
            <w:r w:rsidR="00415923" w:rsidRPr="00453DDF">
              <w:rPr>
                <w:rFonts w:ascii="Calibri" w:eastAsia="Calibri" w:hAnsi="Calibri" w:cs="Calibri"/>
                <w:i/>
                <w:iCs/>
                <w:color w:val="21286C"/>
                <w:sz w:val="21"/>
                <w:szCs w:val="21"/>
                <w:lang w:eastAsia="en-GB"/>
              </w:rPr>
              <w:t>%</w:t>
            </w:r>
          </w:p>
        </w:tc>
      </w:tr>
      <w:tr w:rsidR="00415923" w:rsidRPr="00CC2B3E" w14:paraId="659B66EC" w14:textId="77777777" w:rsidTr="00C6227F">
        <w:trPr>
          <w:trHeight w:val="372"/>
        </w:trPr>
        <w:tc>
          <w:tcPr>
            <w:tcW w:w="2552" w:type="dxa"/>
            <w:tcBorders>
              <w:top w:val="single" w:sz="4" w:space="0" w:color="auto"/>
              <w:left w:val="nil"/>
              <w:bottom w:val="single" w:sz="4" w:space="0" w:color="auto"/>
              <w:right w:val="nil"/>
            </w:tcBorders>
            <w:shd w:val="clear" w:color="auto" w:fill="auto"/>
            <w:noWrap/>
            <w:vAlign w:val="center"/>
            <w:hideMark/>
          </w:tcPr>
          <w:p w14:paraId="2633DCA3" w14:textId="77777777" w:rsidR="00415923" w:rsidRPr="00A32C28" w:rsidRDefault="00415923" w:rsidP="00415923">
            <w:pPr>
              <w:rPr>
                <w:rFonts w:ascii="Calibri" w:eastAsia="Calibri" w:hAnsi="Calibri" w:cstheme="minorHAnsi"/>
                <w:b/>
                <w:bCs/>
                <w:color w:val="21286C"/>
                <w:sz w:val="21"/>
                <w:szCs w:val="21"/>
                <w:lang w:eastAsia="en-GB"/>
              </w:rPr>
            </w:pPr>
            <w:r w:rsidRPr="006122F8">
              <w:rPr>
                <w:rFonts w:asciiTheme="minorHAnsi" w:eastAsia="Calibri" w:hAnsiTheme="minorHAnsi" w:cstheme="minorHAnsi"/>
                <w:b/>
                <w:bCs/>
                <w:color w:val="21286C"/>
                <w:sz w:val="21"/>
                <w:szCs w:val="21"/>
                <w:lang w:eastAsia="en-GB"/>
              </w:rPr>
              <w:t xml:space="preserve">Νοτιοανατολική </w:t>
            </w:r>
            <w:r>
              <w:rPr>
                <w:rFonts w:ascii="Calibri" w:eastAsia="Calibri" w:hAnsi="Calibri" w:cs="Calibri"/>
                <w:b/>
                <w:bCs/>
                <w:color w:val="21286C"/>
                <w:sz w:val="21"/>
                <w:szCs w:val="21"/>
                <w:lang w:eastAsia="en-GB"/>
              </w:rPr>
              <w:t>Ευρώπη</w:t>
            </w:r>
          </w:p>
        </w:tc>
        <w:tc>
          <w:tcPr>
            <w:tcW w:w="1417" w:type="dxa"/>
            <w:tcBorders>
              <w:top w:val="single" w:sz="4" w:space="0" w:color="auto"/>
              <w:left w:val="nil"/>
              <w:bottom w:val="single" w:sz="4" w:space="0" w:color="auto"/>
              <w:right w:val="nil"/>
            </w:tcBorders>
            <w:shd w:val="clear" w:color="auto" w:fill="F2F2F2" w:themeFill="background1" w:themeFillShade="F2"/>
            <w:noWrap/>
            <w:vAlign w:val="center"/>
          </w:tcPr>
          <w:p w14:paraId="2EA42F29" w14:textId="11B9CE1F" w:rsidR="00415923" w:rsidRPr="00665FC5" w:rsidRDefault="00415923" w:rsidP="00415923">
            <w:pPr>
              <w:jc w:val="right"/>
              <w:rPr>
                <w:rFonts w:asciiTheme="minorHAnsi" w:eastAsia="Calibri" w:hAnsiTheme="minorHAnsi" w:cstheme="minorHAnsi"/>
                <w:b/>
                <w:bCs/>
                <w:color w:val="21286C"/>
                <w:sz w:val="21"/>
                <w:szCs w:val="21"/>
                <w:lang w:val="en-US" w:eastAsia="en-GB"/>
              </w:rPr>
            </w:pPr>
            <w:r w:rsidRPr="00665FC5">
              <w:rPr>
                <w:rFonts w:asciiTheme="minorHAnsi" w:eastAsia="Calibri" w:hAnsiTheme="minorHAnsi" w:cstheme="minorHAnsi"/>
                <w:b/>
                <w:bCs/>
                <w:color w:val="21286C"/>
                <w:sz w:val="21"/>
                <w:szCs w:val="21"/>
                <w:lang w:val="en-US" w:eastAsia="en-GB"/>
              </w:rPr>
              <w:t>82,6</w:t>
            </w:r>
          </w:p>
        </w:tc>
        <w:tc>
          <w:tcPr>
            <w:tcW w:w="1134" w:type="dxa"/>
            <w:tcBorders>
              <w:top w:val="single" w:sz="4" w:space="0" w:color="auto"/>
              <w:left w:val="nil"/>
              <w:bottom w:val="single" w:sz="4" w:space="0" w:color="auto"/>
              <w:right w:val="nil"/>
            </w:tcBorders>
            <w:vAlign w:val="center"/>
          </w:tcPr>
          <w:p w14:paraId="6BB1F87B" w14:textId="3F19191B" w:rsidR="00415923" w:rsidRPr="0093747F" w:rsidRDefault="00415923" w:rsidP="00415923">
            <w:pPr>
              <w:jc w:val="right"/>
              <w:rPr>
                <w:rFonts w:asciiTheme="minorHAnsi" w:eastAsia="Calibri" w:hAnsiTheme="minorHAnsi" w:cstheme="minorHAnsi"/>
                <w:color w:val="21286C"/>
                <w:sz w:val="21"/>
                <w:szCs w:val="21"/>
                <w:lang w:eastAsia="en-GB"/>
              </w:rPr>
            </w:pPr>
            <w:r w:rsidRPr="00415923">
              <w:rPr>
                <w:rFonts w:ascii="Calibri" w:eastAsia="Calibri" w:hAnsi="Calibri" w:cs="Calibri"/>
                <w:color w:val="21286C"/>
                <w:sz w:val="21"/>
                <w:szCs w:val="21"/>
                <w:lang w:val="en-GB" w:eastAsia="en-GB"/>
              </w:rPr>
              <w:t>9</w:t>
            </w:r>
            <w:r w:rsidR="0093747F">
              <w:rPr>
                <w:rFonts w:ascii="Calibri" w:eastAsia="Calibri" w:hAnsi="Calibri" w:cs="Calibri"/>
                <w:color w:val="21286C"/>
                <w:sz w:val="21"/>
                <w:szCs w:val="21"/>
                <w:lang w:eastAsia="en-GB"/>
              </w:rPr>
              <w:t>0,7</w:t>
            </w:r>
          </w:p>
        </w:tc>
        <w:tc>
          <w:tcPr>
            <w:tcW w:w="877" w:type="dxa"/>
            <w:tcBorders>
              <w:top w:val="single" w:sz="4" w:space="0" w:color="auto"/>
              <w:left w:val="nil"/>
              <w:bottom w:val="single" w:sz="4" w:space="0" w:color="auto"/>
              <w:right w:val="nil"/>
            </w:tcBorders>
            <w:shd w:val="clear" w:color="auto" w:fill="auto"/>
            <w:noWrap/>
            <w:vAlign w:val="center"/>
          </w:tcPr>
          <w:p w14:paraId="2596768E" w14:textId="6617E784" w:rsidR="00415923" w:rsidRPr="006122F8" w:rsidRDefault="00665FC5" w:rsidP="00415923">
            <w:pPr>
              <w:jc w:val="right"/>
              <w:rPr>
                <w:rFonts w:asciiTheme="minorHAnsi" w:eastAsia="Calibri" w:hAnsiTheme="minorHAnsi" w:cstheme="minorHAnsi"/>
                <w:i/>
                <w:iCs/>
                <w:color w:val="21286C"/>
                <w:sz w:val="21"/>
                <w:szCs w:val="21"/>
                <w:lang w:val="en-GB" w:eastAsia="en-GB"/>
              </w:rPr>
            </w:pPr>
            <w:r>
              <w:rPr>
                <w:rFonts w:ascii="Calibri" w:eastAsia="Calibri" w:hAnsi="Calibri" w:cs="Calibri"/>
                <w:i/>
                <w:iCs/>
                <w:color w:val="21286C"/>
                <w:sz w:val="21"/>
                <w:szCs w:val="21"/>
                <w:lang w:val="en-GB" w:eastAsia="en-GB"/>
              </w:rPr>
              <w:t>-9,0</w:t>
            </w:r>
            <w:r w:rsidR="00415923" w:rsidRPr="00453DDF">
              <w:rPr>
                <w:rFonts w:ascii="Calibri" w:eastAsia="Calibri" w:hAnsi="Calibri" w:cs="Calibri"/>
                <w:i/>
                <w:iCs/>
                <w:color w:val="21286C"/>
                <w:sz w:val="21"/>
                <w:szCs w:val="21"/>
                <w:lang w:val="en-GB" w:eastAsia="en-GB"/>
              </w:rPr>
              <w:t>%</w:t>
            </w:r>
          </w:p>
        </w:tc>
        <w:tc>
          <w:tcPr>
            <w:tcW w:w="283" w:type="dxa"/>
            <w:vMerge/>
            <w:tcBorders>
              <w:left w:val="nil"/>
              <w:right w:val="nil"/>
            </w:tcBorders>
            <w:shd w:val="clear" w:color="auto" w:fill="A6A6A6" w:themeFill="background1" w:themeFillShade="A6"/>
            <w:vAlign w:val="center"/>
          </w:tcPr>
          <w:p w14:paraId="184EE068" w14:textId="77777777" w:rsidR="00415923" w:rsidRPr="006122F8" w:rsidRDefault="00415923" w:rsidP="00415923">
            <w:pPr>
              <w:jc w:val="right"/>
              <w:rPr>
                <w:rFonts w:asciiTheme="minorHAnsi" w:eastAsia="Calibri" w:hAnsiTheme="minorHAnsi" w:cstheme="minorHAnsi"/>
                <w:i/>
                <w:iCs/>
                <w:color w:val="21286C"/>
                <w:sz w:val="21"/>
                <w:szCs w:val="21"/>
                <w:lang w:val="en-GB" w:eastAsia="en-GB"/>
              </w:rPr>
            </w:pPr>
          </w:p>
        </w:tc>
        <w:tc>
          <w:tcPr>
            <w:tcW w:w="1280" w:type="dxa"/>
            <w:tcBorders>
              <w:top w:val="single" w:sz="4" w:space="0" w:color="auto"/>
              <w:left w:val="nil"/>
              <w:bottom w:val="single" w:sz="4" w:space="0" w:color="auto"/>
              <w:right w:val="nil"/>
            </w:tcBorders>
            <w:shd w:val="clear" w:color="auto" w:fill="F2F2F2" w:themeFill="background1" w:themeFillShade="F2"/>
            <w:vAlign w:val="center"/>
          </w:tcPr>
          <w:p w14:paraId="2503BFD0" w14:textId="65F06E90" w:rsidR="00415923" w:rsidRPr="00665FC5" w:rsidRDefault="00665FC5" w:rsidP="00415923">
            <w:pPr>
              <w:jc w:val="right"/>
              <w:rPr>
                <w:rFonts w:asciiTheme="minorHAnsi" w:eastAsia="Calibri" w:hAnsiTheme="minorHAnsi" w:cstheme="minorHAnsi"/>
                <w:color w:val="21286C"/>
                <w:sz w:val="21"/>
                <w:szCs w:val="21"/>
                <w:lang w:val="en-US" w:eastAsia="en-GB"/>
              </w:rPr>
            </w:pPr>
            <w:r>
              <w:rPr>
                <w:rFonts w:ascii="Calibri" w:eastAsia="Calibri" w:hAnsi="Calibri" w:cs="Calibri"/>
                <w:b/>
                <w:bCs/>
                <w:color w:val="21286C"/>
                <w:sz w:val="21"/>
                <w:szCs w:val="21"/>
                <w:lang w:val="en-US" w:eastAsia="en-GB"/>
              </w:rPr>
              <w:t>21,6</w:t>
            </w:r>
          </w:p>
        </w:tc>
        <w:tc>
          <w:tcPr>
            <w:tcW w:w="1280" w:type="dxa"/>
            <w:tcBorders>
              <w:top w:val="single" w:sz="4" w:space="0" w:color="auto"/>
              <w:left w:val="nil"/>
              <w:bottom w:val="single" w:sz="4" w:space="0" w:color="auto"/>
              <w:right w:val="nil"/>
            </w:tcBorders>
            <w:vAlign w:val="center"/>
          </w:tcPr>
          <w:p w14:paraId="1BE253B9" w14:textId="5A334A18" w:rsidR="00415923" w:rsidRPr="00665FC5" w:rsidRDefault="00665FC5" w:rsidP="00415923">
            <w:pPr>
              <w:jc w:val="right"/>
              <w:rPr>
                <w:rFonts w:asciiTheme="minorHAnsi" w:eastAsia="Calibri" w:hAnsiTheme="minorHAnsi" w:cstheme="minorHAnsi"/>
                <w:i/>
                <w:iCs/>
                <w:color w:val="21286C"/>
                <w:sz w:val="21"/>
                <w:szCs w:val="21"/>
                <w:lang w:val="en-US" w:eastAsia="en-GB"/>
              </w:rPr>
            </w:pPr>
            <w:r>
              <w:rPr>
                <w:rFonts w:ascii="Calibri" w:eastAsia="Calibri" w:hAnsi="Calibri" w:cs="Calibri"/>
                <w:color w:val="21286C"/>
                <w:sz w:val="21"/>
                <w:szCs w:val="21"/>
                <w:lang w:val="en-US" w:eastAsia="en-GB"/>
              </w:rPr>
              <w:t>32,0</w:t>
            </w:r>
          </w:p>
        </w:tc>
        <w:tc>
          <w:tcPr>
            <w:tcW w:w="856" w:type="dxa"/>
            <w:tcBorders>
              <w:top w:val="single" w:sz="4" w:space="0" w:color="auto"/>
              <w:left w:val="nil"/>
              <w:bottom w:val="single" w:sz="4" w:space="0" w:color="auto"/>
              <w:right w:val="nil"/>
            </w:tcBorders>
            <w:vAlign w:val="center"/>
          </w:tcPr>
          <w:p w14:paraId="54B2ACC8" w14:textId="7C202656" w:rsidR="00415923" w:rsidRPr="006122F8" w:rsidRDefault="00453213" w:rsidP="00415923">
            <w:pPr>
              <w:jc w:val="right"/>
              <w:rPr>
                <w:rFonts w:asciiTheme="minorHAnsi" w:eastAsia="Calibri" w:hAnsiTheme="minorHAnsi" w:cstheme="minorHAnsi"/>
                <w:i/>
                <w:iCs/>
                <w:color w:val="21286C"/>
                <w:sz w:val="21"/>
                <w:szCs w:val="21"/>
                <w:lang w:val="en-GB" w:eastAsia="en-GB"/>
              </w:rPr>
            </w:pPr>
            <w:r>
              <w:rPr>
                <w:rFonts w:ascii="Calibri" w:eastAsia="Calibri" w:hAnsi="Calibri" w:cs="Calibri"/>
                <w:i/>
                <w:iCs/>
                <w:color w:val="21286C"/>
                <w:sz w:val="21"/>
                <w:szCs w:val="21"/>
                <w:lang w:val="en-GB" w:eastAsia="en-GB"/>
              </w:rPr>
              <w:t>-32,7</w:t>
            </w:r>
            <w:r w:rsidR="00415923" w:rsidRPr="00453DDF">
              <w:rPr>
                <w:rFonts w:ascii="Calibri" w:eastAsia="Calibri" w:hAnsi="Calibri" w:cs="Calibri"/>
                <w:i/>
                <w:iCs/>
                <w:color w:val="21286C"/>
                <w:sz w:val="21"/>
                <w:szCs w:val="21"/>
                <w:lang w:val="en-GB" w:eastAsia="en-GB"/>
              </w:rPr>
              <w:t>%</w:t>
            </w:r>
          </w:p>
        </w:tc>
      </w:tr>
      <w:tr w:rsidR="00415923" w:rsidRPr="003860A1" w14:paraId="2D12C149" w14:textId="77777777" w:rsidTr="00C6227F">
        <w:trPr>
          <w:trHeight w:val="304"/>
        </w:trPr>
        <w:tc>
          <w:tcPr>
            <w:tcW w:w="2552" w:type="dxa"/>
            <w:tcBorders>
              <w:top w:val="single" w:sz="4" w:space="0" w:color="auto"/>
              <w:left w:val="nil"/>
              <w:bottom w:val="single" w:sz="4" w:space="0" w:color="auto"/>
              <w:right w:val="nil"/>
            </w:tcBorders>
            <w:shd w:val="clear" w:color="auto" w:fill="auto"/>
            <w:noWrap/>
            <w:vAlign w:val="center"/>
          </w:tcPr>
          <w:p w14:paraId="15C845A7" w14:textId="77777777" w:rsidR="00415923" w:rsidRPr="006122F8" w:rsidRDefault="00415923" w:rsidP="00415923">
            <w:pPr>
              <w:jc w:val="both"/>
              <w:rPr>
                <w:rFonts w:asciiTheme="minorHAnsi" w:eastAsia="Calibri" w:hAnsiTheme="minorHAnsi" w:cstheme="minorHAnsi"/>
                <w:b/>
                <w:bCs/>
                <w:color w:val="21286C"/>
                <w:sz w:val="20"/>
                <w:szCs w:val="20"/>
              </w:rPr>
            </w:pPr>
            <w:r w:rsidRPr="006122F8">
              <w:rPr>
                <w:rFonts w:asciiTheme="minorHAnsi" w:eastAsia="Calibri" w:hAnsiTheme="minorHAnsi" w:cstheme="minorHAnsi"/>
                <w:b/>
                <w:bCs/>
                <w:color w:val="21286C"/>
                <w:sz w:val="21"/>
                <w:szCs w:val="21"/>
                <w:lang w:eastAsia="en-GB"/>
              </w:rPr>
              <w:t>Ανατολική Μεσόγειος</w:t>
            </w:r>
          </w:p>
        </w:tc>
        <w:tc>
          <w:tcPr>
            <w:tcW w:w="1417" w:type="dxa"/>
            <w:tcBorders>
              <w:top w:val="single" w:sz="4" w:space="0" w:color="auto"/>
              <w:left w:val="nil"/>
              <w:bottom w:val="single" w:sz="4" w:space="0" w:color="auto"/>
              <w:right w:val="nil"/>
            </w:tcBorders>
            <w:shd w:val="clear" w:color="auto" w:fill="F2F2F2" w:themeFill="background1" w:themeFillShade="F2"/>
            <w:noWrap/>
            <w:vAlign w:val="center"/>
          </w:tcPr>
          <w:p w14:paraId="3F24C9F2" w14:textId="130EBA84" w:rsidR="00415923" w:rsidRPr="00665FC5" w:rsidRDefault="00415923" w:rsidP="00415923">
            <w:pPr>
              <w:jc w:val="right"/>
              <w:rPr>
                <w:rFonts w:asciiTheme="minorHAnsi" w:eastAsia="Calibri" w:hAnsiTheme="minorHAnsi" w:cstheme="minorHAnsi"/>
                <w:color w:val="21286C"/>
                <w:sz w:val="20"/>
                <w:szCs w:val="20"/>
                <w:lang w:val="en-US" w:eastAsia="en-GB"/>
              </w:rPr>
            </w:pPr>
            <w:r w:rsidRPr="00453DDF">
              <w:rPr>
                <w:rFonts w:ascii="Calibri" w:eastAsia="Calibri" w:hAnsi="Calibri" w:cs="Calibri"/>
                <w:b/>
                <w:bCs/>
                <w:color w:val="21286C"/>
                <w:sz w:val="21"/>
                <w:szCs w:val="21"/>
                <w:lang w:val="en-GB" w:eastAsia="en-GB"/>
              </w:rPr>
              <w:t>5</w:t>
            </w:r>
            <w:r w:rsidR="00665FC5">
              <w:rPr>
                <w:rFonts w:ascii="Calibri" w:eastAsia="Calibri" w:hAnsi="Calibri" w:cs="Calibri"/>
                <w:b/>
                <w:bCs/>
                <w:color w:val="21286C"/>
                <w:sz w:val="21"/>
                <w:szCs w:val="21"/>
                <w:lang w:val="en-GB" w:eastAsia="en-GB"/>
              </w:rPr>
              <w:t>8,4</w:t>
            </w:r>
          </w:p>
        </w:tc>
        <w:tc>
          <w:tcPr>
            <w:tcW w:w="1134" w:type="dxa"/>
            <w:tcBorders>
              <w:top w:val="single" w:sz="4" w:space="0" w:color="auto"/>
              <w:left w:val="nil"/>
              <w:bottom w:val="single" w:sz="4" w:space="0" w:color="auto"/>
              <w:right w:val="nil"/>
            </w:tcBorders>
            <w:vAlign w:val="center"/>
          </w:tcPr>
          <w:p w14:paraId="01641E30" w14:textId="29BD230C" w:rsidR="00415923" w:rsidRPr="00415923" w:rsidRDefault="00415923" w:rsidP="00415923">
            <w:pPr>
              <w:jc w:val="right"/>
              <w:rPr>
                <w:rFonts w:asciiTheme="minorHAnsi" w:eastAsia="Calibri" w:hAnsiTheme="minorHAnsi" w:cstheme="minorHAnsi"/>
                <w:color w:val="21286C"/>
                <w:sz w:val="20"/>
                <w:szCs w:val="20"/>
                <w:lang w:eastAsia="en-GB"/>
              </w:rPr>
            </w:pPr>
            <w:r w:rsidRPr="00415923">
              <w:rPr>
                <w:rFonts w:ascii="Calibri" w:eastAsia="Calibri" w:hAnsi="Calibri" w:cs="Calibri"/>
                <w:color w:val="21286C"/>
                <w:sz w:val="21"/>
                <w:szCs w:val="21"/>
                <w:lang w:val="en-GB" w:eastAsia="en-GB"/>
              </w:rPr>
              <w:t>54</w:t>
            </w:r>
            <w:r w:rsidRPr="00415923">
              <w:rPr>
                <w:rFonts w:ascii="Calibri" w:eastAsia="Calibri" w:hAnsi="Calibri" w:cs="Calibri"/>
                <w:color w:val="21286C"/>
                <w:sz w:val="21"/>
                <w:szCs w:val="21"/>
                <w:lang w:eastAsia="en-GB"/>
              </w:rPr>
              <w:t>,</w:t>
            </w:r>
            <w:r w:rsidRPr="00415923">
              <w:rPr>
                <w:rFonts w:ascii="Calibri" w:eastAsia="Calibri" w:hAnsi="Calibri" w:cs="Calibri"/>
                <w:color w:val="21286C"/>
                <w:sz w:val="21"/>
                <w:szCs w:val="21"/>
                <w:lang w:val="en-GB" w:eastAsia="en-GB"/>
              </w:rPr>
              <w:t>6</w:t>
            </w:r>
          </w:p>
        </w:tc>
        <w:tc>
          <w:tcPr>
            <w:tcW w:w="877" w:type="dxa"/>
            <w:tcBorders>
              <w:top w:val="single" w:sz="4" w:space="0" w:color="auto"/>
              <w:left w:val="nil"/>
              <w:bottom w:val="single" w:sz="4" w:space="0" w:color="auto"/>
              <w:right w:val="nil"/>
            </w:tcBorders>
            <w:shd w:val="clear" w:color="auto" w:fill="auto"/>
            <w:noWrap/>
            <w:vAlign w:val="center"/>
          </w:tcPr>
          <w:p w14:paraId="78E6BFAC" w14:textId="3D872348" w:rsidR="00415923" w:rsidRPr="006122F8" w:rsidRDefault="00665FC5" w:rsidP="00415923">
            <w:pPr>
              <w:jc w:val="right"/>
              <w:rPr>
                <w:rFonts w:asciiTheme="minorHAnsi" w:eastAsia="Calibri" w:hAnsiTheme="minorHAnsi" w:cstheme="minorHAnsi"/>
                <w:i/>
                <w:iCs/>
                <w:color w:val="21286C"/>
                <w:sz w:val="20"/>
                <w:szCs w:val="20"/>
                <w:lang w:val="en-GB" w:eastAsia="en-GB"/>
              </w:rPr>
            </w:pPr>
            <w:r>
              <w:rPr>
                <w:rFonts w:ascii="Calibri" w:eastAsia="Calibri" w:hAnsi="Calibri" w:cs="Calibri"/>
                <w:i/>
                <w:iCs/>
                <w:color w:val="21286C"/>
                <w:sz w:val="21"/>
                <w:szCs w:val="21"/>
                <w:lang w:val="en-GB" w:eastAsia="en-GB"/>
              </w:rPr>
              <w:t>6,9</w:t>
            </w:r>
            <w:r w:rsidR="00415923" w:rsidRPr="00453DDF">
              <w:rPr>
                <w:rFonts w:ascii="Calibri" w:eastAsia="Calibri" w:hAnsi="Calibri" w:cs="Calibri"/>
                <w:i/>
                <w:iCs/>
                <w:color w:val="21286C"/>
                <w:sz w:val="21"/>
                <w:szCs w:val="21"/>
                <w:lang w:val="en-GB" w:eastAsia="en-GB"/>
              </w:rPr>
              <w:t>%</w:t>
            </w:r>
          </w:p>
        </w:tc>
        <w:tc>
          <w:tcPr>
            <w:tcW w:w="283" w:type="dxa"/>
            <w:vMerge/>
            <w:tcBorders>
              <w:left w:val="nil"/>
              <w:bottom w:val="nil"/>
              <w:right w:val="nil"/>
            </w:tcBorders>
            <w:shd w:val="clear" w:color="auto" w:fill="A6A6A6" w:themeFill="background1" w:themeFillShade="A6"/>
            <w:vAlign w:val="center"/>
          </w:tcPr>
          <w:p w14:paraId="47541814" w14:textId="77777777" w:rsidR="00415923" w:rsidRPr="006122F8" w:rsidRDefault="00415923" w:rsidP="00415923">
            <w:pPr>
              <w:jc w:val="right"/>
              <w:rPr>
                <w:rFonts w:asciiTheme="minorHAnsi" w:eastAsia="Calibri" w:hAnsiTheme="minorHAnsi" w:cstheme="minorHAnsi"/>
                <w:i/>
                <w:iCs/>
                <w:color w:val="21286C"/>
                <w:sz w:val="20"/>
                <w:szCs w:val="20"/>
                <w:lang w:val="en-GB" w:eastAsia="en-GB"/>
              </w:rPr>
            </w:pPr>
          </w:p>
        </w:tc>
        <w:tc>
          <w:tcPr>
            <w:tcW w:w="1280" w:type="dxa"/>
            <w:tcBorders>
              <w:top w:val="single" w:sz="4" w:space="0" w:color="auto"/>
              <w:left w:val="nil"/>
              <w:bottom w:val="single" w:sz="4" w:space="0" w:color="auto"/>
              <w:right w:val="nil"/>
            </w:tcBorders>
            <w:shd w:val="clear" w:color="auto" w:fill="F2F2F2" w:themeFill="background1" w:themeFillShade="F2"/>
            <w:vAlign w:val="center"/>
          </w:tcPr>
          <w:p w14:paraId="002CA08B" w14:textId="180E0B20" w:rsidR="00415923" w:rsidRPr="00665FC5" w:rsidRDefault="00665FC5" w:rsidP="00415923">
            <w:pPr>
              <w:jc w:val="right"/>
              <w:rPr>
                <w:rFonts w:asciiTheme="minorHAnsi" w:eastAsia="Calibri" w:hAnsiTheme="minorHAnsi" w:cstheme="minorHAnsi"/>
                <w:color w:val="21286C"/>
                <w:sz w:val="20"/>
                <w:szCs w:val="20"/>
                <w:lang w:val="en-US" w:eastAsia="en-GB"/>
              </w:rPr>
            </w:pPr>
            <w:r>
              <w:rPr>
                <w:rFonts w:ascii="Calibri" w:eastAsia="Calibri" w:hAnsi="Calibri" w:cs="Calibri"/>
                <w:b/>
                <w:bCs/>
                <w:color w:val="21286C"/>
                <w:sz w:val="21"/>
                <w:szCs w:val="21"/>
                <w:lang w:val="en-US" w:eastAsia="en-GB"/>
              </w:rPr>
              <w:t>8,8</w:t>
            </w:r>
          </w:p>
        </w:tc>
        <w:tc>
          <w:tcPr>
            <w:tcW w:w="1280" w:type="dxa"/>
            <w:tcBorders>
              <w:top w:val="single" w:sz="4" w:space="0" w:color="auto"/>
              <w:left w:val="nil"/>
              <w:bottom w:val="single" w:sz="4" w:space="0" w:color="auto"/>
              <w:right w:val="nil"/>
            </w:tcBorders>
            <w:vAlign w:val="center"/>
          </w:tcPr>
          <w:p w14:paraId="4B17AFD7" w14:textId="1E07D36F" w:rsidR="00415923" w:rsidRPr="00415923" w:rsidRDefault="00415923" w:rsidP="00415923">
            <w:pPr>
              <w:jc w:val="right"/>
              <w:rPr>
                <w:rFonts w:asciiTheme="minorHAnsi" w:eastAsia="Calibri" w:hAnsiTheme="minorHAnsi" w:cstheme="minorHAnsi"/>
                <w:i/>
                <w:iCs/>
                <w:color w:val="21286C"/>
                <w:sz w:val="20"/>
                <w:szCs w:val="20"/>
                <w:lang w:val="en-GB" w:eastAsia="en-GB"/>
              </w:rPr>
            </w:pPr>
            <w:r w:rsidRPr="00415923">
              <w:rPr>
                <w:rFonts w:ascii="Calibri" w:eastAsia="Calibri" w:hAnsi="Calibri" w:cs="Calibri"/>
                <w:color w:val="21286C"/>
                <w:sz w:val="21"/>
                <w:szCs w:val="21"/>
                <w:lang w:eastAsia="en-GB"/>
              </w:rPr>
              <w:t>2,9</w:t>
            </w:r>
          </w:p>
        </w:tc>
        <w:tc>
          <w:tcPr>
            <w:tcW w:w="856" w:type="dxa"/>
            <w:tcBorders>
              <w:top w:val="single" w:sz="4" w:space="0" w:color="auto"/>
              <w:left w:val="nil"/>
              <w:bottom w:val="single" w:sz="4" w:space="0" w:color="auto"/>
              <w:right w:val="nil"/>
            </w:tcBorders>
            <w:vAlign w:val="center"/>
          </w:tcPr>
          <w:p w14:paraId="66C19F8D" w14:textId="648CD730" w:rsidR="00415923" w:rsidRPr="006122F8" w:rsidRDefault="00453213" w:rsidP="00415923">
            <w:pPr>
              <w:jc w:val="right"/>
              <w:rPr>
                <w:rFonts w:asciiTheme="minorHAnsi" w:eastAsia="Calibri" w:hAnsiTheme="minorHAnsi" w:cstheme="minorHAnsi"/>
                <w:i/>
                <w:iCs/>
                <w:color w:val="21286C"/>
                <w:sz w:val="20"/>
                <w:szCs w:val="20"/>
                <w:lang w:val="en-GB" w:eastAsia="en-GB"/>
              </w:rPr>
            </w:pPr>
            <w:r>
              <w:rPr>
                <w:rFonts w:ascii="Calibri" w:eastAsia="Calibri" w:hAnsi="Calibri" w:cs="Calibri"/>
                <w:i/>
                <w:iCs/>
                <w:color w:val="21286C"/>
                <w:sz w:val="21"/>
                <w:szCs w:val="21"/>
                <w:lang w:val="en-GB" w:eastAsia="en-GB"/>
              </w:rPr>
              <w:t>201,2</w:t>
            </w:r>
            <w:r w:rsidR="00415923" w:rsidRPr="00453DDF">
              <w:rPr>
                <w:rFonts w:ascii="Calibri" w:eastAsia="Calibri" w:hAnsi="Calibri" w:cs="Calibri"/>
                <w:i/>
                <w:iCs/>
                <w:color w:val="21286C"/>
                <w:sz w:val="21"/>
                <w:szCs w:val="21"/>
                <w:lang w:val="en-GB" w:eastAsia="en-GB"/>
              </w:rPr>
              <w:t>%</w:t>
            </w:r>
          </w:p>
        </w:tc>
      </w:tr>
    </w:tbl>
    <w:p w14:paraId="3F06A3FB" w14:textId="2D1907EE" w:rsidR="00BD566F" w:rsidRPr="00BD566F" w:rsidRDefault="00BD566F" w:rsidP="00AA4C96">
      <w:pPr>
        <w:jc w:val="both"/>
        <w:rPr>
          <w:rFonts w:ascii="Calibri" w:hAnsi="Calibri" w:cs="Arial"/>
          <w:b/>
          <w:color w:val="21286C"/>
          <w:sz w:val="28"/>
          <w:lang w:val="en-US"/>
        </w:rPr>
      </w:pPr>
    </w:p>
    <w:p w14:paraId="278B79DB" w14:textId="77777777" w:rsidR="00AA4C96" w:rsidRDefault="00AA4C96" w:rsidP="00AA4C96">
      <w:pPr>
        <w:jc w:val="both"/>
        <w:rPr>
          <w:rFonts w:ascii="Calibri" w:hAnsi="Calibri"/>
          <w:b/>
          <w:color w:val="21286C"/>
          <w:sz w:val="28"/>
          <w:lang w:val="en-US"/>
        </w:rPr>
      </w:pPr>
      <w:r>
        <w:rPr>
          <w:rFonts w:ascii="Calibri" w:hAnsi="Calibri"/>
          <w:b/>
          <w:color w:val="21286C"/>
          <w:sz w:val="28"/>
        </w:rPr>
        <w:t>ΗΠΑ</w:t>
      </w:r>
    </w:p>
    <w:p w14:paraId="4B40AFD3" w14:textId="2D0D0F1D" w:rsidR="002434BA" w:rsidRDefault="00367BA6" w:rsidP="00AA4C96">
      <w:pPr>
        <w:jc w:val="both"/>
        <w:rPr>
          <w:rFonts w:ascii="Calibri Light" w:hAnsi="Calibri Light"/>
          <w:color w:val="21286C"/>
          <w:sz w:val="21"/>
          <w:lang w:val="en-US"/>
        </w:rPr>
      </w:pPr>
      <w:r w:rsidRPr="00B906C6">
        <w:rPr>
          <w:rFonts w:ascii="Arial" w:hAnsi="Arial"/>
          <w:noProof/>
          <w:color w:val="21286C"/>
          <w:sz w:val="28"/>
          <w:lang w:eastAsia="en-GB"/>
        </w:rPr>
        <mc:AlternateContent>
          <mc:Choice Requires="wps">
            <w:drawing>
              <wp:anchor distT="0" distB="0" distL="114300" distR="114300" simplePos="0" relativeHeight="251658248" behindDoc="0" locked="0" layoutInCell="1" allowOverlap="1" wp14:anchorId="29151A27" wp14:editId="0A6AA091">
                <wp:simplePos x="0" y="0"/>
                <wp:positionH relativeFrom="column">
                  <wp:posOffset>1689735</wp:posOffset>
                </wp:positionH>
                <wp:positionV relativeFrom="paragraph">
                  <wp:posOffset>155244</wp:posOffset>
                </wp:positionV>
                <wp:extent cx="1287145" cy="397510"/>
                <wp:effectExtent l="0" t="0" r="0"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397510"/>
                        </a:xfrm>
                        <a:prstGeom prst="rect">
                          <a:avLst/>
                        </a:prstGeom>
                      </wps:spPr>
                      <wps:txbx>
                        <w:txbxContent>
                          <w:p w14:paraId="27E86B5C" w14:textId="6BA952D9" w:rsidR="00367BA6" w:rsidRPr="00367BA6" w:rsidRDefault="00367BA6" w:rsidP="00367BA6">
                            <w:pPr>
                              <w:spacing w:line="216" w:lineRule="auto"/>
                              <w:jc w:val="center"/>
                              <w:rPr>
                                <w:rFonts w:ascii="Calibri" w:hAnsi="Calibri"/>
                                <w:b/>
                                <w:bCs/>
                                <w:color w:val="00183D"/>
                                <w:sz w:val="18"/>
                                <w:szCs w:val="18"/>
                                <w:lang w:val="en-US"/>
                              </w:rPr>
                            </w:pPr>
                            <w:r w:rsidRPr="00621C7D">
                              <w:rPr>
                                <w:rFonts w:ascii="Calibri" w:hAnsi="Calibri"/>
                                <w:b/>
                                <w:bCs/>
                                <w:color w:val="00183D"/>
                                <w:sz w:val="18"/>
                                <w:szCs w:val="18"/>
                                <w:lang w:val="en-CA"/>
                              </w:rPr>
                              <w:t>EBITDA</w:t>
                            </w:r>
                            <w:r>
                              <w:rPr>
                                <w:rFonts w:ascii="Calibri" w:hAnsi="Calibri"/>
                                <w:b/>
                                <w:bCs/>
                                <w:color w:val="00183D"/>
                                <w:sz w:val="18"/>
                                <w:szCs w:val="18"/>
                              </w:rPr>
                              <w:t xml:space="preserve"> </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29151A27" id="Rectangle 74" o:spid="_x0000_s1026" style="position:absolute;left:0;text-align:left;margin-left:133.05pt;margin-top:12.2pt;width:101.35pt;height:31.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" filled="f" stroked="f">
                <v:textbox style="mso-fit-shape-to-text:t">
                  <w:txbxContent>
                    <w:p w14:paraId="27E86B5C" w14:textId="6BA952D9" w:rsidR="00367BA6" w:rsidRPr="00367BA6" w:rsidRDefault="00367BA6" w:rsidP="00367BA6">
                      <w:pPr>
                        <w:spacing w:line="216" w:lineRule="auto"/>
                        <w:jc w:val="center"/>
                        <w:rPr>
                          <w:rFonts w:ascii="Calibri" w:hAnsi="Calibri"/>
                          <w:b/>
                          <w:bCs/>
                          <w:color w:val="00183D"/>
                          <w:sz w:val="18"/>
                          <w:szCs w:val="18"/>
                          <w:lang w:val="en-US"/>
                        </w:rPr>
                      </w:pPr>
                      <w:r w:rsidRPr="00621C7D">
                        <w:rPr>
                          <w:rFonts w:ascii="Calibri" w:hAnsi="Calibri"/>
                          <w:b/>
                          <w:bCs/>
                          <w:color w:val="00183D"/>
                          <w:sz w:val="18"/>
                          <w:szCs w:val="18"/>
                          <w:lang w:val="en-CA"/>
                        </w:rPr>
                        <w:t>EBITDA</w:t>
                      </w:r>
                      <w:r>
                        <w:rPr>
                          <w:rFonts w:ascii="Calibri" w:hAnsi="Calibri"/>
                          <w:b/>
                          <w:bCs/>
                          <w:color w:val="00183D"/>
                          <w:sz w:val="18"/>
                          <w:szCs w:val="18"/>
                        </w:rPr>
                        <w:t xml:space="preserve"> </w:t>
                      </w:r>
                    </w:p>
                  </w:txbxContent>
                </v:textbox>
              </v:rect>
            </w:pict>
          </mc:Fallback>
        </mc:AlternateContent>
      </w:r>
      <w:r w:rsidRPr="00B906C6">
        <w:rPr>
          <w:rFonts w:ascii="Arial" w:hAnsi="Arial"/>
          <w:noProof/>
          <w:color w:val="21286C"/>
          <w:sz w:val="28"/>
          <w:lang w:eastAsia="en-GB"/>
        </w:rPr>
        <mc:AlternateContent>
          <mc:Choice Requires="wps">
            <w:drawing>
              <wp:anchor distT="0" distB="0" distL="114300" distR="114300" simplePos="0" relativeHeight="251658247" behindDoc="1" locked="0" layoutInCell="1" allowOverlap="1" wp14:anchorId="3E538E6E" wp14:editId="3C813B76">
                <wp:simplePos x="0" y="0"/>
                <wp:positionH relativeFrom="margin">
                  <wp:posOffset>150495</wp:posOffset>
                </wp:positionH>
                <wp:positionV relativeFrom="paragraph">
                  <wp:posOffset>139065</wp:posOffset>
                </wp:positionV>
                <wp:extent cx="1341755" cy="397510"/>
                <wp:effectExtent l="0" t="0" r="0" b="0"/>
                <wp:wrapSquare wrapText="bothSides"/>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1755" cy="397510"/>
                        </a:xfrm>
                        <a:prstGeom prst="rect">
                          <a:avLst/>
                        </a:prstGeom>
                      </wps:spPr>
                      <wps:txbx>
                        <w:txbxContent>
                          <w:p w14:paraId="4A6B2DE7" w14:textId="77777777" w:rsidR="002434BA" w:rsidRPr="00B74741" w:rsidRDefault="002434BA" w:rsidP="002434BA">
                            <w:pPr>
                              <w:spacing w:line="216" w:lineRule="auto"/>
                              <w:jc w:val="center"/>
                              <w:rPr>
                                <w:rFonts w:ascii="Calibri" w:hAnsi="Calibri"/>
                                <w:b/>
                                <w:bCs/>
                                <w:color w:val="00183D"/>
                                <w:sz w:val="18"/>
                                <w:szCs w:val="18"/>
                              </w:rPr>
                            </w:pPr>
                            <w:r>
                              <w:rPr>
                                <w:rFonts w:ascii="Calibri" w:hAnsi="Calibri"/>
                                <w:b/>
                                <w:bCs/>
                                <w:color w:val="00183D"/>
                                <w:sz w:val="18"/>
                                <w:szCs w:val="18"/>
                              </w:rPr>
                              <w:t>Πωλήσεις</w:t>
                            </w:r>
                          </w:p>
                          <w:p w14:paraId="0CCCE225" w14:textId="77777777" w:rsidR="002434BA" w:rsidRPr="00B74741" w:rsidRDefault="002434BA" w:rsidP="002434BA">
                            <w:pPr>
                              <w:spacing w:line="216" w:lineRule="auto"/>
                              <w:jc w:val="center"/>
                              <w:rPr>
                                <w:rFonts w:ascii="Calibri Light" w:hAnsi="Calibri Light" w:cs="Calibri Light"/>
                                <w:color w:val="00183D"/>
                                <w:sz w:val="18"/>
                                <w:szCs w:val="1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3E538E6E" id="Rectangle 73" o:spid="_x0000_s1027" style="position:absolute;left:0;text-align:left;margin-left:11.85pt;margin-top:10.95pt;width:105.65pt;height:31.3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" filled="f" stroked="f">
                <v:textbox style="mso-fit-shape-to-text:t">
                  <w:txbxContent>
                    <w:p w14:paraId="4A6B2DE7" w14:textId="77777777" w:rsidR="002434BA" w:rsidRPr="00B74741" w:rsidRDefault="002434BA" w:rsidP="002434BA">
                      <w:pPr>
                        <w:spacing w:line="216" w:lineRule="auto"/>
                        <w:jc w:val="center"/>
                        <w:rPr>
                          <w:rFonts w:ascii="Calibri" w:hAnsi="Calibri"/>
                          <w:b/>
                          <w:bCs/>
                          <w:color w:val="00183D"/>
                          <w:sz w:val="18"/>
                          <w:szCs w:val="18"/>
                        </w:rPr>
                      </w:pPr>
                      <w:r>
                        <w:rPr>
                          <w:rFonts w:ascii="Calibri" w:hAnsi="Calibri"/>
                          <w:b/>
                          <w:bCs/>
                          <w:color w:val="00183D"/>
                          <w:sz w:val="18"/>
                          <w:szCs w:val="18"/>
                        </w:rPr>
                        <w:t>Πωλήσεις</w:t>
                      </w:r>
                    </w:p>
                    <w:p w14:paraId="0CCCE225" w14:textId="77777777" w:rsidR="002434BA" w:rsidRPr="00B74741" w:rsidRDefault="002434BA" w:rsidP="002434BA">
                      <w:pPr>
                        <w:spacing w:line="216" w:lineRule="auto"/>
                        <w:jc w:val="center"/>
                        <w:rPr>
                          <w:rFonts w:ascii="Calibri Light" w:hAnsi="Calibri Light" w:cs="Calibri Light"/>
                          <w:color w:val="00183D"/>
                          <w:sz w:val="18"/>
                          <w:szCs w:val="18"/>
                        </w:rPr>
                      </w:pPr>
                    </w:p>
                  </w:txbxContent>
                </v:textbox>
                <w10:wrap type="square" anchorx="margin"/>
              </v:rect>
            </w:pict>
          </mc:Fallback>
        </mc:AlternateContent>
      </w:r>
    </w:p>
    <w:p w14:paraId="7D6CA2EC" w14:textId="049396CE" w:rsidR="002434BA" w:rsidRDefault="002434BA" w:rsidP="00AA4C96">
      <w:pPr>
        <w:jc w:val="both"/>
        <w:rPr>
          <w:rFonts w:ascii="Calibri Light" w:hAnsi="Calibri Light"/>
          <w:color w:val="21286C"/>
          <w:sz w:val="21"/>
          <w:lang w:val="en-US"/>
        </w:rPr>
      </w:pPr>
    </w:p>
    <w:p w14:paraId="36057D78" w14:textId="287A69A4" w:rsidR="002434BA" w:rsidRDefault="002434BA" w:rsidP="00AA4C96">
      <w:pPr>
        <w:jc w:val="both"/>
        <w:rPr>
          <w:rFonts w:ascii="Calibri Light" w:hAnsi="Calibri Light"/>
          <w:color w:val="21286C"/>
          <w:sz w:val="21"/>
          <w:lang w:val="en-US"/>
        </w:rPr>
      </w:pPr>
    </w:p>
    <w:p w14:paraId="03346A68" w14:textId="412E893A" w:rsidR="00367BA6" w:rsidRDefault="00A24CBB" w:rsidP="00AA4C96">
      <w:pPr>
        <w:jc w:val="both"/>
        <w:rPr>
          <w:rFonts w:ascii="Calibri Light" w:hAnsi="Calibri Light"/>
          <w:color w:val="21286C"/>
          <w:sz w:val="21"/>
          <w:lang w:val="en-US"/>
        </w:rPr>
      </w:pPr>
      <w:r>
        <w:rPr>
          <w:rFonts w:ascii="Calibri Light" w:hAnsi="Calibri Light"/>
          <w:noProof/>
          <w:color w:val="21286C"/>
          <w:sz w:val="21"/>
          <w:lang w:val="en-US"/>
        </w:rPr>
        <w:drawing>
          <wp:inline distT="0" distB="0" distL="0" distR="0" wp14:anchorId="0D8890AD" wp14:editId="211EE4DF">
            <wp:extent cx="3069203" cy="1430650"/>
            <wp:effectExtent l="0" t="0" r="0" b="0"/>
            <wp:docPr id="75444248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9411" cy="1435408"/>
                    </a:xfrm>
                    <a:prstGeom prst="rect">
                      <a:avLst/>
                    </a:prstGeom>
                    <a:noFill/>
                  </pic:spPr>
                </pic:pic>
              </a:graphicData>
            </a:graphic>
          </wp:inline>
        </w:drawing>
      </w:r>
    </w:p>
    <w:p w14:paraId="2CCE8726" w14:textId="3DEB68A8" w:rsidR="00AA4C96" w:rsidRPr="00717BD4" w:rsidRDefault="00AA4C96" w:rsidP="00AA4C96">
      <w:pPr>
        <w:jc w:val="both"/>
        <w:rPr>
          <w:rFonts w:ascii="Calibri Light" w:eastAsia="Calibri" w:hAnsi="Calibri Light" w:cs="Calibri Light"/>
          <w:color w:val="21286C"/>
          <w:sz w:val="21"/>
          <w:szCs w:val="21"/>
        </w:rPr>
      </w:pPr>
      <w:r>
        <w:rPr>
          <w:rFonts w:ascii="Calibri Light" w:hAnsi="Calibri Light"/>
          <w:color w:val="21286C"/>
          <w:sz w:val="21"/>
        </w:rPr>
        <w:t xml:space="preserve">Κατά το πρώτο τρίμηνο του 2025, οι δραστηριότητές μας στη Φλόριντα και στις Μεσοατλαντικές Πολιτείες </w:t>
      </w:r>
      <w:r w:rsidR="00015BCF">
        <w:rPr>
          <w:rFonts w:ascii="Calibri Light" w:hAnsi="Calibri Light"/>
          <w:color w:val="21286C"/>
          <w:sz w:val="21"/>
        </w:rPr>
        <w:t>επηρεάστηκαν από</w:t>
      </w:r>
      <w:r>
        <w:rPr>
          <w:rFonts w:ascii="Calibri Light" w:hAnsi="Calibri Light"/>
          <w:color w:val="21286C"/>
          <w:sz w:val="21"/>
        </w:rPr>
        <w:t xml:space="preserve"> διαφορετικές συνθήκες στα επιμέρους τμήματα των αγορών. Οι τιμές διατηρήθηκαν </w:t>
      </w:r>
      <w:r w:rsidR="009D3AD0">
        <w:rPr>
          <w:rFonts w:ascii="Calibri Light" w:hAnsi="Calibri Light"/>
          <w:color w:val="21286C"/>
          <w:sz w:val="21"/>
        </w:rPr>
        <w:t>σταθερές</w:t>
      </w:r>
      <w:r>
        <w:rPr>
          <w:rFonts w:ascii="Calibri Light" w:hAnsi="Calibri Light"/>
          <w:color w:val="21286C"/>
          <w:sz w:val="21"/>
        </w:rPr>
        <w:t xml:space="preserve"> </w:t>
      </w:r>
      <w:r w:rsidR="009D3AD0">
        <w:rPr>
          <w:rFonts w:ascii="Calibri Light" w:hAnsi="Calibri Light"/>
          <w:color w:val="21286C"/>
          <w:sz w:val="21"/>
        </w:rPr>
        <w:t>στο</w:t>
      </w:r>
      <w:r>
        <w:rPr>
          <w:rFonts w:ascii="Calibri Light" w:hAnsi="Calibri Light"/>
          <w:color w:val="21286C"/>
          <w:sz w:val="21"/>
        </w:rPr>
        <w:t xml:space="preserve"> τσιμέντο και </w:t>
      </w:r>
      <w:r w:rsidR="009D3AD0">
        <w:rPr>
          <w:rFonts w:ascii="Calibri Light" w:hAnsi="Calibri Light"/>
          <w:color w:val="21286C"/>
          <w:sz w:val="21"/>
        </w:rPr>
        <w:t>σ</w:t>
      </w:r>
      <w:r>
        <w:rPr>
          <w:rFonts w:ascii="Calibri Light" w:hAnsi="Calibri Light"/>
          <w:color w:val="21286C"/>
          <w:sz w:val="21"/>
        </w:rPr>
        <w:t xml:space="preserve">τα αδρανή υλικά, ενώ </w:t>
      </w:r>
      <w:r w:rsidR="00CC17D4">
        <w:rPr>
          <w:rFonts w:ascii="Calibri Light" w:hAnsi="Calibri Light"/>
          <w:color w:val="21286C"/>
          <w:sz w:val="21"/>
        </w:rPr>
        <w:t>σημειώθηκαν</w:t>
      </w:r>
      <w:r w:rsidR="002D551F">
        <w:rPr>
          <w:rFonts w:ascii="Calibri Light" w:hAnsi="Calibri Light"/>
          <w:color w:val="21286C"/>
          <w:sz w:val="21"/>
        </w:rPr>
        <w:t xml:space="preserve"> ή</w:t>
      </w:r>
      <w:r>
        <w:rPr>
          <w:rFonts w:ascii="Calibri Light" w:hAnsi="Calibri Light"/>
          <w:color w:val="21286C"/>
          <w:sz w:val="21"/>
        </w:rPr>
        <w:t xml:space="preserve">πιες αυξήσεις </w:t>
      </w:r>
      <w:r w:rsidR="00597CB3">
        <w:rPr>
          <w:rFonts w:ascii="Calibri Light" w:hAnsi="Calibri Light"/>
          <w:color w:val="21286C"/>
          <w:sz w:val="21"/>
        </w:rPr>
        <w:t>στις τιμές του έτοιμου σκυροδέματος.</w:t>
      </w:r>
      <w:r>
        <w:rPr>
          <w:rFonts w:ascii="Calibri Light" w:hAnsi="Calibri Light"/>
          <w:color w:val="21286C"/>
          <w:sz w:val="21"/>
        </w:rPr>
        <w:t xml:space="preserve"> Οι πωλήσε</w:t>
      </w:r>
      <w:r w:rsidR="00F02925">
        <w:rPr>
          <w:rFonts w:ascii="Calibri Light" w:hAnsi="Calibri Light"/>
          <w:color w:val="21286C"/>
          <w:sz w:val="21"/>
        </w:rPr>
        <w:t>ις</w:t>
      </w:r>
      <w:r>
        <w:rPr>
          <w:rFonts w:ascii="Calibri Light" w:hAnsi="Calibri Light"/>
          <w:color w:val="21286C"/>
          <w:sz w:val="21"/>
        </w:rPr>
        <w:t xml:space="preserve"> τσιμέντο</w:t>
      </w:r>
      <w:r w:rsidR="00F02925">
        <w:rPr>
          <w:rFonts w:ascii="Calibri Light" w:hAnsi="Calibri Light"/>
          <w:color w:val="21286C"/>
          <w:sz w:val="21"/>
        </w:rPr>
        <w:t>υ</w:t>
      </w:r>
      <w:r>
        <w:rPr>
          <w:rFonts w:ascii="Calibri Light" w:hAnsi="Calibri Light"/>
          <w:color w:val="21286C"/>
          <w:sz w:val="21"/>
        </w:rPr>
        <w:t xml:space="preserve"> και έτοιμο</w:t>
      </w:r>
      <w:r w:rsidR="00F02925">
        <w:rPr>
          <w:rFonts w:ascii="Calibri Light" w:hAnsi="Calibri Light"/>
          <w:color w:val="21286C"/>
          <w:sz w:val="21"/>
        </w:rPr>
        <w:t>υ</w:t>
      </w:r>
      <w:r>
        <w:rPr>
          <w:rFonts w:ascii="Calibri Light" w:hAnsi="Calibri Light"/>
          <w:color w:val="21286C"/>
          <w:sz w:val="21"/>
        </w:rPr>
        <w:t xml:space="preserve"> σκυρ</w:t>
      </w:r>
      <w:r w:rsidR="00F02925">
        <w:rPr>
          <w:rFonts w:ascii="Calibri Light" w:hAnsi="Calibri Light"/>
          <w:color w:val="21286C"/>
          <w:sz w:val="21"/>
        </w:rPr>
        <w:t>οδέματος</w:t>
      </w:r>
      <w:r>
        <w:rPr>
          <w:rFonts w:ascii="Calibri Light" w:hAnsi="Calibri Light"/>
          <w:color w:val="21286C"/>
          <w:sz w:val="21"/>
        </w:rPr>
        <w:t xml:space="preserve">, </w:t>
      </w:r>
      <w:r w:rsidR="00F23EE3">
        <w:rPr>
          <w:rFonts w:ascii="Calibri Light" w:hAnsi="Calibri Light"/>
          <w:color w:val="21286C"/>
          <w:sz w:val="21"/>
        </w:rPr>
        <w:t xml:space="preserve">κυρίως κατά </w:t>
      </w:r>
      <w:r>
        <w:rPr>
          <w:rFonts w:ascii="Calibri Light" w:hAnsi="Calibri Light"/>
          <w:color w:val="21286C"/>
          <w:sz w:val="21"/>
        </w:rPr>
        <w:t xml:space="preserve">τους πρώτους δύο μήνες του έτους, </w:t>
      </w:r>
      <w:r w:rsidR="00FA1A75">
        <w:rPr>
          <w:rFonts w:ascii="Calibri Light" w:hAnsi="Calibri Light"/>
          <w:color w:val="21286C"/>
          <w:sz w:val="21"/>
        </w:rPr>
        <w:t>επηρεάστηκαν</w:t>
      </w:r>
      <w:r>
        <w:rPr>
          <w:rFonts w:ascii="Calibri Light" w:hAnsi="Calibri Light"/>
          <w:color w:val="21286C"/>
          <w:sz w:val="21"/>
        </w:rPr>
        <w:t xml:space="preserve"> </w:t>
      </w:r>
      <w:r w:rsidR="000C0B6A">
        <w:rPr>
          <w:rFonts w:ascii="Calibri Light" w:hAnsi="Calibri Light"/>
          <w:color w:val="21286C"/>
          <w:sz w:val="21"/>
        </w:rPr>
        <w:t xml:space="preserve">αρνητικά </w:t>
      </w:r>
      <w:r>
        <w:rPr>
          <w:rFonts w:ascii="Calibri Light" w:hAnsi="Calibri Light"/>
          <w:color w:val="21286C"/>
          <w:sz w:val="21"/>
        </w:rPr>
        <w:t xml:space="preserve">από δυσμενείς καιρικές συνθήκες, </w:t>
      </w:r>
      <w:r w:rsidR="00BB60DF">
        <w:rPr>
          <w:rFonts w:ascii="Calibri Light" w:hAnsi="Calibri Light"/>
          <w:color w:val="21286C"/>
          <w:sz w:val="21"/>
        </w:rPr>
        <w:t xml:space="preserve">καθώς και από την </w:t>
      </w:r>
      <w:r>
        <w:rPr>
          <w:rFonts w:ascii="Calibri Light" w:hAnsi="Calibri Light"/>
          <w:color w:val="21286C"/>
          <w:sz w:val="21"/>
        </w:rPr>
        <w:t xml:space="preserve">υποχώρηση </w:t>
      </w:r>
      <w:r w:rsidR="000C0B6A">
        <w:rPr>
          <w:rFonts w:ascii="Calibri Light" w:hAnsi="Calibri Light"/>
          <w:color w:val="21286C"/>
          <w:sz w:val="21"/>
        </w:rPr>
        <w:t xml:space="preserve">της δραστηριότητας </w:t>
      </w:r>
      <w:r>
        <w:rPr>
          <w:rFonts w:ascii="Calibri Light" w:hAnsi="Calibri Light"/>
          <w:color w:val="21286C"/>
          <w:sz w:val="21"/>
        </w:rPr>
        <w:t xml:space="preserve">στον κλάδο κατοικίας </w:t>
      </w:r>
      <w:r w:rsidR="002B267E">
        <w:rPr>
          <w:rFonts w:ascii="Calibri Light" w:hAnsi="Calibri Light"/>
          <w:color w:val="21286C"/>
          <w:sz w:val="21"/>
        </w:rPr>
        <w:t xml:space="preserve">λόγω </w:t>
      </w:r>
      <w:r w:rsidR="00356682" w:rsidRPr="00356682">
        <w:rPr>
          <w:rFonts w:ascii="Calibri Light" w:hAnsi="Calibri Light"/>
          <w:color w:val="21286C"/>
          <w:sz w:val="21"/>
        </w:rPr>
        <w:t xml:space="preserve">της συγκρατημένης ζήτησης που </w:t>
      </w:r>
      <w:r w:rsidR="002B267E">
        <w:rPr>
          <w:rFonts w:ascii="Calibri Light" w:hAnsi="Calibri Light"/>
          <w:color w:val="21286C"/>
          <w:sz w:val="21"/>
        </w:rPr>
        <w:t xml:space="preserve">προκαλούν </w:t>
      </w:r>
      <w:r w:rsidR="00356682" w:rsidRPr="00356682">
        <w:rPr>
          <w:rFonts w:ascii="Calibri Light" w:hAnsi="Calibri Light"/>
          <w:color w:val="21286C"/>
          <w:sz w:val="21"/>
        </w:rPr>
        <w:t xml:space="preserve">τα </w:t>
      </w:r>
      <w:r w:rsidR="007343DC">
        <w:rPr>
          <w:rFonts w:ascii="Calibri Light" w:hAnsi="Calibri Light"/>
          <w:color w:val="21286C"/>
          <w:sz w:val="21"/>
        </w:rPr>
        <w:t>υψηλά</w:t>
      </w:r>
      <w:r w:rsidR="00356682" w:rsidRPr="00356682">
        <w:rPr>
          <w:rFonts w:ascii="Calibri Light" w:hAnsi="Calibri Light"/>
          <w:color w:val="21286C"/>
          <w:sz w:val="21"/>
        </w:rPr>
        <w:t xml:space="preserve"> επιτόκια και </w:t>
      </w:r>
      <w:r w:rsidR="00613C7B">
        <w:rPr>
          <w:rFonts w:ascii="Calibri Light" w:hAnsi="Calibri Light"/>
          <w:color w:val="21286C"/>
          <w:sz w:val="21"/>
        </w:rPr>
        <w:t>το κόστος</w:t>
      </w:r>
      <w:r w:rsidR="00AF7C4B">
        <w:rPr>
          <w:rFonts w:ascii="Calibri Light" w:hAnsi="Calibri Light"/>
          <w:color w:val="21286C"/>
          <w:sz w:val="21"/>
        </w:rPr>
        <w:t xml:space="preserve"> στέγασης</w:t>
      </w:r>
      <w:r>
        <w:rPr>
          <w:rFonts w:ascii="Calibri Light" w:hAnsi="Calibri Light"/>
          <w:color w:val="21286C"/>
          <w:sz w:val="21"/>
        </w:rPr>
        <w:t xml:space="preserve">. Ωστόσο, τα αδρανή υλικά κατέγραψαν αύξηση </w:t>
      </w:r>
      <w:r w:rsidR="0013757D">
        <w:rPr>
          <w:rFonts w:ascii="Calibri Light" w:hAnsi="Calibri Light"/>
          <w:color w:val="21286C"/>
          <w:sz w:val="21"/>
        </w:rPr>
        <w:t>σ</w:t>
      </w:r>
      <w:r>
        <w:rPr>
          <w:rFonts w:ascii="Calibri Light" w:hAnsi="Calibri Light"/>
          <w:color w:val="21286C"/>
          <w:sz w:val="21"/>
        </w:rPr>
        <w:t>του</w:t>
      </w:r>
      <w:r w:rsidR="0013757D">
        <w:rPr>
          <w:rFonts w:ascii="Calibri Light" w:hAnsi="Calibri Light"/>
          <w:color w:val="21286C"/>
          <w:sz w:val="21"/>
        </w:rPr>
        <w:t>ς</w:t>
      </w:r>
      <w:r>
        <w:rPr>
          <w:rFonts w:ascii="Calibri Light" w:hAnsi="Calibri Light"/>
          <w:color w:val="21286C"/>
          <w:sz w:val="21"/>
        </w:rPr>
        <w:t xml:space="preserve"> όγκου</w:t>
      </w:r>
      <w:r w:rsidR="0013757D">
        <w:rPr>
          <w:rFonts w:ascii="Calibri Light" w:hAnsi="Calibri Light"/>
          <w:color w:val="21286C"/>
          <w:sz w:val="21"/>
        </w:rPr>
        <w:t>ς</w:t>
      </w:r>
      <w:r>
        <w:rPr>
          <w:rFonts w:ascii="Calibri Light" w:hAnsi="Calibri Light"/>
          <w:color w:val="21286C"/>
          <w:sz w:val="21"/>
        </w:rPr>
        <w:t xml:space="preserve"> πωλήσεων </w:t>
      </w:r>
      <w:r w:rsidR="006C731E">
        <w:rPr>
          <w:rFonts w:ascii="Calibri Light" w:hAnsi="Calibri Light"/>
          <w:color w:val="21286C"/>
          <w:sz w:val="21"/>
        </w:rPr>
        <w:t>κατά τη</w:t>
      </w:r>
      <w:r>
        <w:rPr>
          <w:rFonts w:ascii="Calibri Light" w:hAnsi="Calibri Light"/>
          <w:color w:val="21286C"/>
          <w:sz w:val="21"/>
        </w:rPr>
        <w:t xml:space="preserve"> διάρκεια του τριμήνου, </w:t>
      </w:r>
      <w:r w:rsidR="00DF1D03" w:rsidRPr="00DF1D03">
        <w:rPr>
          <w:rFonts w:ascii="Calibri Light" w:hAnsi="Calibri Light"/>
          <w:color w:val="21286C"/>
          <w:sz w:val="21"/>
        </w:rPr>
        <w:t xml:space="preserve">χάρη στις επενδύσεις </w:t>
      </w:r>
      <w:r w:rsidR="000A0405">
        <w:rPr>
          <w:rFonts w:ascii="Calibri Light" w:hAnsi="Calibri Light"/>
          <w:color w:val="21286C"/>
          <w:sz w:val="21"/>
        </w:rPr>
        <w:t xml:space="preserve">που υλοποιήθηκαν </w:t>
      </w:r>
      <w:r w:rsidR="00DF1D03" w:rsidRPr="00DF1D03">
        <w:rPr>
          <w:rFonts w:ascii="Calibri Light" w:hAnsi="Calibri Light"/>
          <w:color w:val="21286C"/>
          <w:sz w:val="21"/>
        </w:rPr>
        <w:t xml:space="preserve">για </w:t>
      </w:r>
      <w:r w:rsidR="006B6DE5">
        <w:rPr>
          <w:rFonts w:ascii="Calibri Light" w:hAnsi="Calibri Light"/>
          <w:color w:val="21286C"/>
          <w:sz w:val="21"/>
        </w:rPr>
        <w:t xml:space="preserve">την </w:t>
      </w:r>
      <w:r w:rsidR="00DF1D03" w:rsidRPr="00DF1D03">
        <w:rPr>
          <w:rFonts w:ascii="Calibri Light" w:hAnsi="Calibri Light"/>
          <w:color w:val="21286C"/>
          <w:sz w:val="21"/>
        </w:rPr>
        <w:t xml:space="preserve">ενίσχυση της παραγωγικής δυναμικότητας στη Φλόριντα. </w:t>
      </w:r>
      <w:r>
        <w:rPr>
          <w:rFonts w:ascii="Calibri Light" w:hAnsi="Calibri Light"/>
          <w:color w:val="21286C"/>
          <w:sz w:val="21"/>
        </w:rPr>
        <w:t xml:space="preserve">Η </w:t>
      </w:r>
      <w:r w:rsidR="006B6DE5">
        <w:rPr>
          <w:rFonts w:ascii="Calibri Light" w:hAnsi="Calibri Light"/>
          <w:color w:val="21286C"/>
          <w:sz w:val="21"/>
        </w:rPr>
        <w:t>ζήτηση</w:t>
      </w:r>
      <w:r>
        <w:rPr>
          <w:rFonts w:ascii="Calibri Light" w:hAnsi="Calibri Light"/>
          <w:color w:val="21286C"/>
          <w:sz w:val="21"/>
        </w:rPr>
        <w:t xml:space="preserve"> </w:t>
      </w:r>
      <w:r w:rsidR="003A3A38">
        <w:rPr>
          <w:rFonts w:ascii="Calibri Light" w:hAnsi="Calibri Light"/>
          <w:color w:val="21286C"/>
          <w:sz w:val="21"/>
        </w:rPr>
        <w:lastRenderedPageBreak/>
        <w:t>υποστηρίχθηκε</w:t>
      </w:r>
      <w:r>
        <w:rPr>
          <w:rFonts w:ascii="Calibri Light" w:hAnsi="Calibri Light"/>
          <w:color w:val="21286C"/>
          <w:sz w:val="21"/>
        </w:rPr>
        <w:t xml:space="preserve"> από τη </w:t>
      </w:r>
      <w:r w:rsidR="00B270AB">
        <w:rPr>
          <w:rFonts w:ascii="Calibri Light" w:hAnsi="Calibri Light"/>
          <w:color w:val="21286C"/>
          <w:sz w:val="21"/>
        </w:rPr>
        <w:t xml:space="preserve">συνεχιζόμενη </w:t>
      </w:r>
      <w:r>
        <w:rPr>
          <w:rFonts w:ascii="Calibri Light" w:hAnsi="Calibri Light"/>
          <w:color w:val="21286C"/>
          <w:sz w:val="21"/>
        </w:rPr>
        <w:t>δραστηριότητα σ</w:t>
      </w:r>
      <w:r w:rsidR="00B270AB">
        <w:rPr>
          <w:rFonts w:ascii="Calibri Light" w:hAnsi="Calibri Light"/>
          <w:color w:val="21286C"/>
          <w:sz w:val="21"/>
        </w:rPr>
        <w:t>ε</w:t>
      </w:r>
      <w:r>
        <w:rPr>
          <w:rFonts w:ascii="Calibri Light" w:hAnsi="Calibri Light"/>
          <w:color w:val="21286C"/>
          <w:sz w:val="21"/>
        </w:rPr>
        <w:t xml:space="preserve"> δημόσια έργα υποδομών, </w:t>
      </w:r>
      <w:r w:rsidR="00423D95">
        <w:rPr>
          <w:rFonts w:ascii="Calibri Light" w:hAnsi="Calibri Light"/>
          <w:color w:val="21286C"/>
          <w:sz w:val="21"/>
        </w:rPr>
        <w:t xml:space="preserve">κυρίως </w:t>
      </w:r>
      <w:r w:rsidR="00E0641F">
        <w:rPr>
          <w:rFonts w:ascii="Calibri Light" w:hAnsi="Calibri Light"/>
          <w:color w:val="21286C"/>
          <w:sz w:val="21"/>
        </w:rPr>
        <w:t xml:space="preserve">στο πλαίσιο </w:t>
      </w:r>
      <w:r w:rsidR="00065984">
        <w:rPr>
          <w:rFonts w:ascii="Calibri Light" w:hAnsi="Calibri Light"/>
          <w:color w:val="21286C"/>
          <w:sz w:val="21"/>
        </w:rPr>
        <w:t>ομοσπονδιακ</w:t>
      </w:r>
      <w:r w:rsidR="008A4FE8">
        <w:rPr>
          <w:rFonts w:ascii="Calibri Light" w:hAnsi="Calibri Light"/>
          <w:color w:val="21286C"/>
          <w:sz w:val="21"/>
        </w:rPr>
        <w:t>ών</w:t>
      </w:r>
      <w:r w:rsidR="00065984">
        <w:rPr>
          <w:rFonts w:ascii="Calibri Light" w:hAnsi="Calibri Light"/>
          <w:color w:val="21286C"/>
          <w:sz w:val="21"/>
        </w:rPr>
        <w:t xml:space="preserve"> και πολιτειακ</w:t>
      </w:r>
      <w:r w:rsidR="008A4FE8">
        <w:rPr>
          <w:rFonts w:ascii="Calibri Light" w:hAnsi="Calibri Light"/>
          <w:color w:val="21286C"/>
          <w:sz w:val="21"/>
        </w:rPr>
        <w:t>ών</w:t>
      </w:r>
      <w:r w:rsidR="00065984">
        <w:rPr>
          <w:rFonts w:ascii="Calibri Light" w:hAnsi="Calibri Light"/>
          <w:color w:val="21286C"/>
          <w:sz w:val="21"/>
        </w:rPr>
        <w:t xml:space="preserve"> </w:t>
      </w:r>
      <w:r w:rsidR="008A4FE8">
        <w:rPr>
          <w:rFonts w:ascii="Calibri Light" w:hAnsi="Calibri Light"/>
          <w:color w:val="21286C"/>
          <w:sz w:val="21"/>
        </w:rPr>
        <w:t>επενδυτικών προγραμμάτων</w:t>
      </w:r>
      <w:r w:rsidR="00CF67D4">
        <w:rPr>
          <w:rFonts w:ascii="Calibri Light" w:hAnsi="Calibri Light"/>
          <w:color w:val="21286C"/>
          <w:sz w:val="21"/>
        </w:rPr>
        <w:t xml:space="preserve"> καθώς και από </w:t>
      </w:r>
      <w:r>
        <w:rPr>
          <w:rFonts w:ascii="Calibri Light" w:hAnsi="Calibri Light"/>
          <w:color w:val="21286C"/>
          <w:sz w:val="21"/>
        </w:rPr>
        <w:t>τη</w:t>
      </w:r>
      <w:r w:rsidR="00015BCF">
        <w:rPr>
          <w:rFonts w:ascii="Calibri Light" w:hAnsi="Calibri Light"/>
          <w:color w:val="21286C"/>
          <w:sz w:val="21"/>
        </w:rPr>
        <w:t>ν</w:t>
      </w:r>
      <w:r>
        <w:rPr>
          <w:rFonts w:ascii="Calibri Light" w:hAnsi="Calibri Light"/>
          <w:color w:val="21286C"/>
          <w:sz w:val="21"/>
        </w:rPr>
        <w:t xml:space="preserve"> </w:t>
      </w:r>
      <w:r w:rsidR="0038463C">
        <w:rPr>
          <w:rFonts w:ascii="Calibri Light" w:hAnsi="Calibri Light"/>
          <w:color w:val="21286C"/>
          <w:sz w:val="21"/>
        </w:rPr>
        <w:t>ενισχυμέ</w:t>
      </w:r>
      <w:r w:rsidR="00AA50AE">
        <w:rPr>
          <w:rFonts w:ascii="Calibri Light" w:hAnsi="Calibri Light"/>
          <w:color w:val="21286C"/>
          <w:sz w:val="21"/>
        </w:rPr>
        <w:t xml:space="preserve">νη </w:t>
      </w:r>
      <w:r w:rsidR="00015BCF">
        <w:rPr>
          <w:rFonts w:ascii="Calibri Light" w:hAnsi="Calibri Light"/>
          <w:color w:val="21286C"/>
          <w:sz w:val="21"/>
        </w:rPr>
        <w:t>κατασκευαστική δραστηριότητα</w:t>
      </w:r>
      <w:r>
        <w:rPr>
          <w:rFonts w:ascii="Calibri Light" w:hAnsi="Calibri Light"/>
          <w:color w:val="21286C"/>
          <w:sz w:val="21"/>
        </w:rPr>
        <w:t xml:space="preserve"> στον κλάδο των εμπορικών ακινήτων, </w:t>
      </w:r>
      <w:r w:rsidR="00015E75">
        <w:rPr>
          <w:rFonts w:ascii="Calibri Light" w:hAnsi="Calibri Light"/>
          <w:color w:val="21286C"/>
          <w:sz w:val="21"/>
        </w:rPr>
        <w:t xml:space="preserve">η οποία </w:t>
      </w:r>
      <w:r w:rsidR="003C5230">
        <w:rPr>
          <w:rFonts w:ascii="Calibri Light" w:hAnsi="Calibri Light"/>
          <w:color w:val="21286C"/>
          <w:sz w:val="21"/>
        </w:rPr>
        <w:t>επω</w:t>
      </w:r>
      <w:r w:rsidR="00C96736">
        <w:rPr>
          <w:rFonts w:ascii="Calibri Light" w:hAnsi="Calibri Light"/>
          <w:color w:val="21286C"/>
          <w:sz w:val="21"/>
        </w:rPr>
        <w:t xml:space="preserve">φελείται </w:t>
      </w:r>
      <w:r w:rsidR="007803AE">
        <w:rPr>
          <w:rFonts w:ascii="Calibri Light" w:hAnsi="Calibri Light"/>
          <w:color w:val="21286C"/>
          <w:sz w:val="21"/>
        </w:rPr>
        <w:t xml:space="preserve">από τις </w:t>
      </w:r>
      <w:r w:rsidR="00687E75">
        <w:rPr>
          <w:rFonts w:ascii="Calibri Light" w:hAnsi="Calibri Light"/>
          <w:color w:val="21286C"/>
          <w:sz w:val="21"/>
        </w:rPr>
        <w:t>ισχυρές</w:t>
      </w:r>
      <w:r w:rsidR="00DF3AB0" w:rsidRPr="00DF3AB0">
        <w:rPr>
          <w:rFonts w:ascii="Calibri Light" w:hAnsi="Calibri Light"/>
          <w:color w:val="21286C"/>
          <w:sz w:val="21"/>
        </w:rPr>
        <w:t xml:space="preserve"> προοπτικές στους τομείς της βιομηχανίας, των </w:t>
      </w:r>
      <w:proofErr w:type="spellStart"/>
      <w:r w:rsidR="00DF3AB0" w:rsidRPr="00DF3AB0">
        <w:rPr>
          <w:rFonts w:ascii="Calibri Light" w:hAnsi="Calibri Light"/>
          <w:color w:val="21286C"/>
          <w:sz w:val="21"/>
        </w:rPr>
        <w:t>data</w:t>
      </w:r>
      <w:proofErr w:type="spellEnd"/>
      <w:r w:rsidR="00DF3AB0" w:rsidRPr="00DF3AB0">
        <w:rPr>
          <w:rFonts w:ascii="Calibri Light" w:hAnsi="Calibri Light"/>
          <w:color w:val="21286C"/>
          <w:sz w:val="21"/>
        </w:rPr>
        <w:t xml:space="preserve"> </w:t>
      </w:r>
      <w:proofErr w:type="spellStart"/>
      <w:r w:rsidR="00DF3AB0" w:rsidRPr="00DF3AB0">
        <w:rPr>
          <w:rFonts w:ascii="Calibri Light" w:hAnsi="Calibri Light"/>
          <w:color w:val="21286C"/>
          <w:sz w:val="21"/>
        </w:rPr>
        <w:t>centers</w:t>
      </w:r>
      <w:proofErr w:type="spellEnd"/>
      <w:r w:rsidR="00DF3AB0" w:rsidRPr="00DF3AB0">
        <w:rPr>
          <w:rFonts w:ascii="Calibri Light" w:hAnsi="Calibri Light"/>
          <w:color w:val="21286C"/>
          <w:sz w:val="21"/>
        </w:rPr>
        <w:t xml:space="preserve">, της ενέργειας και άλλων </w:t>
      </w:r>
      <w:r w:rsidR="00174F6E">
        <w:rPr>
          <w:rFonts w:ascii="Calibri Light" w:hAnsi="Calibri Light"/>
          <w:color w:val="21286C"/>
          <w:sz w:val="21"/>
        </w:rPr>
        <w:t xml:space="preserve">έργων </w:t>
      </w:r>
      <w:r w:rsidR="00DF3AB0" w:rsidRPr="00DF3AB0">
        <w:rPr>
          <w:rFonts w:ascii="Calibri Light" w:hAnsi="Calibri Light"/>
          <w:color w:val="21286C"/>
          <w:sz w:val="21"/>
        </w:rPr>
        <w:t>υποδομών</w:t>
      </w:r>
      <w:r>
        <w:rPr>
          <w:rFonts w:ascii="Calibri Light" w:hAnsi="Calibri Light"/>
          <w:color w:val="21286C"/>
          <w:sz w:val="21"/>
        </w:rPr>
        <w:t xml:space="preserve">. </w:t>
      </w:r>
      <w:r w:rsidR="00DF3AB0">
        <w:rPr>
          <w:rFonts w:ascii="Calibri Light" w:hAnsi="Calibri Light"/>
          <w:color w:val="21286C"/>
          <w:sz w:val="21"/>
        </w:rPr>
        <w:t>Η</w:t>
      </w:r>
      <w:r>
        <w:rPr>
          <w:rFonts w:ascii="Calibri Light" w:hAnsi="Calibri Light"/>
          <w:color w:val="21286C"/>
          <w:sz w:val="21"/>
        </w:rPr>
        <w:t xml:space="preserve"> ανθεκτικότητα των τιμών, </w:t>
      </w:r>
      <w:r w:rsidR="008464CE">
        <w:rPr>
          <w:rFonts w:ascii="Calibri Light" w:hAnsi="Calibri Light"/>
          <w:color w:val="21286C"/>
          <w:sz w:val="21"/>
        </w:rPr>
        <w:t>οι αυξημένες πωλήσεις</w:t>
      </w:r>
      <w:r w:rsidR="009813B2" w:rsidRPr="009813B2">
        <w:rPr>
          <w:rFonts w:ascii="Calibri Light" w:hAnsi="Calibri Light"/>
          <w:color w:val="21286C"/>
          <w:sz w:val="21"/>
        </w:rPr>
        <w:t xml:space="preserve"> αδρανών</w:t>
      </w:r>
      <w:r w:rsidR="008E74A6">
        <w:rPr>
          <w:rFonts w:ascii="Calibri Light" w:hAnsi="Calibri Light"/>
          <w:color w:val="21286C"/>
          <w:sz w:val="21"/>
        </w:rPr>
        <w:t xml:space="preserve">, </w:t>
      </w:r>
      <w:r>
        <w:rPr>
          <w:rFonts w:ascii="Calibri Light" w:hAnsi="Calibri Light"/>
          <w:color w:val="21286C"/>
          <w:sz w:val="21"/>
        </w:rPr>
        <w:t xml:space="preserve">η </w:t>
      </w:r>
      <w:r w:rsidR="00362D38">
        <w:rPr>
          <w:rFonts w:ascii="Calibri Light" w:hAnsi="Calibri Light"/>
          <w:color w:val="21286C"/>
          <w:sz w:val="21"/>
        </w:rPr>
        <w:t>πραγματοποίηση της επ</w:t>
      </w:r>
      <w:r>
        <w:rPr>
          <w:rFonts w:ascii="Calibri Light" w:hAnsi="Calibri Light"/>
          <w:color w:val="21286C"/>
          <w:sz w:val="21"/>
        </w:rPr>
        <w:t xml:space="preserve">οχικής συντήρησης στο εργοστάσιό </w:t>
      </w:r>
      <w:r w:rsidR="00F62E76">
        <w:rPr>
          <w:rFonts w:ascii="Calibri Light" w:hAnsi="Calibri Light"/>
          <w:color w:val="21286C"/>
          <w:sz w:val="21"/>
        </w:rPr>
        <w:t xml:space="preserve">μας </w:t>
      </w:r>
      <w:r w:rsidR="00CC5B82">
        <w:rPr>
          <w:rFonts w:ascii="Calibri Light" w:hAnsi="Calibri Light"/>
          <w:color w:val="21286C"/>
          <w:sz w:val="21"/>
        </w:rPr>
        <w:t>της</w:t>
      </w:r>
      <w:r>
        <w:rPr>
          <w:rFonts w:ascii="Calibri Light" w:hAnsi="Calibri Light"/>
          <w:color w:val="21286C"/>
          <w:sz w:val="21"/>
        </w:rPr>
        <w:t xml:space="preserve"> Φλόριντα</w:t>
      </w:r>
      <w:r w:rsidR="00362D38">
        <w:rPr>
          <w:rFonts w:ascii="Calibri Light" w:hAnsi="Calibri Light"/>
          <w:color w:val="21286C"/>
          <w:sz w:val="21"/>
        </w:rPr>
        <w:t xml:space="preserve"> αργότερα σε σχέση με πέρυσι</w:t>
      </w:r>
      <w:r>
        <w:rPr>
          <w:rFonts w:ascii="Calibri Light" w:hAnsi="Calibri Light"/>
          <w:color w:val="21286C"/>
          <w:sz w:val="21"/>
        </w:rPr>
        <w:t xml:space="preserve"> </w:t>
      </w:r>
      <w:r w:rsidR="00CC5B82">
        <w:rPr>
          <w:rFonts w:ascii="Calibri Light" w:hAnsi="Calibri Light"/>
          <w:color w:val="21286C"/>
          <w:sz w:val="21"/>
        </w:rPr>
        <w:t xml:space="preserve">καθώς </w:t>
      </w:r>
      <w:r>
        <w:rPr>
          <w:rFonts w:ascii="Calibri Light" w:hAnsi="Calibri Light"/>
          <w:color w:val="21286C"/>
          <w:sz w:val="21"/>
        </w:rPr>
        <w:t xml:space="preserve">και </w:t>
      </w:r>
      <w:r w:rsidR="008E74A6">
        <w:rPr>
          <w:rFonts w:ascii="Calibri Light" w:hAnsi="Calibri Light"/>
          <w:color w:val="21286C"/>
          <w:sz w:val="21"/>
        </w:rPr>
        <w:t xml:space="preserve">η </w:t>
      </w:r>
      <w:r>
        <w:rPr>
          <w:rFonts w:ascii="Calibri Light" w:hAnsi="Calibri Light"/>
          <w:color w:val="21286C"/>
          <w:sz w:val="21"/>
        </w:rPr>
        <w:t xml:space="preserve">υλοποίηση πρωτοβουλιών που στοχεύουν στις καλύτερες επιδόσεις </w:t>
      </w:r>
      <w:r w:rsidR="004B3F10">
        <w:rPr>
          <w:rFonts w:ascii="Calibri Light" w:hAnsi="Calibri Light"/>
          <w:color w:val="21286C"/>
          <w:sz w:val="21"/>
        </w:rPr>
        <w:t xml:space="preserve">στους τομείς των </w:t>
      </w:r>
      <w:r w:rsidR="004B3F10">
        <w:rPr>
          <w:rFonts w:ascii="Calibri Light" w:hAnsi="Calibri Light"/>
          <w:color w:val="21286C"/>
          <w:sz w:val="21"/>
          <w:lang w:val="en-US"/>
        </w:rPr>
        <w:t>logistics</w:t>
      </w:r>
      <w:r w:rsidR="004B3F10" w:rsidRPr="004B3F10">
        <w:rPr>
          <w:rFonts w:ascii="Calibri Light" w:hAnsi="Calibri Light"/>
          <w:color w:val="21286C"/>
          <w:sz w:val="21"/>
        </w:rPr>
        <w:t xml:space="preserve">, </w:t>
      </w:r>
      <w:r w:rsidR="00F62E76">
        <w:rPr>
          <w:rFonts w:ascii="Calibri Light" w:hAnsi="Calibri Light"/>
          <w:color w:val="21286C"/>
          <w:sz w:val="21"/>
        </w:rPr>
        <w:t xml:space="preserve">των </w:t>
      </w:r>
      <w:r w:rsidR="004B3F10">
        <w:rPr>
          <w:rFonts w:ascii="Calibri Light" w:hAnsi="Calibri Light"/>
          <w:color w:val="21286C"/>
          <w:sz w:val="21"/>
        </w:rPr>
        <w:t xml:space="preserve">επισκευών και </w:t>
      </w:r>
      <w:r w:rsidR="00F62E76">
        <w:rPr>
          <w:rFonts w:ascii="Calibri Light" w:hAnsi="Calibri Light"/>
          <w:color w:val="21286C"/>
          <w:sz w:val="21"/>
        </w:rPr>
        <w:t xml:space="preserve">της </w:t>
      </w:r>
      <w:r>
        <w:rPr>
          <w:rFonts w:ascii="Calibri Light" w:hAnsi="Calibri Light"/>
          <w:color w:val="21286C"/>
          <w:sz w:val="21"/>
        </w:rPr>
        <w:t>συντήρηση</w:t>
      </w:r>
      <w:r w:rsidR="004B3F10">
        <w:rPr>
          <w:rFonts w:ascii="Calibri Light" w:hAnsi="Calibri Light"/>
          <w:color w:val="21286C"/>
          <w:sz w:val="21"/>
        </w:rPr>
        <w:t>ς</w:t>
      </w:r>
      <w:r>
        <w:rPr>
          <w:rFonts w:ascii="Calibri Light" w:hAnsi="Calibri Light"/>
          <w:color w:val="21286C"/>
          <w:sz w:val="21"/>
        </w:rPr>
        <w:t>,</w:t>
      </w:r>
      <w:r w:rsidR="00DC646C">
        <w:rPr>
          <w:rFonts w:ascii="Calibri Light" w:hAnsi="Calibri Light"/>
          <w:color w:val="21286C"/>
          <w:sz w:val="21"/>
        </w:rPr>
        <w:t xml:space="preserve"> συνέβαλαν στη βελτίωση </w:t>
      </w:r>
      <w:r w:rsidR="00CC5B82">
        <w:rPr>
          <w:rFonts w:ascii="Calibri Light" w:hAnsi="Calibri Light"/>
          <w:color w:val="21286C"/>
          <w:sz w:val="21"/>
        </w:rPr>
        <w:t>της κερδοφορίας</w:t>
      </w:r>
      <w:r w:rsidR="00DC646C">
        <w:rPr>
          <w:rFonts w:ascii="Calibri Light" w:hAnsi="Calibri Light"/>
          <w:color w:val="21286C"/>
          <w:sz w:val="21"/>
        </w:rPr>
        <w:t xml:space="preserve"> </w:t>
      </w:r>
      <w:r>
        <w:rPr>
          <w:rFonts w:ascii="Calibri Light" w:hAnsi="Calibri Light"/>
          <w:color w:val="21286C"/>
          <w:sz w:val="21"/>
        </w:rPr>
        <w:t xml:space="preserve">EBITDA, παρά τις </w:t>
      </w:r>
      <w:r w:rsidR="001D1241">
        <w:rPr>
          <w:rFonts w:ascii="Calibri Light" w:hAnsi="Calibri Light"/>
          <w:color w:val="21286C"/>
          <w:sz w:val="21"/>
        </w:rPr>
        <w:t xml:space="preserve">εποχικά </w:t>
      </w:r>
      <w:r>
        <w:rPr>
          <w:rFonts w:ascii="Calibri Light" w:hAnsi="Calibri Light"/>
          <w:color w:val="21286C"/>
          <w:sz w:val="21"/>
        </w:rPr>
        <w:t xml:space="preserve">αντίξοες </w:t>
      </w:r>
      <w:r w:rsidR="001D1241">
        <w:rPr>
          <w:rFonts w:ascii="Calibri Light" w:hAnsi="Calibri Light"/>
          <w:color w:val="21286C"/>
          <w:sz w:val="21"/>
        </w:rPr>
        <w:t xml:space="preserve">καιρικές </w:t>
      </w:r>
      <w:r>
        <w:rPr>
          <w:rFonts w:ascii="Calibri Light" w:hAnsi="Calibri Light"/>
          <w:color w:val="21286C"/>
          <w:sz w:val="21"/>
        </w:rPr>
        <w:t>συνθήκες</w:t>
      </w:r>
      <w:r w:rsidR="001D1241">
        <w:rPr>
          <w:rFonts w:ascii="Calibri Light" w:hAnsi="Calibri Light"/>
          <w:color w:val="21286C"/>
          <w:sz w:val="21"/>
        </w:rPr>
        <w:t>.</w:t>
      </w:r>
    </w:p>
    <w:p w14:paraId="0A238650" w14:textId="77777777" w:rsidR="00AA4C96" w:rsidRPr="00717BD4" w:rsidRDefault="00AA4C96" w:rsidP="00AA4C96">
      <w:pPr>
        <w:jc w:val="both"/>
        <w:rPr>
          <w:rFonts w:ascii="Calibri" w:eastAsia="Calibri" w:hAnsi="Calibri" w:cs="Calibri"/>
          <w:color w:val="00183D"/>
          <w:sz w:val="18"/>
          <w:szCs w:val="18"/>
        </w:rPr>
      </w:pPr>
    </w:p>
    <w:p w14:paraId="0FE465CF" w14:textId="77777777" w:rsidR="00AA4C96" w:rsidRDefault="00AA4C96" w:rsidP="00AA4C96">
      <w:pPr>
        <w:jc w:val="both"/>
        <w:rPr>
          <w:rFonts w:ascii="Calibri" w:hAnsi="Calibri"/>
          <w:b/>
          <w:color w:val="21286C"/>
          <w:sz w:val="28"/>
          <w:lang w:val="en-US"/>
        </w:rPr>
      </w:pPr>
      <w:r>
        <w:rPr>
          <w:rFonts w:ascii="Calibri" w:hAnsi="Calibri"/>
          <w:b/>
          <w:color w:val="21286C"/>
          <w:sz w:val="28"/>
        </w:rPr>
        <w:t>Ελλάδα &amp; Δυτική Ευρώπη</w:t>
      </w:r>
    </w:p>
    <w:p w14:paraId="5A65C9D0" w14:textId="4E3C7893" w:rsidR="00367BA6" w:rsidRPr="00367BA6" w:rsidRDefault="00367BA6" w:rsidP="00AA4C96">
      <w:pPr>
        <w:jc w:val="both"/>
        <w:rPr>
          <w:rFonts w:ascii="Calibri" w:hAnsi="Calibri" w:cs="Arial"/>
          <w:b/>
          <w:bCs/>
          <w:color w:val="21286C"/>
          <w:sz w:val="28"/>
          <w:lang w:val="en-US"/>
        </w:rPr>
      </w:pPr>
      <w:r w:rsidRPr="00B906C6">
        <w:rPr>
          <w:rFonts w:ascii="Arial" w:hAnsi="Arial"/>
          <w:noProof/>
          <w:color w:val="21286C"/>
          <w:sz w:val="28"/>
          <w:lang w:eastAsia="en-GB"/>
        </w:rPr>
        <mc:AlternateContent>
          <mc:Choice Requires="wps">
            <w:drawing>
              <wp:anchor distT="0" distB="0" distL="114300" distR="114300" simplePos="0" relativeHeight="251658249" behindDoc="1" locked="0" layoutInCell="1" allowOverlap="1" wp14:anchorId="6DA740A2" wp14:editId="0CD53B9D">
                <wp:simplePos x="0" y="0"/>
                <wp:positionH relativeFrom="margin">
                  <wp:posOffset>0</wp:posOffset>
                </wp:positionH>
                <wp:positionV relativeFrom="paragraph">
                  <wp:posOffset>222250</wp:posOffset>
                </wp:positionV>
                <wp:extent cx="1341755" cy="397510"/>
                <wp:effectExtent l="0" t="0" r="0" b="0"/>
                <wp:wrapSquare wrapText="bothSides"/>
                <wp:docPr id="1043907" name="Rectangle 10439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1755" cy="397510"/>
                        </a:xfrm>
                        <a:prstGeom prst="rect">
                          <a:avLst/>
                        </a:prstGeom>
                      </wps:spPr>
                      <wps:txbx>
                        <w:txbxContent>
                          <w:p w14:paraId="702550AD" w14:textId="77777777" w:rsidR="00367BA6" w:rsidRPr="00B74741" w:rsidRDefault="00367BA6" w:rsidP="00367BA6">
                            <w:pPr>
                              <w:spacing w:line="216" w:lineRule="auto"/>
                              <w:jc w:val="center"/>
                              <w:rPr>
                                <w:rFonts w:ascii="Calibri" w:hAnsi="Calibri"/>
                                <w:b/>
                                <w:bCs/>
                                <w:color w:val="00183D"/>
                                <w:sz w:val="18"/>
                                <w:szCs w:val="18"/>
                              </w:rPr>
                            </w:pPr>
                            <w:r>
                              <w:rPr>
                                <w:rFonts w:ascii="Calibri" w:hAnsi="Calibri"/>
                                <w:b/>
                                <w:bCs/>
                                <w:color w:val="00183D"/>
                                <w:sz w:val="18"/>
                                <w:szCs w:val="18"/>
                              </w:rPr>
                              <w:t>Πωλήσεις</w:t>
                            </w:r>
                          </w:p>
                          <w:p w14:paraId="6294F40F" w14:textId="77777777" w:rsidR="00367BA6" w:rsidRPr="00B74741" w:rsidRDefault="00367BA6" w:rsidP="00367BA6">
                            <w:pPr>
                              <w:spacing w:line="216" w:lineRule="auto"/>
                              <w:jc w:val="center"/>
                              <w:rPr>
                                <w:rFonts w:ascii="Calibri Light" w:hAnsi="Calibri Light" w:cs="Calibri Light"/>
                                <w:color w:val="00183D"/>
                                <w:sz w:val="18"/>
                                <w:szCs w:val="1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6DA740A2" id="Rectangle 1043907" o:spid="_x0000_s1028" style="position:absolute;left:0;text-align:left;margin-left:0;margin-top:17.5pt;width:105.65pt;height:31.3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" filled="f" stroked="f">
                <v:textbox style="mso-fit-shape-to-text:t">
                  <w:txbxContent>
                    <w:p w14:paraId="702550AD" w14:textId="77777777" w:rsidR="00367BA6" w:rsidRPr="00B74741" w:rsidRDefault="00367BA6" w:rsidP="00367BA6">
                      <w:pPr>
                        <w:spacing w:line="216" w:lineRule="auto"/>
                        <w:jc w:val="center"/>
                        <w:rPr>
                          <w:rFonts w:ascii="Calibri" w:hAnsi="Calibri"/>
                          <w:b/>
                          <w:bCs/>
                          <w:color w:val="00183D"/>
                          <w:sz w:val="18"/>
                          <w:szCs w:val="18"/>
                        </w:rPr>
                      </w:pPr>
                      <w:r>
                        <w:rPr>
                          <w:rFonts w:ascii="Calibri" w:hAnsi="Calibri"/>
                          <w:b/>
                          <w:bCs/>
                          <w:color w:val="00183D"/>
                          <w:sz w:val="18"/>
                          <w:szCs w:val="18"/>
                        </w:rPr>
                        <w:t>Πωλήσεις</w:t>
                      </w:r>
                    </w:p>
                    <w:p w14:paraId="6294F40F" w14:textId="77777777" w:rsidR="00367BA6" w:rsidRPr="00B74741" w:rsidRDefault="00367BA6" w:rsidP="00367BA6">
                      <w:pPr>
                        <w:spacing w:line="216" w:lineRule="auto"/>
                        <w:jc w:val="center"/>
                        <w:rPr>
                          <w:rFonts w:ascii="Calibri Light" w:hAnsi="Calibri Light" w:cs="Calibri Light"/>
                          <w:color w:val="00183D"/>
                          <w:sz w:val="18"/>
                          <w:szCs w:val="18"/>
                        </w:rPr>
                      </w:pPr>
                    </w:p>
                  </w:txbxContent>
                </v:textbox>
                <w10:wrap type="square" anchorx="margin"/>
              </v:rect>
            </w:pict>
          </mc:Fallback>
        </mc:AlternateContent>
      </w:r>
    </w:p>
    <w:p w14:paraId="222BF0FD" w14:textId="00EA8921" w:rsidR="00367BA6" w:rsidRDefault="009143CE" w:rsidP="00AA4C96">
      <w:pPr>
        <w:jc w:val="both"/>
        <w:rPr>
          <w:rFonts w:ascii="Calibri Light" w:eastAsiaTheme="minorEastAsia" w:hAnsi="Calibri Light"/>
          <w:color w:val="21286C"/>
          <w:sz w:val="21"/>
          <w:lang w:val="en-US"/>
        </w:rPr>
      </w:pPr>
      <w:r w:rsidRPr="00B906C6">
        <w:rPr>
          <w:rFonts w:ascii="Arial" w:hAnsi="Arial"/>
          <w:noProof/>
          <w:color w:val="21286C"/>
          <w:sz w:val="28"/>
          <w:lang w:eastAsia="en-GB"/>
        </w:rPr>
        <mc:AlternateContent>
          <mc:Choice Requires="wps">
            <w:drawing>
              <wp:anchor distT="0" distB="0" distL="114300" distR="114300" simplePos="0" relativeHeight="251658250" behindDoc="0" locked="0" layoutInCell="1" allowOverlap="1" wp14:anchorId="517BA401" wp14:editId="5DEE0C1B">
                <wp:simplePos x="0" y="0"/>
                <wp:positionH relativeFrom="column">
                  <wp:posOffset>1602740</wp:posOffset>
                </wp:positionH>
                <wp:positionV relativeFrom="paragraph">
                  <wp:posOffset>4445</wp:posOffset>
                </wp:positionV>
                <wp:extent cx="1287145" cy="397510"/>
                <wp:effectExtent l="0" t="0" r="0" b="0"/>
                <wp:wrapNone/>
                <wp:docPr id="800702524" name="Rectangle 800702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397510"/>
                        </a:xfrm>
                        <a:prstGeom prst="rect">
                          <a:avLst/>
                        </a:prstGeom>
                      </wps:spPr>
                      <wps:txbx>
                        <w:txbxContent>
                          <w:p w14:paraId="18561213" w14:textId="77777777" w:rsidR="00367BA6" w:rsidRPr="00367BA6" w:rsidRDefault="00367BA6" w:rsidP="00367BA6">
                            <w:pPr>
                              <w:spacing w:line="216" w:lineRule="auto"/>
                              <w:jc w:val="center"/>
                              <w:rPr>
                                <w:rFonts w:ascii="Calibri" w:hAnsi="Calibri"/>
                                <w:b/>
                                <w:bCs/>
                                <w:color w:val="00183D"/>
                                <w:sz w:val="18"/>
                                <w:szCs w:val="18"/>
                                <w:lang w:val="en-US"/>
                              </w:rPr>
                            </w:pPr>
                            <w:r w:rsidRPr="00621C7D">
                              <w:rPr>
                                <w:rFonts w:ascii="Calibri" w:hAnsi="Calibri"/>
                                <w:b/>
                                <w:bCs/>
                                <w:color w:val="00183D"/>
                                <w:sz w:val="18"/>
                                <w:szCs w:val="18"/>
                                <w:lang w:val="en-CA"/>
                              </w:rPr>
                              <w:t>EBITDA</w:t>
                            </w:r>
                            <w:r>
                              <w:rPr>
                                <w:rFonts w:ascii="Calibri" w:hAnsi="Calibri"/>
                                <w:b/>
                                <w:bCs/>
                                <w:color w:val="00183D"/>
                                <w:sz w:val="18"/>
                                <w:szCs w:val="18"/>
                              </w:rPr>
                              <w:t xml:space="preserve"> </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517BA401" id="Rectangle 800702524" o:spid="_x0000_s1029" style="position:absolute;left:0;text-align:left;margin-left:126.2pt;margin-top:.35pt;width:101.35pt;height:31.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" filled="f" stroked="f">
                <v:textbox style="mso-fit-shape-to-text:t">
                  <w:txbxContent>
                    <w:p w14:paraId="18561213" w14:textId="77777777" w:rsidR="00367BA6" w:rsidRPr="00367BA6" w:rsidRDefault="00367BA6" w:rsidP="00367BA6">
                      <w:pPr>
                        <w:spacing w:line="216" w:lineRule="auto"/>
                        <w:jc w:val="center"/>
                        <w:rPr>
                          <w:rFonts w:ascii="Calibri" w:hAnsi="Calibri"/>
                          <w:b/>
                          <w:bCs/>
                          <w:color w:val="00183D"/>
                          <w:sz w:val="18"/>
                          <w:szCs w:val="18"/>
                          <w:lang w:val="en-US"/>
                        </w:rPr>
                      </w:pPr>
                      <w:r w:rsidRPr="00621C7D">
                        <w:rPr>
                          <w:rFonts w:ascii="Calibri" w:hAnsi="Calibri"/>
                          <w:b/>
                          <w:bCs/>
                          <w:color w:val="00183D"/>
                          <w:sz w:val="18"/>
                          <w:szCs w:val="18"/>
                          <w:lang w:val="en-CA"/>
                        </w:rPr>
                        <w:t>EBITDA</w:t>
                      </w:r>
                      <w:r>
                        <w:rPr>
                          <w:rFonts w:ascii="Calibri" w:hAnsi="Calibri"/>
                          <w:b/>
                          <w:bCs/>
                          <w:color w:val="00183D"/>
                          <w:sz w:val="18"/>
                          <w:szCs w:val="18"/>
                        </w:rPr>
                        <w:t xml:space="preserve"> </w:t>
                      </w:r>
                    </w:p>
                  </w:txbxContent>
                </v:textbox>
              </v:rect>
            </w:pict>
          </mc:Fallback>
        </mc:AlternateContent>
      </w:r>
    </w:p>
    <w:p w14:paraId="56EEC471" w14:textId="77777777" w:rsidR="00367BA6" w:rsidRDefault="00367BA6" w:rsidP="00AA4C96">
      <w:pPr>
        <w:jc w:val="both"/>
        <w:rPr>
          <w:rFonts w:ascii="Calibri Light" w:eastAsiaTheme="minorEastAsia" w:hAnsi="Calibri Light"/>
          <w:color w:val="21286C"/>
          <w:sz w:val="21"/>
          <w:lang w:val="en-US"/>
        </w:rPr>
      </w:pPr>
    </w:p>
    <w:p w14:paraId="2823E2BD" w14:textId="77777777" w:rsidR="00367BA6" w:rsidRDefault="00367BA6" w:rsidP="00AA4C96">
      <w:pPr>
        <w:jc w:val="both"/>
        <w:rPr>
          <w:rFonts w:ascii="Calibri Light" w:eastAsiaTheme="minorEastAsia" w:hAnsi="Calibri Light"/>
          <w:color w:val="21286C"/>
          <w:sz w:val="21"/>
          <w:lang w:val="en-US"/>
        </w:rPr>
      </w:pPr>
    </w:p>
    <w:p w14:paraId="68C9B78A" w14:textId="6C3E68D2" w:rsidR="006A5377" w:rsidRDefault="006A5377" w:rsidP="00AA4C96">
      <w:pPr>
        <w:jc w:val="both"/>
        <w:rPr>
          <w:rFonts w:ascii="Calibri Light" w:eastAsiaTheme="minorEastAsia" w:hAnsi="Calibri Light"/>
          <w:color w:val="21286C"/>
          <w:sz w:val="21"/>
          <w:lang w:val="en-US"/>
        </w:rPr>
      </w:pPr>
      <w:r>
        <w:rPr>
          <w:rFonts w:ascii="Calibri Light" w:eastAsiaTheme="minorEastAsia" w:hAnsi="Calibri Light"/>
          <w:noProof/>
          <w:color w:val="21286C"/>
          <w:sz w:val="21"/>
          <w:lang w:val="en-US"/>
        </w:rPr>
        <w:drawing>
          <wp:inline distT="0" distB="0" distL="0" distR="0" wp14:anchorId="74F6A0E1" wp14:editId="36828FA5">
            <wp:extent cx="3013544" cy="1312441"/>
            <wp:effectExtent l="0" t="0" r="0" b="2540"/>
            <wp:docPr id="13658110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9257" cy="1314929"/>
                    </a:xfrm>
                    <a:prstGeom prst="rect">
                      <a:avLst/>
                    </a:prstGeom>
                    <a:noFill/>
                  </pic:spPr>
                </pic:pic>
              </a:graphicData>
            </a:graphic>
          </wp:inline>
        </w:drawing>
      </w:r>
    </w:p>
    <w:p w14:paraId="6D92C89E" w14:textId="77D75591" w:rsidR="00AA4C96" w:rsidRDefault="00F5504A" w:rsidP="00AA4C96">
      <w:pPr>
        <w:jc w:val="both"/>
        <w:rPr>
          <w:rFonts w:ascii="Calibri Light" w:eastAsiaTheme="minorEastAsia" w:hAnsi="Calibri Light"/>
          <w:color w:val="21286C"/>
          <w:sz w:val="21"/>
        </w:rPr>
      </w:pPr>
      <w:r w:rsidRPr="00F5504A">
        <w:rPr>
          <w:rFonts w:ascii="Calibri Light" w:eastAsiaTheme="minorEastAsia" w:hAnsi="Calibri Light"/>
          <w:color w:val="21286C"/>
          <w:sz w:val="21"/>
        </w:rPr>
        <w:t>Η θετική πορεία της αγοράς στην Ελλάδα συνεχίστηκε δυναμικά και κατά το πρώτο τρίμηνο του έτους.</w:t>
      </w:r>
      <w:r>
        <w:rPr>
          <w:rFonts w:ascii="Calibri Light" w:eastAsiaTheme="minorEastAsia" w:hAnsi="Calibri Light"/>
          <w:color w:val="21286C"/>
          <w:sz w:val="21"/>
        </w:rPr>
        <w:t xml:space="preserve"> </w:t>
      </w:r>
      <w:r w:rsidR="00AA4C96">
        <w:rPr>
          <w:rFonts w:ascii="Calibri Light" w:eastAsiaTheme="minorEastAsia" w:hAnsi="Calibri Light"/>
          <w:color w:val="21286C"/>
          <w:sz w:val="21"/>
        </w:rPr>
        <w:t xml:space="preserve">Η εγχώρια ζήτηση κατέγραψε </w:t>
      </w:r>
      <w:r>
        <w:rPr>
          <w:rFonts w:ascii="Calibri Light" w:eastAsiaTheme="minorEastAsia" w:hAnsi="Calibri Light"/>
          <w:color w:val="21286C"/>
          <w:sz w:val="21"/>
        </w:rPr>
        <w:t>σημαντική</w:t>
      </w:r>
      <w:r w:rsidR="00AA4C96">
        <w:rPr>
          <w:rFonts w:ascii="Calibri Light" w:eastAsiaTheme="minorEastAsia" w:hAnsi="Calibri Light"/>
          <w:color w:val="21286C"/>
          <w:sz w:val="21"/>
        </w:rPr>
        <w:t xml:space="preserve"> άνοδο, γεγονός που αποτυπ</w:t>
      </w:r>
      <w:r w:rsidR="000345F0">
        <w:rPr>
          <w:rFonts w:ascii="Calibri Light" w:eastAsiaTheme="minorEastAsia" w:hAnsi="Calibri Light"/>
          <w:color w:val="21286C"/>
          <w:sz w:val="21"/>
        </w:rPr>
        <w:t>ώθηκε και</w:t>
      </w:r>
      <w:r w:rsidR="00AA4C96">
        <w:rPr>
          <w:rFonts w:ascii="Calibri Light" w:eastAsiaTheme="minorEastAsia" w:hAnsi="Calibri Light"/>
          <w:color w:val="21286C"/>
          <w:sz w:val="21"/>
        </w:rPr>
        <w:t xml:space="preserve"> στους όγκους πωλήσεων του Ομίλου</w:t>
      </w:r>
      <w:r w:rsidR="000345F0">
        <w:rPr>
          <w:rFonts w:ascii="Calibri Light" w:eastAsiaTheme="minorEastAsia" w:hAnsi="Calibri Light"/>
          <w:color w:val="21286C"/>
          <w:sz w:val="21"/>
        </w:rPr>
        <w:t>, με ισχυρή α</w:t>
      </w:r>
      <w:r w:rsidR="009E3904">
        <w:rPr>
          <w:rFonts w:ascii="Calibri Light" w:eastAsiaTheme="minorEastAsia" w:hAnsi="Calibri Light"/>
          <w:color w:val="21286C"/>
          <w:sz w:val="21"/>
        </w:rPr>
        <w:t>ύξηση</w:t>
      </w:r>
      <w:r w:rsidR="00AA4C96">
        <w:rPr>
          <w:rFonts w:ascii="Calibri Light" w:eastAsiaTheme="minorEastAsia" w:hAnsi="Calibri Light"/>
          <w:color w:val="21286C"/>
          <w:sz w:val="21"/>
        </w:rPr>
        <w:t xml:space="preserve"> σε όλες τις κατηγορίες προϊόντων. </w:t>
      </w:r>
      <w:r w:rsidR="005F303D">
        <w:rPr>
          <w:rFonts w:ascii="Calibri Light" w:eastAsiaTheme="minorEastAsia" w:hAnsi="Calibri Light"/>
          <w:color w:val="21286C"/>
          <w:sz w:val="21"/>
        </w:rPr>
        <w:t>Τ</w:t>
      </w:r>
      <w:r w:rsidR="00E53943" w:rsidRPr="00E53943">
        <w:rPr>
          <w:rFonts w:ascii="Calibri Light" w:eastAsiaTheme="minorEastAsia" w:hAnsi="Calibri Light"/>
          <w:color w:val="21286C"/>
          <w:sz w:val="21"/>
        </w:rPr>
        <w:t>ον Ιανουάριο εφαρμόστηκαν αυξήσεις τιμών στο τσιμέντο, ώστε να αντισταθμιστεί το περιβάλλον αυξημένου κόστους παραγωγής και ηλεκτρικής ενέργειας των τελευταίων ετών.</w:t>
      </w:r>
      <w:r w:rsidR="00AA4C96">
        <w:rPr>
          <w:rFonts w:ascii="Calibri Light" w:eastAsiaTheme="minorEastAsia" w:hAnsi="Calibri Light"/>
          <w:color w:val="21286C"/>
          <w:sz w:val="21"/>
        </w:rPr>
        <w:t xml:space="preserve"> Όλοι οι κλάδοι του κατασκευαστικού τομέα κατέγραψαν </w:t>
      </w:r>
      <w:r w:rsidR="00DE48BE">
        <w:rPr>
          <w:rFonts w:ascii="Calibri Light" w:eastAsiaTheme="minorEastAsia" w:hAnsi="Calibri Light"/>
          <w:color w:val="21286C"/>
          <w:sz w:val="21"/>
        </w:rPr>
        <w:t xml:space="preserve">ισχυρές </w:t>
      </w:r>
      <w:r w:rsidR="00AA4C96">
        <w:rPr>
          <w:rFonts w:ascii="Calibri Light" w:eastAsiaTheme="minorEastAsia" w:hAnsi="Calibri Light"/>
          <w:color w:val="21286C"/>
          <w:sz w:val="21"/>
        </w:rPr>
        <w:t xml:space="preserve">αποδόσεις και στήριξαν τη ζήτηση. Η δραστηριότητα </w:t>
      </w:r>
      <w:r w:rsidR="00D06384">
        <w:rPr>
          <w:rFonts w:ascii="Calibri Light" w:eastAsiaTheme="minorEastAsia" w:hAnsi="Calibri Light"/>
          <w:color w:val="21286C"/>
          <w:sz w:val="21"/>
        </w:rPr>
        <w:t xml:space="preserve">του </w:t>
      </w:r>
      <w:r w:rsidR="00AA4C96">
        <w:rPr>
          <w:rFonts w:ascii="Calibri Light" w:eastAsiaTheme="minorEastAsia" w:hAnsi="Calibri Light"/>
          <w:color w:val="21286C"/>
          <w:sz w:val="21"/>
        </w:rPr>
        <w:t>κλάδο</w:t>
      </w:r>
      <w:r w:rsidR="00D06384">
        <w:rPr>
          <w:rFonts w:ascii="Calibri Light" w:eastAsiaTheme="minorEastAsia" w:hAnsi="Calibri Light"/>
          <w:color w:val="21286C"/>
          <w:sz w:val="21"/>
        </w:rPr>
        <w:t>υ</w:t>
      </w:r>
      <w:r w:rsidR="00AA4C96">
        <w:rPr>
          <w:rFonts w:ascii="Calibri Light" w:eastAsiaTheme="minorEastAsia" w:hAnsi="Calibri Light"/>
          <w:color w:val="21286C"/>
          <w:sz w:val="21"/>
        </w:rPr>
        <w:t xml:space="preserve"> κατοικίας συνεχίστηκε αμείωτη</w:t>
      </w:r>
      <w:r w:rsidR="00E32933">
        <w:rPr>
          <w:rFonts w:ascii="Calibri Light" w:eastAsiaTheme="minorEastAsia" w:hAnsi="Calibri Light"/>
          <w:color w:val="21286C"/>
          <w:sz w:val="21"/>
        </w:rPr>
        <w:t xml:space="preserve"> </w:t>
      </w:r>
      <w:r w:rsidR="00AA4C96">
        <w:rPr>
          <w:rFonts w:ascii="Calibri Light" w:eastAsiaTheme="minorEastAsia" w:hAnsi="Calibri Light"/>
          <w:color w:val="21286C"/>
          <w:sz w:val="21"/>
        </w:rPr>
        <w:t xml:space="preserve">και οι επενδύσεις στον κλάδο </w:t>
      </w:r>
      <w:r w:rsidR="005F303D">
        <w:rPr>
          <w:rFonts w:ascii="Calibri Light" w:eastAsiaTheme="minorEastAsia" w:hAnsi="Calibri Light"/>
          <w:color w:val="21286C"/>
          <w:sz w:val="21"/>
        </w:rPr>
        <w:t>του τουρισμού</w:t>
      </w:r>
      <w:r w:rsidR="00AA4C96">
        <w:rPr>
          <w:rFonts w:ascii="Calibri Light" w:eastAsiaTheme="minorEastAsia" w:hAnsi="Calibri Light"/>
          <w:color w:val="21286C"/>
          <w:sz w:val="21"/>
        </w:rPr>
        <w:t xml:space="preserve"> διατηρήθηκαν σε υψηλά επίπεδα, ε</w:t>
      </w:r>
      <w:r w:rsidR="009835D6">
        <w:rPr>
          <w:rFonts w:ascii="Calibri Light" w:eastAsiaTheme="minorEastAsia" w:hAnsi="Calibri Light"/>
          <w:color w:val="21286C"/>
          <w:sz w:val="21"/>
        </w:rPr>
        <w:t>νόψει</w:t>
      </w:r>
      <w:r w:rsidR="00AA4C96">
        <w:rPr>
          <w:rFonts w:ascii="Calibri Light" w:eastAsiaTheme="minorEastAsia" w:hAnsi="Calibri Light"/>
          <w:color w:val="21286C"/>
          <w:sz w:val="21"/>
        </w:rPr>
        <w:t xml:space="preserve"> της </w:t>
      </w:r>
      <w:r w:rsidR="002758EB">
        <w:rPr>
          <w:rFonts w:ascii="Calibri Light" w:eastAsiaTheme="minorEastAsia" w:hAnsi="Calibri Light"/>
          <w:color w:val="21286C"/>
          <w:sz w:val="21"/>
        </w:rPr>
        <w:t>φετινής</w:t>
      </w:r>
      <w:r w:rsidR="00AA4C96">
        <w:rPr>
          <w:rFonts w:ascii="Calibri Light" w:eastAsiaTheme="minorEastAsia" w:hAnsi="Calibri Light"/>
          <w:color w:val="21286C"/>
          <w:sz w:val="21"/>
        </w:rPr>
        <w:t xml:space="preserve"> τουριστικής σεζόν. Ο κλάδος υποδομών </w:t>
      </w:r>
      <w:r w:rsidR="00D66FD8">
        <w:rPr>
          <w:rFonts w:ascii="Calibri Light" w:eastAsiaTheme="minorEastAsia" w:hAnsi="Calibri Light"/>
          <w:color w:val="21286C"/>
          <w:sz w:val="21"/>
        </w:rPr>
        <w:t>συνεχίζει να αποτελεί</w:t>
      </w:r>
      <w:r w:rsidR="00AA4C96">
        <w:rPr>
          <w:rFonts w:ascii="Calibri Light" w:eastAsiaTheme="minorEastAsia" w:hAnsi="Calibri Light"/>
          <w:color w:val="21286C"/>
          <w:sz w:val="21"/>
        </w:rPr>
        <w:t xml:space="preserve"> βασικό </w:t>
      </w:r>
      <w:r w:rsidR="00D66FD8">
        <w:rPr>
          <w:rFonts w:ascii="Calibri Light" w:eastAsiaTheme="minorEastAsia" w:hAnsi="Calibri Light"/>
          <w:color w:val="21286C"/>
          <w:sz w:val="21"/>
        </w:rPr>
        <w:t xml:space="preserve">μοχλό </w:t>
      </w:r>
      <w:r w:rsidR="00AA4C96">
        <w:rPr>
          <w:rFonts w:ascii="Calibri Light" w:eastAsiaTheme="minorEastAsia" w:hAnsi="Calibri Light"/>
          <w:color w:val="21286C"/>
          <w:sz w:val="21"/>
        </w:rPr>
        <w:t xml:space="preserve">ζήτησης </w:t>
      </w:r>
      <w:r w:rsidR="00D66FD8">
        <w:rPr>
          <w:rFonts w:ascii="Calibri Light" w:eastAsiaTheme="minorEastAsia" w:hAnsi="Calibri Light"/>
          <w:color w:val="21286C"/>
          <w:sz w:val="21"/>
        </w:rPr>
        <w:t>στηρίζοντας</w:t>
      </w:r>
      <w:r w:rsidR="00AA4C96">
        <w:rPr>
          <w:rFonts w:ascii="Calibri Light" w:eastAsiaTheme="minorEastAsia" w:hAnsi="Calibri Light"/>
          <w:color w:val="21286C"/>
          <w:sz w:val="21"/>
        </w:rPr>
        <w:t xml:space="preserve"> την άνοδο των πωλήσεων τόσο των αδρανών υλικών όσο και του έτοιμου σκυροδέματος</w:t>
      </w:r>
      <w:r w:rsidR="009E7690">
        <w:rPr>
          <w:rFonts w:ascii="Calibri Light" w:eastAsiaTheme="minorEastAsia" w:hAnsi="Calibri Light"/>
          <w:color w:val="21286C"/>
          <w:sz w:val="21"/>
        </w:rPr>
        <w:t xml:space="preserve">. </w:t>
      </w:r>
      <w:r w:rsidR="00852D27">
        <w:rPr>
          <w:rFonts w:ascii="Calibri Light" w:eastAsiaTheme="minorEastAsia" w:hAnsi="Calibri Light"/>
          <w:color w:val="21286C"/>
          <w:sz w:val="21"/>
        </w:rPr>
        <w:t>Οι εξαγωγές</w:t>
      </w:r>
      <w:r w:rsidR="00AA4C96">
        <w:rPr>
          <w:rFonts w:ascii="Calibri Light" w:eastAsiaTheme="minorEastAsia" w:hAnsi="Calibri Light"/>
          <w:color w:val="21286C"/>
          <w:sz w:val="21"/>
        </w:rPr>
        <w:t xml:space="preserve"> προς τους σταθμούς του Ομίλου στη Δυτική Ευρώπη διατηρήθηκαν σε σταθερά επίπεδα, ενώ οι εξαγωγ</w:t>
      </w:r>
      <w:r w:rsidR="00013D63">
        <w:rPr>
          <w:rFonts w:ascii="Calibri Light" w:eastAsiaTheme="minorEastAsia" w:hAnsi="Calibri Light"/>
          <w:color w:val="21286C"/>
          <w:sz w:val="21"/>
        </w:rPr>
        <w:t>ές</w:t>
      </w:r>
      <w:r w:rsidR="00AA4C96">
        <w:rPr>
          <w:rFonts w:ascii="Calibri Light" w:eastAsiaTheme="minorEastAsia" w:hAnsi="Calibri Light"/>
          <w:color w:val="21286C"/>
          <w:sz w:val="21"/>
        </w:rPr>
        <w:t xml:space="preserve"> στις ΗΠΑ μειώθηκαν λόγω της χαμηλότερης ζήτησης</w:t>
      </w:r>
      <w:r w:rsidR="00E32933">
        <w:rPr>
          <w:rFonts w:ascii="Calibri Light" w:eastAsiaTheme="minorEastAsia" w:hAnsi="Calibri Light"/>
          <w:color w:val="21286C"/>
          <w:sz w:val="21"/>
        </w:rPr>
        <w:t>,</w:t>
      </w:r>
      <w:r w:rsidR="00AA4C96">
        <w:rPr>
          <w:rFonts w:ascii="Calibri Light" w:eastAsiaTheme="minorEastAsia" w:hAnsi="Calibri Light"/>
          <w:color w:val="21286C"/>
          <w:sz w:val="21"/>
        </w:rPr>
        <w:t xml:space="preserve"> εξαιτίας των δυσμενών καιρικών συνθηκών. Τα ποσοστά θερμικής υποκατάστασης τόσο στο εργοστάσιο των Αθηνών –στο οποίο η λειτουργία του νέου προασβεστοποιητή πλησιάζει πλέον τα </w:t>
      </w:r>
      <w:r w:rsidR="002A5019">
        <w:rPr>
          <w:rFonts w:ascii="Calibri Light" w:eastAsiaTheme="minorEastAsia" w:hAnsi="Calibri Light"/>
          <w:color w:val="21286C"/>
          <w:sz w:val="21"/>
        </w:rPr>
        <w:t>αναμενόμενα</w:t>
      </w:r>
      <w:r w:rsidR="00AA4C96">
        <w:rPr>
          <w:rFonts w:ascii="Calibri Light" w:eastAsiaTheme="minorEastAsia" w:hAnsi="Calibri Light"/>
          <w:color w:val="21286C"/>
          <w:sz w:val="21"/>
        </w:rPr>
        <w:t xml:space="preserve"> επίπεδα– όσο και στο εργοστάσιο της Θεσσαλονίκης –μετά την υλοποίηση ανάλογων επενδύσεων– εξακολούθησαν να αυξάνονται. Η νέα μονάδα βιομάζας του Ομίλου στο εργοστάσιο της Πάτρας κατέγραψε </w:t>
      </w:r>
      <w:r w:rsidR="001353F3">
        <w:rPr>
          <w:rFonts w:ascii="Calibri Light" w:eastAsiaTheme="minorEastAsia" w:hAnsi="Calibri Light"/>
          <w:color w:val="21286C"/>
          <w:sz w:val="21"/>
        </w:rPr>
        <w:t xml:space="preserve">επίσης </w:t>
      </w:r>
      <w:r w:rsidR="00AA4C96">
        <w:rPr>
          <w:rFonts w:ascii="Calibri Light" w:eastAsiaTheme="minorEastAsia" w:hAnsi="Calibri Light"/>
          <w:color w:val="21286C"/>
          <w:sz w:val="21"/>
        </w:rPr>
        <w:t>ικανοποιητικές επιδόσεις. Χάρη στο λατομείο ποζολάνης που διαθέτει ο Όμιλος στο Γυαλί, όλες οι ποσότητες χύδην και ενσακισμένου τσιμέντου που προορίζονται για την ελληνική αγορά αφορούν πλέον το τσιμέντο χαμηλότερου CO</w:t>
      </w:r>
      <w:r w:rsidR="00AA4C96">
        <w:rPr>
          <w:rFonts w:ascii="Calibri Light" w:eastAsiaTheme="minorEastAsia" w:hAnsi="Calibri Light"/>
          <w:color w:val="21286C"/>
          <w:sz w:val="21"/>
          <w:vertAlign w:val="subscript"/>
        </w:rPr>
        <w:t>2</w:t>
      </w:r>
      <w:r w:rsidR="00AA4C96">
        <w:rPr>
          <w:rFonts w:ascii="Calibri Light" w:eastAsiaTheme="minorEastAsia" w:hAnsi="Calibri Light"/>
          <w:color w:val="21286C"/>
          <w:sz w:val="21"/>
        </w:rPr>
        <w:t xml:space="preserve"> CEM IV, με αποτέλεσμα ο δείκτης κλίνκερ-τσιμέντου </w:t>
      </w:r>
      <w:r w:rsidR="002A5019">
        <w:rPr>
          <w:rFonts w:ascii="Calibri Light" w:eastAsiaTheme="minorEastAsia" w:hAnsi="Calibri Light"/>
          <w:color w:val="21286C"/>
          <w:sz w:val="21"/>
        </w:rPr>
        <w:t xml:space="preserve">σε αυτό το προϊόν </w:t>
      </w:r>
      <w:r w:rsidR="00AA4C96">
        <w:rPr>
          <w:rFonts w:ascii="Calibri Light" w:eastAsiaTheme="minorEastAsia" w:hAnsi="Calibri Light"/>
          <w:color w:val="21286C"/>
          <w:sz w:val="21"/>
        </w:rPr>
        <w:t xml:space="preserve">να διαμορφώνεται κάτω από 55%. </w:t>
      </w:r>
    </w:p>
    <w:p w14:paraId="38949CD8" w14:textId="77777777" w:rsidR="00957A74" w:rsidRPr="001D2CD7" w:rsidRDefault="00957A74" w:rsidP="00AA4C96">
      <w:pPr>
        <w:jc w:val="both"/>
        <w:rPr>
          <w:rFonts w:ascii="Calibri" w:eastAsiaTheme="minorEastAsia" w:hAnsi="Calibri"/>
          <w:b/>
          <w:color w:val="21286C"/>
          <w:sz w:val="12"/>
          <w:szCs w:val="10"/>
        </w:rPr>
      </w:pPr>
    </w:p>
    <w:p w14:paraId="18E4EAE6" w14:textId="0CF89C66" w:rsidR="00AA4C96" w:rsidRDefault="00AA4C96" w:rsidP="00AA4C96">
      <w:pPr>
        <w:jc w:val="both"/>
        <w:rPr>
          <w:rFonts w:ascii="Calibri" w:hAnsi="Calibri"/>
          <w:b/>
          <w:color w:val="21286C"/>
          <w:sz w:val="28"/>
          <w:lang w:val="en-US"/>
        </w:rPr>
      </w:pPr>
      <w:r>
        <w:rPr>
          <w:rFonts w:ascii="Calibri" w:hAnsi="Calibri"/>
          <w:b/>
          <w:color w:val="21286C"/>
          <w:sz w:val="28"/>
        </w:rPr>
        <w:t>Νοτιοανατολική Ευρώπη</w:t>
      </w:r>
    </w:p>
    <w:p w14:paraId="40DF453D" w14:textId="2A941B9B" w:rsidR="006A5377" w:rsidRPr="006A5377" w:rsidRDefault="006A5377" w:rsidP="00AA4C96">
      <w:pPr>
        <w:jc w:val="both"/>
        <w:rPr>
          <w:rFonts w:ascii="Calibri" w:hAnsi="Calibri" w:cs="Arial"/>
          <w:b/>
          <w:bCs/>
          <w:color w:val="21286C"/>
          <w:sz w:val="28"/>
          <w:lang w:val="en-US"/>
        </w:rPr>
      </w:pPr>
      <w:r w:rsidRPr="00B906C6">
        <w:rPr>
          <w:rFonts w:ascii="Arial" w:hAnsi="Arial"/>
          <w:noProof/>
          <w:color w:val="21286C"/>
          <w:sz w:val="28"/>
          <w:lang w:eastAsia="en-GB"/>
        </w:rPr>
        <mc:AlternateContent>
          <mc:Choice Requires="wps">
            <w:drawing>
              <wp:anchor distT="0" distB="0" distL="114300" distR="114300" simplePos="0" relativeHeight="251658252" behindDoc="0" locked="0" layoutInCell="1" allowOverlap="1" wp14:anchorId="14E43157" wp14:editId="102AEBE9">
                <wp:simplePos x="0" y="0"/>
                <wp:positionH relativeFrom="column">
                  <wp:posOffset>1730375</wp:posOffset>
                </wp:positionH>
                <wp:positionV relativeFrom="paragraph">
                  <wp:posOffset>132273</wp:posOffset>
                </wp:positionV>
                <wp:extent cx="1287145" cy="397510"/>
                <wp:effectExtent l="0" t="0" r="0" b="0"/>
                <wp:wrapNone/>
                <wp:docPr id="1408014174" name="Rectangle 1408014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397510"/>
                        </a:xfrm>
                        <a:prstGeom prst="rect">
                          <a:avLst/>
                        </a:prstGeom>
                      </wps:spPr>
                      <wps:txbx>
                        <w:txbxContent>
                          <w:p w14:paraId="70A50039" w14:textId="77777777" w:rsidR="006A5377" w:rsidRPr="00367BA6" w:rsidRDefault="006A5377" w:rsidP="006A5377">
                            <w:pPr>
                              <w:spacing w:line="216" w:lineRule="auto"/>
                              <w:jc w:val="center"/>
                              <w:rPr>
                                <w:rFonts w:ascii="Calibri" w:hAnsi="Calibri"/>
                                <w:b/>
                                <w:bCs/>
                                <w:color w:val="00183D"/>
                                <w:sz w:val="18"/>
                                <w:szCs w:val="18"/>
                                <w:lang w:val="en-US"/>
                              </w:rPr>
                            </w:pPr>
                            <w:r w:rsidRPr="00621C7D">
                              <w:rPr>
                                <w:rFonts w:ascii="Calibri" w:hAnsi="Calibri"/>
                                <w:b/>
                                <w:bCs/>
                                <w:color w:val="00183D"/>
                                <w:sz w:val="18"/>
                                <w:szCs w:val="18"/>
                                <w:lang w:val="en-CA"/>
                              </w:rPr>
                              <w:t>EBITDA</w:t>
                            </w:r>
                            <w:r>
                              <w:rPr>
                                <w:rFonts w:ascii="Calibri" w:hAnsi="Calibri"/>
                                <w:b/>
                                <w:bCs/>
                                <w:color w:val="00183D"/>
                                <w:sz w:val="18"/>
                                <w:szCs w:val="18"/>
                              </w:rPr>
                              <w:t xml:space="preserve"> </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14E43157" id="Rectangle 1408014174" o:spid="_x0000_s1030" style="position:absolute;left:0;text-align:left;margin-left:136.25pt;margin-top:10.4pt;width:101.35pt;height:31.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" filled="f" stroked="f">
                <v:textbox style="mso-fit-shape-to-text:t">
                  <w:txbxContent>
                    <w:p w14:paraId="70A50039" w14:textId="77777777" w:rsidR="006A5377" w:rsidRPr="00367BA6" w:rsidRDefault="006A5377" w:rsidP="006A5377">
                      <w:pPr>
                        <w:spacing w:line="216" w:lineRule="auto"/>
                        <w:jc w:val="center"/>
                        <w:rPr>
                          <w:rFonts w:ascii="Calibri" w:hAnsi="Calibri"/>
                          <w:b/>
                          <w:bCs/>
                          <w:color w:val="00183D"/>
                          <w:sz w:val="18"/>
                          <w:szCs w:val="18"/>
                          <w:lang w:val="en-US"/>
                        </w:rPr>
                      </w:pPr>
                      <w:r w:rsidRPr="00621C7D">
                        <w:rPr>
                          <w:rFonts w:ascii="Calibri" w:hAnsi="Calibri"/>
                          <w:b/>
                          <w:bCs/>
                          <w:color w:val="00183D"/>
                          <w:sz w:val="18"/>
                          <w:szCs w:val="18"/>
                          <w:lang w:val="en-CA"/>
                        </w:rPr>
                        <w:t>EBITDA</w:t>
                      </w:r>
                      <w:r>
                        <w:rPr>
                          <w:rFonts w:ascii="Calibri" w:hAnsi="Calibri"/>
                          <w:b/>
                          <w:bCs/>
                          <w:color w:val="00183D"/>
                          <w:sz w:val="18"/>
                          <w:szCs w:val="18"/>
                        </w:rPr>
                        <w:t xml:space="preserve"> </w:t>
                      </w:r>
                    </w:p>
                  </w:txbxContent>
                </v:textbox>
              </v:rect>
            </w:pict>
          </mc:Fallback>
        </mc:AlternateContent>
      </w:r>
      <w:r w:rsidRPr="00B906C6">
        <w:rPr>
          <w:rFonts w:ascii="Arial" w:hAnsi="Arial"/>
          <w:noProof/>
          <w:color w:val="21286C"/>
          <w:sz w:val="28"/>
          <w:lang w:eastAsia="en-GB"/>
        </w:rPr>
        <mc:AlternateContent>
          <mc:Choice Requires="wps">
            <w:drawing>
              <wp:anchor distT="0" distB="0" distL="114300" distR="114300" simplePos="0" relativeHeight="251658251" behindDoc="1" locked="0" layoutInCell="1" allowOverlap="1" wp14:anchorId="757D22A6" wp14:editId="356FC07F">
                <wp:simplePos x="0" y="0"/>
                <wp:positionH relativeFrom="margin">
                  <wp:posOffset>47707</wp:posOffset>
                </wp:positionH>
                <wp:positionV relativeFrom="paragraph">
                  <wp:posOffset>69629</wp:posOffset>
                </wp:positionV>
                <wp:extent cx="1341755" cy="397510"/>
                <wp:effectExtent l="0" t="0" r="0" b="0"/>
                <wp:wrapSquare wrapText="bothSides"/>
                <wp:docPr id="1226721941" name="Rectangle 12267219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1755" cy="397510"/>
                        </a:xfrm>
                        <a:prstGeom prst="rect">
                          <a:avLst/>
                        </a:prstGeom>
                      </wps:spPr>
                      <wps:txbx>
                        <w:txbxContent>
                          <w:p w14:paraId="50701871" w14:textId="77777777" w:rsidR="006A5377" w:rsidRPr="00B74741" w:rsidRDefault="006A5377" w:rsidP="006A5377">
                            <w:pPr>
                              <w:spacing w:line="216" w:lineRule="auto"/>
                              <w:jc w:val="center"/>
                              <w:rPr>
                                <w:rFonts w:ascii="Calibri" w:hAnsi="Calibri"/>
                                <w:b/>
                                <w:bCs/>
                                <w:color w:val="00183D"/>
                                <w:sz w:val="18"/>
                                <w:szCs w:val="18"/>
                              </w:rPr>
                            </w:pPr>
                            <w:r>
                              <w:rPr>
                                <w:rFonts w:ascii="Calibri" w:hAnsi="Calibri"/>
                                <w:b/>
                                <w:bCs/>
                                <w:color w:val="00183D"/>
                                <w:sz w:val="18"/>
                                <w:szCs w:val="18"/>
                              </w:rPr>
                              <w:t>Πωλήσεις</w:t>
                            </w:r>
                          </w:p>
                          <w:p w14:paraId="77667460" w14:textId="77777777" w:rsidR="006A5377" w:rsidRPr="00B74741" w:rsidRDefault="006A5377" w:rsidP="006A5377">
                            <w:pPr>
                              <w:spacing w:line="216" w:lineRule="auto"/>
                              <w:jc w:val="center"/>
                              <w:rPr>
                                <w:rFonts w:ascii="Calibri Light" w:hAnsi="Calibri Light" w:cs="Calibri Light"/>
                                <w:color w:val="00183D"/>
                                <w:sz w:val="18"/>
                                <w:szCs w:val="1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757D22A6" id="Rectangle 1226721941" o:spid="_x0000_s1031" style="position:absolute;left:0;text-align:left;margin-left:3.75pt;margin-top:5.5pt;width:105.65pt;height:31.3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" filled="f" stroked="f">
                <v:textbox style="mso-fit-shape-to-text:t">
                  <w:txbxContent>
                    <w:p w14:paraId="50701871" w14:textId="77777777" w:rsidR="006A5377" w:rsidRPr="00B74741" w:rsidRDefault="006A5377" w:rsidP="006A5377">
                      <w:pPr>
                        <w:spacing w:line="216" w:lineRule="auto"/>
                        <w:jc w:val="center"/>
                        <w:rPr>
                          <w:rFonts w:ascii="Calibri" w:hAnsi="Calibri"/>
                          <w:b/>
                          <w:bCs/>
                          <w:color w:val="00183D"/>
                          <w:sz w:val="18"/>
                          <w:szCs w:val="18"/>
                        </w:rPr>
                      </w:pPr>
                      <w:r>
                        <w:rPr>
                          <w:rFonts w:ascii="Calibri" w:hAnsi="Calibri"/>
                          <w:b/>
                          <w:bCs/>
                          <w:color w:val="00183D"/>
                          <w:sz w:val="18"/>
                          <w:szCs w:val="18"/>
                        </w:rPr>
                        <w:t>Πωλήσεις</w:t>
                      </w:r>
                    </w:p>
                    <w:p w14:paraId="77667460" w14:textId="77777777" w:rsidR="006A5377" w:rsidRPr="00B74741" w:rsidRDefault="006A5377" w:rsidP="006A5377">
                      <w:pPr>
                        <w:spacing w:line="216" w:lineRule="auto"/>
                        <w:jc w:val="center"/>
                        <w:rPr>
                          <w:rFonts w:ascii="Calibri Light" w:hAnsi="Calibri Light" w:cs="Calibri Light"/>
                          <w:color w:val="00183D"/>
                          <w:sz w:val="18"/>
                          <w:szCs w:val="18"/>
                        </w:rPr>
                      </w:pPr>
                    </w:p>
                  </w:txbxContent>
                </v:textbox>
                <w10:wrap type="square" anchorx="margin"/>
              </v:rect>
            </w:pict>
          </mc:Fallback>
        </mc:AlternateContent>
      </w:r>
    </w:p>
    <w:p w14:paraId="6ED88EA0" w14:textId="77777777" w:rsidR="006A5377" w:rsidRDefault="006A5377" w:rsidP="00AA4C96">
      <w:pPr>
        <w:jc w:val="both"/>
        <w:rPr>
          <w:rFonts w:ascii="Calibri Light" w:hAnsi="Calibri Light"/>
          <w:color w:val="21286C"/>
          <w:sz w:val="21"/>
          <w:lang w:val="en-US"/>
        </w:rPr>
      </w:pPr>
    </w:p>
    <w:p w14:paraId="4B31E9EC" w14:textId="77777777" w:rsidR="006A5377" w:rsidRDefault="006A5377" w:rsidP="00AA4C96">
      <w:pPr>
        <w:jc w:val="both"/>
        <w:rPr>
          <w:rFonts w:ascii="Calibri Light" w:hAnsi="Calibri Light"/>
          <w:color w:val="21286C"/>
          <w:sz w:val="21"/>
          <w:lang w:val="en-US"/>
        </w:rPr>
      </w:pPr>
    </w:p>
    <w:p w14:paraId="398160AB" w14:textId="1FA179A2" w:rsidR="00E90EC6" w:rsidRDefault="00E90EC6" w:rsidP="00AA4C96">
      <w:pPr>
        <w:jc w:val="both"/>
        <w:rPr>
          <w:rFonts w:ascii="Calibri Light" w:hAnsi="Calibri Light"/>
          <w:color w:val="21286C"/>
          <w:sz w:val="21"/>
          <w:lang w:val="en-US"/>
        </w:rPr>
      </w:pPr>
      <w:r>
        <w:rPr>
          <w:rFonts w:ascii="Calibri Light" w:hAnsi="Calibri Light"/>
          <w:noProof/>
          <w:color w:val="21286C"/>
          <w:sz w:val="21"/>
          <w:lang w:val="en-US"/>
        </w:rPr>
        <w:drawing>
          <wp:inline distT="0" distB="0" distL="0" distR="0" wp14:anchorId="03F846E7" wp14:editId="0FC9653C">
            <wp:extent cx="3077154" cy="1347610"/>
            <wp:effectExtent l="0" t="0" r="9525" b="5080"/>
            <wp:docPr id="14019855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1392" cy="1349466"/>
                    </a:xfrm>
                    <a:prstGeom prst="rect">
                      <a:avLst/>
                    </a:prstGeom>
                    <a:noFill/>
                  </pic:spPr>
                </pic:pic>
              </a:graphicData>
            </a:graphic>
          </wp:inline>
        </w:drawing>
      </w:r>
    </w:p>
    <w:p w14:paraId="21143CEB" w14:textId="31522CCC" w:rsidR="00AA4C96" w:rsidRPr="00717BD4" w:rsidRDefault="0054719A" w:rsidP="00AA4C96">
      <w:pPr>
        <w:jc w:val="both"/>
        <w:rPr>
          <w:rFonts w:ascii="Calibri Light" w:hAnsi="Calibri Light"/>
          <w:color w:val="21286C"/>
          <w:sz w:val="21"/>
          <w:szCs w:val="20"/>
        </w:rPr>
      </w:pPr>
      <w:r w:rsidRPr="0054719A">
        <w:rPr>
          <w:rFonts w:ascii="Calibri Light" w:hAnsi="Calibri Light"/>
          <w:color w:val="21286C"/>
          <w:sz w:val="21"/>
        </w:rPr>
        <w:lastRenderedPageBreak/>
        <w:t>Στις αρχές του έτους επικράτησαν ιδιαίτερα δυσμενείς καιρικές συνθήκες στις χώρες της Νοτιοανατολικής Ευρώπης. Μετά από ένα πρώτο τρίμηνο με ιστορικά υψηλές επιδόσεις</w:t>
      </w:r>
      <w:r w:rsidR="008A2694">
        <w:rPr>
          <w:rFonts w:ascii="Calibri Light" w:hAnsi="Calibri Light"/>
          <w:color w:val="21286C"/>
          <w:sz w:val="21"/>
        </w:rPr>
        <w:t xml:space="preserve"> το 2024</w:t>
      </w:r>
      <w:r w:rsidRPr="0054719A">
        <w:rPr>
          <w:rFonts w:ascii="Calibri Light" w:hAnsi="Calibri Light"/>
          <w:color w:val="21286C"/>
          <w:sz w:val="21"/>
        </w:rPr>
        <w:t>, το οποίο είχε ευνοηθεί από έναν ήπιο χειμώνα, η δραστηριότητα το πρώτο τρίμηνο του 2025 επανήλθε σε πιο κανονικά εποχικά επίπεδα. Οι πωλήσεις ήταν μειωμένες σε σύγκριση με την αντίστοιχη περίοδο του προηγούμενου έτους, αλλά στις περισσότερες περιπτώσεις παρέμειναν υψηλότερες από τα επίπεδα του πρώτου τριμήνου του 2023.</w:t>
      </w:r>
      <w:r w:rsidR="00AA4C96">
        <w:rPr>
          <w:rFonts w:ascii="Calibri Light" w:hAnsi="Calibri Light"/>
          <w:color w:val="21286C"/>
          <w:sz w:val="21"/>
        </w:rPr>
        <w:t xml:space="preserve"> Επιπλέον, </w:t>
      </w:r>
      <w:r w:rsidR="00313490">
        <w:rPr>
          <w:rFonts w:ascii="Calibri Light" w:hAnsi="Calibri Light"/>
          <w:color w:val="21286C"/>
          <w:sz w:val="21"/>
        </w:rPr>
        <w:t xml:space="preserve">και κάτω από αυτές τις συνθήκες, </w:t>
      </w:r>
      <w:r w:rsidR="00AA4C96">
        <w:rPr>
          <w:rFonts w:ascii="Calibri Light" w:hAnsi="Calibri Light"/>
          <w:color w:val="21286C"/>
          <w:sz w:val="21"/>
        </w:rPr>
        <w:t>ορισμένες αγορές δέχθηκαν αυξημένη πίεση από εισαγωγές και από την ανάκαμψη του εγχώριου ανταγωνισμού, ο οποίος ήταν υποτονικός τα προηγούμενα χρόνια. Παρ' όλα αυτά, καταφέραμε να διατηρήσουμε τις τιμές στα επίπεδα του 2024</w:t>
      </w:r>
      <w:r w:rsidR="00DD0FD7" w:rsidRPr="00DD0FD7">
        <w:rPr>
          <w:rFonts w:ascii="Calibri Light" w:hAnsi="Calibri Light"/>
          <w:color w:val="21286C"/>
          <w:sz w:val="21"/>
        </w:rPr>
        <w:t xml:space="preserve">. </w:t>
      </w:r>
      <w:r w:rsidR="00AA4C96">
        <w:rPr>
          <w:rFonts w:ascii="Calibri Light" w:hAnsi="Calibri Light"/>
          <w:color w:val="21286C"/>
          <w:sz w:val="21"/>
        </w:rPr>
        <w:t xml:space="preserve">Η αύξηση </w:t>
      </w:r>
      <w:r w:rsidR="00617512">
        <w:rPr>
          <w:rFonts w:ascii="Calibri Light" w:hAnsi="Calibri Light"/>
          <w:color w:val="21286C"/>
          <w:sz w:val="21"/>
        </w:rPr>
        <w:t>των τιμών</w:t>
      </w:r>
      <w:r w:rsidR="00AA4C96">
        <w:rPr>
          <w:rFonts w:ascii="Calibri Light" w:hAnsi="Calibri Light"/>
          <w:color w:val="21286C"/>
          <w:sz w:val="21"/>
        </w:rPr>
        <w:t xml:space="preserve"> </w:t>
      </w:r>
      <w:r w:rsidR="00927D31">
        <w:rPr>
          <w:rFonts w:ascii="Calibri Light" w:hAnsi="Calibri Light"/>
          <w:color w:val="21286C"/>
          <w:sz w:val="21"/>
        </w:rPr>
        <w:t xml:space="preserve">της </w:t>
      </w:r>
      <w:r w:rsidR="00AA4C96">
        <w:rPr>
          <w:rFonts w:ascii="Calibri Light" w:hAnsi="Calibri Light"/>
          <w:color w:val="21286C"/>
          <w:sz w:val="21"/>
        </w:rPr>
        <w:t>ηλεκτρικής ενέργειας κατά το πρώτο δίμηνο του έτους μείωσε τα περιθώρια κ</w:t>
      </w:r>
      <w:r w:rsidR="00617512">
        <w:rPr>
          <w:rFonts w:ascii="Calibri Light" w:hAnsi="Calibri Light"/>
          <w:color w:val="21286C"/>
          <w:sz w:val="21"/>
        </w:rPr>
        <w:t>ερδοφορίας</w:t>
      </w:r>
      <w:r w:rsidR="00AA4C96">
        <w:rPr>
          <w:rFonts w:ascii="Calibri Light" w:hAnsi="Calibri Light"/>
          <w:color w:val="21286C"/>
          <w:sz w:val="21"/>
        </w:rPr>
        <w:t xml:space="preserve"> για το τρίμηνο. Παρά </w:t>
      </w:r>
      <w:r w:rsidR="00927D31">
        <w:rPr>
          <w:rFonts w:ascii="Calibri Light" w:hAnsi="Calibri Light"/>
          <w:color w:val="21286C"/>
          <w:sz w:val="21"/>
        </w:rPr>
        <w:t>τις -</w:t>
      </w:r>
      <w:r w:rsidR="00AA4C96">
        <w:rPr>
          <w:rFonts w:ascii="Calibri Light" w:hAnsi="Calibri Light"/>
          <w:color w:val="21286C"/>
          <w:sz w:val="21"/>
        </w:rPr>
        <w:t xml:space="preserve"> προσωρινού χαρακτήρα </w:t>
      </w:r>
      <w:r w:rsidR="00927D31">
        <w:rPr>
          <w:rFonts w:ascii="Calibri Light" w:hAnsi="Calibri Light"/>
          <w:color w:val="21286C"/>
          <w:sz w:val="21"/>
        </w:rPr>
        <w:t xml:space="preserve">- </w:t>
      </w:r>
      <w:r w:rsidR="00AA4C96">
        <w:rPr>
          <w:rFonts w:ascii="Calibri Light" w:hAnsi="Calibri Light"/>
          <w:color w:val="21286C"/>
          <w:sz w:val="21"/>
        </w:rPr>
        <w:t xml:space="preserve">συνθήκες που διαμορφώθηκαν στις αρχές του έτους, η δυναμική των αγορών σε γενικές γραμμές διατηρήθηκε αμετάβλητη. </w:t>
      </w:r>
      <w:r w:rsidR="009404CC">
        <w:rPr>
          <w:rFonts w:ascii="Calibri Light" w:hAnsi="Calibri Light"/>
          <w:color w:val="21286C"/>
          <w:sz w:val="21"/>
        </w:rPr>
        <w:t>Ο</w:t>
      </w:r>
      <w:r w:rsidR="0060288B">
        <w:rPr>
          <w:rFonts w:ascii="Calibri Light" w:hAnsi="Calibri Light"/>
          <w:color w:val="21286C"/>
          <w:sz w:val="21"/>
        </w:rPr>
        <w:t>ι</w:t>
      </w:r>
      <w:r w:rsidR="009404CC">
        <w:rPr>
          <w:rFonts w:ascii="Calibri Light" w:hAnsi="Calibri Light"/>
          <w:color w:val="21286C"/>
          <w:sz w:val="21"/>
        </w:rPr>
        <w:t xml:space="preserve"> κλάδο</w:t>
      </w:r>
      <w:r w:rsidR="0060288B">
        <w:rPr>
          <w:rFonts w:ascii="Calibri Light" w:hAnsi="Calibri Light"/>
          <w:color w:val="21286C"/>
          <w:sz w:val="21"/>
        </w:rPr>
        <w:t>ι των</w:t>
      </w:r>
      <w:r w:rsidR="00010632">
        <w:rPr>
          <w:rFonts w:ascii="Calibri Light" w:hAnsi="Calibri Light"/>
          <w:color w:val="21286C"/>
          <w:sz w:val="21"/>
        </w:rPr>
        <w:t xml:space="preserve"> </w:t>
      </w:r>
      <w:r w:rsidR="00AA4C96">
        <w:rPr>
          <w:rFonts w:ascii="Calibri Light" w:hAnsi="Calibri Light"/>
          <w:color w:val="21286C"/>
          <w:sz w:val="21"/>
        </w:rPr>
        <w:t xml:space="preserve">υποδομών και </w:t>
      </w:r>
      <w:r w:rsidR="0060288B">
        <w:rPr>
          <w:rFonts w:ascii="Calibri Light" w:hAnsi="Calibri Light"/>
          <w:color w:val="21286C"/>
          <w:sz w:val="21"/>
        </w:rPr>
        <w:t>της</w:t>
      </w:r>
      <w:r w:rsidR="00AA4C96">
        <w:rPr>
          <w:rFonts w:ascii="Calibri Light" w:hAnsi="Calibri Light"/>
          <w:color w:val="21286C"/>
          <w:sz w:val="21"/>
        </w:rPr>
        <w:t xml:space="preserve"> κατοικίας</w:t>
      </w:r>
      <w:r w:rsidR="00D60CFB">
        <w:rPr>
          <w:rFonts w:ascii="Calibri Light" w:hAnsi="Calibri Light"/>
          <w:color w:val="21286C"/>
          <w:sz w:val="21"/>
        </w:rPr>
        <w:t xml:space="preserve">, όπως και τα δίκτυα </w:t>
      </w:r>
      <w:r w:rsidR="008A36C2">
        <w:rPr>
          <w:rFonts w:ascii="Calibri Light" w:hAnsi="Calibri Light"/>
          <w:color w:val="21286C"/>
          <w:sz w:val="21"/>
        </w:rPr>
        <w:t>μεταφορών μεταξύ περιοχών</w:t>
      </w:r>
      <w:r w:rsidR="00AA4C96">
        <w:rPr>
          <w:rFonts w:ascii="Calibri Light" w:hAnsi="Calibri Light"/>
          <w:color w:val="21286C"/>
          <w:sz w:val="21"/>
        </w:rPr>
        <w:t xml:space="preserve"> στήριξ</w:t>
      </w:r>
      <w:r w:rsidR="00010632">
        <w:rPr>
          <w:rFonts w:ascii="Calibri Light" w:hAnsi="Calibri Light"/>
          <w:color w:val="21286C"/>
          <w:sz w:val="21"/>
        </w:rPr>
        <w:t>αν</w:t>
      </w:r>
      <w:r w:rsidR="00AA4C96">
        <w:rPr>
          <w:rFonts w:ascii="Calibri Light" w:hAnsi="Calibri Light"/>
          <w:color w:val="21286C"/>
          <w:sz w:val="21"/>
        </w:rPr>
        <w:t xml:space="preserve"> τη ζήτηση</w:t>
      </w:r>
      <w:r w:rsidR="0035310F">
        <w:rPr>
          <w:rFonts w:ascii="Calibri Light" w:hAnsi="Calibri Light"/>
          <w:color w:val="21286C"/>
          <w:sz w:val="21"/>
        </w:rPr>
        <w:t xml:space="preserve">. </w:t>
      </w:r>
      <w:r w:rsidR="00681E99">
        <w:rPr>
          <w:rFonts w:ascii="Calibri Light" w:hAnsi="Calibri Light"/>
          <w:color w:val="21286C"/>
          <w:sz w:val="21"/>
        </w:rPr>
        <w:t>Α</w:t>
      </w:r>
      <w:r w:rsidR="0035310F">
        <w:rPr>
          <w:rFonts w:ascii="Calibri Light" w:hAnsi="Calibri Light"/>
          <w:color w:val="21286C"/>
          <w:sz w:val="21"/>
        </w:rPr>
        <w:t>υτές οι παράμετροι</w:t>
      </w:r>
      <w:r w:rsidR="00AA4C96">
        <w:rPr>
          <w:rFonts w:ascii="Calibri Light" w:hAnsi="Calibri Light"/>
          <w:color w:val="21286C"/>
          <w:sz w:val="21"/>
        </w:rPr>
        <w:t xml:space="preserve"> </w:t>
      </w:r>
      <w:r w:rsidR="00681E99">
        <w:rPr>
          <w:rFonts w:ascii="Calibri Light" w:hAnsi="Calibri Light"/>
          <w:color w:val="21286C"/>
          <w:sz w:val="21"/>
        </w:rPr>
        <w:t xml:space="preserve">εκτιμάται ότι </w:t>
      </w:r>
      <w:r w:rsidR="00AA4C96">
        <w:rPr>
          <w:rFonts w:ascii="Calibri Light" w:hAnsi="Calibri Light"/>
          <w:color w:val="21286C"/>
          <w:sz w:val="21"/>
        </w:rPr>
        <w:t xml:space="preserve">θα διατηρηθούν σε όλη τη διάρκεια του έτους, ιδίως καθώς θα εξομαλύνονται οι καιρικές συνθήκες. Οι επενδύσεις του Ομίλου στη βιώσιμη ανάπτυξη συνέχισαν να αποδίδουν. Η χρήση εναλλακτικών καυσίμων αυξήθηκε περαιτέρω στη Βουλγαρία μετά τις εργασίες ετήσιας συντήρησης, στη Βόρεια Μακεδονία η χρήση εναλλακτικών καυσίμων διπλασιάστηκε, ενώ στο Κόσοβο και τη Σερβία </w:t>
      </w:r>
      <w:r w:rsidR="002A51F8">
        <w:rPr>
          <w:rFonts w:ascii="Calibri Light" w:hAnsi="Calibri Light"/>
          <w:color w:val="21286C"/>
          <w:sz w:val="21"/>
        </w:rPr>
        <w:t>υλοποιούνται</w:t>
      </w:r>
      <w:r w:rsidR="00AA4C96">
        <w:rPr>
          <w:rFonts w:ascii="Calibri Light" w:hAnsi="Calibri Light"/>
          <w:color w:val="21286C"/>
          <w:sz w:val="21"/>
        </w:rPr>
        <w:t xml:space="preserve"> νέες επενδύσεις, με αποτέλεσμα να ενισχύεται σημαντικά η λειτουργική αποδοτικότητα. </w:t>
      </w:r>
    </w:p>
    <w:p w14:paraId="2071C22A" w14:textId="77777777" w:rsidR="00AA4C96" w:rsidRPr="00717BD4" w:rsidRDefault="00AA4C96" w:rsidP="00AA4C96">
      <w:pPr>
        <w:jc w:val="both"/>
        <w:rPr>
          <w:rFonts w:ascii="Calibri Light" w:hAnsi="Calibri Light"/>
          <w:color w:val="21286C"/>
          <w:sz w:val="21"/>
          <w:szCs w:val="20"/>
        </w:rPr>
      </w:pPr>
    </w:p>
    <w:p w14:paraId="473280FA" w14:textId="77777777" w:rsidR="00AA4C96" w:rsidRDefault="00AA4C96" w:rsidP="00AA4C96">
      <w:pPr>
        <w:jc w:val="both"/>
        <w:rPr>
          <w:rFonts w:ascii="Calibri" w:hAnsi="Calibri"/>
          <w:b/>
          <w:color w:val="21286C"/>
          <w:sz w:val="28"/>
          <w:lang w:val="en-US"/>
        </w:rPr>
      </w:pPr>
      <w:r>
        <w:rPr>
          <w:rFonts w:ascii="Calibri" w:hAnsi="Calibri"/>
          <w:b/>
          <w:color w:val="21286C"/>
          <w:sz w:val="28"/>
        </w:rPr>
        <w:t>Ανατολική Μεσόγειος</w:t>
      </w:r>
    </w:p>
    <w:p w14:paraId="183AFCC3" w14:textId="74BD1A61" w:rsidR="00E90EC6" w:rsidRDefault="009D3049" w:rsidP="00AA4C96">
      <w:pPr>
        <w:jc w:val="both"/>
        <w:rPr>
          <w:rFonts w:ascii="Calibri" w:hAnsi="Calibri"/>
          <w:b/>
          <w:color w:val="21286C"/>
          <w:sz w:val="28"/>
          <w:lang w:val="en-US"/>
        </w:rPr>
      </w:pPr>
      <w:r w:rsidRPr="00B906C6">
        <w:rPr>
          <w:rFonts w:ascii="Arial" w:hAnsi="Arial"/>
          <w:noProof/>
          <w:color w:val="21286C"/>
          <w:sz w:val="28"/>
          <w:lang w:eastAsia="en-GB"/>
        </w:rPr>
        <mc:AlternateContent>
          <mc:Choice Requires="wps">
            <w:drawing>
              <wp:anchor distT="0" distB="0" distL="114300" distR="114300" simplePos="0" relativeHeight="251658254" behindDoc="0" locked="0" layoutInCell="1" allowOverlap="1" wp14:anchorId="3473590C" wp14:editId="19F14973">
                <wp:simplePos x="0" y="0"/>
                <wp:positionH relativeFrom="column">
                  <wp:posOffset>1646555</wp:posOffset>
                </wp:positionH>
                <wp:positionV relativeFrom="paragraph">
                  <wp:posOffset>63596</wp:posOffset>
                </wp:positionV>
                <wp:extent cx="1287145" cy="397510"/>
                <wp:effectExtent l="0" t="0" r="0" b="0"/>
                <wp:wrapNone/>
                <wp:docPr id="228226608" name="Rectangle 2282266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397510"/>
                        </a:xfrm>
                        <a:prstGeom prst="rect">
                          <a:avLst/>
                        </a:prstGeom>
                      </wps:spPr>
                      <wps:txbx>
                        <w:txbxContent>
                          <w:p w14:paraId="6FB5C2FF" w14:textId="77777777" w:rsidR="00E90EC6" w:rsidRPr="00367BA6" w:rsidRDefault="00E90EC6" w:rsidP="00E90EC6">
                            <w:pPr>
                              <w:spacing w:line="216" w:lineRule="auto"/>
                              <w:jc w:val="center"/>
                              <w:rPr>
                                <w:rFonts w:ascii="Calibri" w:hAnsi="Calibri"/>
                                <w:b/>
                                <w:bCs/>
                                <w:color w:val="00183D"/>
                                <w:sz w:val="18"/>
                                <w:szCs w:val="18"/>
                                <w:lang w:val="en-US"/>
                              </w:rPr>
                            </w:pPr>
                            <w:r w:rsidRPr="00621C7D">
                              <w:rPr>
                                <w:rFonts w:ascii="Calibri" w:hAnsi="Calibri"/>
                                <w:b/>
                                <w:bCs/>
                                <w:color w:val="00183D"/>
                                <w:sz w:val="18"/>
                                <w:szCs w:val="18"/>
                                <w:lang w:val="en-CA"/>
                              </w:rPr>
                              <w:t>EBITDA</w:t>
                            </w:r>
                            <w:r>
                              <w:rPr>
                                <w:rFonts w:ascii="Calibri" w:hAnsi="Calibri"/>
                                <w:b/>
                                <w:bCs/>
                                <w:color w:val="00183D"/>
                                <w:sz w:val="18"/>
                                <w:szCs w:val="18"/>
                              </w:rPr>
                              <w:t xml:space="preserve"> </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3473590C" id="Rectangle 228226608" o:spid="_x0000_s1032" style="position:absolute;left:0;text-align:left;margin-left:129.65pt;margin-top:5pt;width:101.35pt;height:31.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" filled="f" stroked="f">
                <v:textbox style="mso-fit-shape-to-text:t">
                  <w:txbxContent>
                    <w:p w14:paraId="6FB5C2FF" w14:textId="77777777" w:rsidR="00E90EC6" w:rsidRPr="00367BA6" w:rsidRDefault="00E90EC6" w:rsidP="00E90EC6">
                      <w:pPr>
                        <w:spacing w:line="216" w:lineRule="auto"/>
                        <w:jc w:val="center"/>
                        <w:rPr>
                          <w:rFonts w:ascii="Calibri" w:hAnsi="Calibri"/>
                          <w:b/>
                          <w:bCs/>
                          <w:color w:val="00183D"/>
                          <w:sz w:val="18"/>
                          <w:szCs w:val="18"/>
                          <w:lang w:val="en-US"/>
                        </w:rPr>
                      </w:pPr>
                      <w:r w:rsidRPr="00621C7D">
                        <w:rPr>
                          <w:rFonts w:ascii="Calibri" w:hAnsi="Calibri"/>
                          <w:b/>
                          <w:bCs/>
                          <w:color w:val="00183D"/>
                          <w:sz w:val="18"/>
                          <w:szCs w:val="18"/>
                          <w:lang w:val="en-CA"/>
                        </w:rPr>
                        <w:t>EBITDA</w:t>
                      </w:r>
                      <w:r>
                        <w:rPr>
                          <w:rFonts w:ascii="Calibri" w:hAnsi="Calibri"/>
                          <w:b/>
                          <w:bCs/>
                          <w:color w:val="00183D"/>
                          <w:sz w:val="18"/>
                          <w:szCs w:val="18"/>
                        </w:rPr>
                        <w:t xml:space="preserve"> </w:t>
                      </w:r>
                    </w:p>
                  </w:txbxContent>
                </v:textbox>
              </v:rect>
            </w:pict>
          </mc:Fallback>
        </mc:AlternateContent>
      </w:r>
      <w:r w:rsidRPr="00B906C6">
        <w:rPr>
          <w:rFonts w:ascii="Arial" w:hAnsi="Arial"/>
          <w:noProof/>
          <w:color w:val="21286C"/>
          <w:sz w:val="28"/>
          <w:lang w:eastAsia="en-GB"/>
        </w:rPr>
        <mc:AlternateContent>
          <mc:Choice Requires="wps">
            <w:drawing>
              <wp:anchor distT="0" distB="0" distL="114300" distR="114300" simplePos="0" relativeHeight="251658253" behindDoc="1" locked="0" layoutInCell="1" allowOverlap="1" wp14:anchorId="4B6193CE" wp14:editId="5AFB9CFE">
                <wp:simplePos x="0" y="0"/>
                <wp:positionH relativeFrom="margin">
                  <wp:posOffset>106680</wp:posOffset>
                </wp:positionH>
                <wp:positionV relativeFrom="paragraph">
                  <wp:posOffset>67514</wp:posOffset>
                </wp:positionV>
                <wp:extent cx="1341755" cy="397510"/>
                <wp:effectExtent l="0" t="0" r="0" b="0"/>
                <wp:wrapSquare wrapText="bothSides"/>
                <wp:docPr id="946888644" name="Rectangle 9468886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1755" cy="397510"/>
                        </a:xfrm>
                        <a:prstGeom prst="rect">
                          <a:avLst/>
                        </a:prstGeom>
                      </wps:spPr>
                      <wps:txbx>
                        <w:txbxContent>
                          <w:p w14:paraId="2E7917CF" w14:textId="77777777" w:rsidR="00E90EC6" w:rsidRPr="00B74741" w:rsidRDefault="00E90EC6" w:rsidP="00E90EC6">
                            <w:pPr>
                              <w:spacing w:line="216" w:lineRule="auto"/>
                              <w:jc w:val="center"/>
                              <w:rPr>
                                <w:rFonts w:ascii="Calibri" w:hAnsi="Calibri"/>
                                <w:b/>
                                <w:bCs/>
                                <w:color w:val="00183D"/>
                                <w:sz w:val="18"/>
                                <w:szCs w:val="18"/>
                              </w:rPr>
                            </w:pPr>
                            <w:r>
                              <w:rPr>
                                <w:rFonts w:ascii="Calibri" w:hAnsi="Calibri"/>
                                <w:b/>
                                <w:bCs/>
                                <w:color w:val="00183D"/>
                                <w:sz w:val="18"/>
                                <w:szCs w:val="18"/>
                              </w:rPr>
                              <w:t>Πωλήσεις</w:t>
                            </w:r>
                          </w:p>
                          <w:p w14:paraId="7693249B" w14:textId="77777777" w:rsidR="00E90EC6" w:rsidRPr="00B74741" w:rsidRDefault="00E90EC6" w:rsidP="00E90EC6">
                            <w:pPr>
                              <w:spacing w:line="216" w:lineRule="auto"/>
                              <w:jc w:val="center"/>
                              <w:rPr>
                                <w:rFonts w:ascii="Calibri Light" w:hAnsi="Calibri Light" w:cs="Calibri Light"/>
                                <w:color w:val="00183D"/>
                                <w:sz w:val="18"/>
                                <w:szCs w:val="18"/>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4B6193CE" id="Rectangle 946888644" o:spid="_x0000_s1033" style="position:absolute;left:0;text-align:left;margin-left:8.4pt;margin-top:5.3pt;width:105.65pt;height:31.3pt;z-index:-2516582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" filled="f" stroked="f">
                <v:textbox style="mso-fit-shape-to-text:t">
                  <w:txbxContent>
                    <w:p w14:paraId="2E7917CF" w14:textId="77777777" w:rsidR="00E90EC6" w:rsidRPr="00B74741" w:rsidRDefault="00E90EC6" w:rsidP="00E90EC6">
                      <w:pPr>
                        <w:spacing w:line="216" w:lineRule="auto"/>
                        <w:jc w:val="center"/>
                        <w:rPr>
                          <w:rFonts w:ascii="Calibri" w:hAnsi="Calibri"/>
                          <w:b/>
                          <w:bCs/>
                          <w:color w:val="00183D"/>
                          <w:sz w:val="18"/>
                          <w:szCs w:val="18"/>
                        </w:rPr>
                      </w:pPr>
                      <w:r>
                        <w:rPr>
                          <w:rFonts w:ascii="Calibri" w:hAnsi="Calibri"/>
                          <w:b/>
                          <w:bCs/>
                          <w:color w:val="00183D"/>
                          <w:sz w:val="18"/>
                          <w:szCs w:val="18"/>
                        </w:rPr>
                        <w:t>Πωλήσεις</w:t>
                      </w:r>
                    </w:p>
                    <w:p w14:paraId="7693249B" w14:textId="77777777" w:rsidR="00E90EC6" w:rsidRPr="00B74741" w:rsidRDefault="00E90EC6" w:rsidP="00E90EC6">
                      <w:pPr>
                        <w:spacing w:line="216" w:lineRule="auto"/>
                        <w:jc w:val="center"/>
                        <w:rPr>
                          <w:rFonts w:ascii="Calibri Light" w:hAnsi="Calibri Light" w:cs="Calibri Light"/>
                          <w:color w:val="00183D"/>
                          <w:sz w:val="18"/>
                          <w:szCs w:val="18"/>
                        </w:rPr>
                      </w:pPr>
                    </w:p>
                  </w:txbxContent>
                </v:textbox>
                <w10:wrap type="square" anchorx="margin"/>
              </v:rect>
            </w:pict>
          </mc:Fallback>
        </mc:AlternateContent>
      </w:r>
    </w:p>
    <w:p w14:paraId="4A893826" w14:textId="42E79001" w:rsidR="00E90EC6" w:rsidRPr="00E90EC6" w:rsidRDefault="00E90EC6" w:rsidP="00AA4C96">
      <w:pPr>
        <w:jc w:val="both"/>
        <w:rPr>
          <w:rFonts w:ascii="Calibri" w:hAnsi="Calibri" w:cs="Arial"/>
          <w:b/>
          <w:bCs/>
          <w:color w:val="21286C"/>
          <w:sz w:val="28"/>
          <w:lang w:val="en-US"/>
        </w:rPr>
      </w:pPr>
    </w:p>
    <w:p w14:paraId="26CB73DC" w14:textId="32EDDC4D" w:rsidR="00E90EC6" w:rsidRDefault="00E90EC6" w:rsidP="00AA4C96">
      <w:pPr>
        <w:pStyle w:val="C"/>
        <w:spacing w:after="0" w:line="240" w:lineRule="auto"/>
        <w:jc w:val="both"/>
        <w:rPr>
          <w:rFonts w:ascii="Calibri Light" w:hAnsi="Calibri Light"/>
          <w:b w:val="0"/>
          <w:color w:val="21286C"/>
          <w:sz w:val="21"/>
          <w:lang w:val="en-US"/>
        </w:rPr>
      </w:pPr>
      <w:r>
        <w:rPr>
          <w:rFonts w:ascii="Calibri Light" w:hAnsi="Calibri Light"/>
          <w:b w:val="0"/>
          <w:noProof/>
          <w:color w:val="21286C"/>
          <w:sz w:val="21"/>
          <w:lang w:val="en-US"/>
        </w:rPr>
        <w:drawing>
          <wp:inline distT="0" distB="0" distL="0" distR="0" wp14:anchorId="77A2D51F" wp14:editId="0342669A">
            <wp:extent cx="3076575" cy="1339538"/>
            <wp:effectExtent l="0" t="0" r="0" b="0"/>
            <wp:docPr id="17777838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9674" cy="1345241"/>
                    </a:xfrm>
                    <a:prstGeom prst="rect">
                      <a:avLst/>
                    </a:prstGeom>
                    <a:noFill/>
                  </pic:spPr>
                </pic:pic>
              </a:graphicData>
            </a:graphic>
          </wp:inline>
        </w:drawing>
      </w:r>
    </w:p>
    <w:p w14:paraId="778AC7BD" w14:textId="5F9ECAF2" w:rsidR="00AA4C96" w:rsidRPr="00717BD4" w:rsidRDefault="00AA4C96" w:rsidP="00AA4C96">
      <w:pPr>
        <w:pStyle w:val="C"/>
        <w:spacing w:after="0" w:line="240" w:lineRule="auto"/>
        <w:jc w:val="both"/>
        <w:rPr>
          <w:rFonts w:ascii="Calibri Light" w:eastAsia="Times New Roman" w:hAnsi="Calibri Light" w:cs="Times New Roman"/>
          <w:b w:val="0"/>
          <w:bCs w:val="0"/>
          <w:color w:val="21286C"/>
          <w:sz w:val="21"/>
          <w:szCs w:val="20"/>
        </w:rPr>
      </w:pPr>
      <w:r>
        <w:rPr>
          <w:rFonts w:ascii="Calibri Light" w:hAnsi="Calibri Light"/>
          <w:b w:val="0"/>
          <w:color w:val="21286C"/>
          <w:sz w:val="21"/>
        </w:rPr>
        <w:t xml:space="preserve">Στον γεωγραφικό τομέα της Ανατολικής Μεσογείου οι επιδόσεις του πρώτου τριμήνου αντέστρεψαν την πορεία του προηγούμενου έτους. Στην Αίγυπτο, μετά το υποτονικό περιβάλλον που είχε διαμορφωθεί στην αγορά το αντίστοιχο τρίμηνο πέρυσι, η εγχώρια ζήτηση αυξήθηκε φέτος, κυρίως χάρη σε έργα του ιδιωτικού τομέα. Ο μηχανισμός ελέγχου της παραγωγής τσιμέντου παρέμεινε σε ισχύ, με αποτέλεσμα οι τιμές να σημειώσουν άνοδο τόσο σε εγχώριο νόμισμα όσο και σε ευρώ, ενώ και οι εξαγωγές κατέγραψαν σημαντική </w:t>
      </w:r>
      <w:r w:rsidR="00AE3877">
        <w:rPr>
          <w:rFonts w:ascii="Calibri Light" w:hAnsi="Calibri Light"/>
          <w:b w:val="0"/>
          <w:color w:val="21286C"/>
          <w:sz w:val="21"/>
        </w:rPr>
        <w:t>αύξηση</w:t>
      </w:r>
      <w:r>
        <w:rPr>
          <w:rFonts w:ascii="Calibri Light" w:hAnsi="Calibri Light"/>
          <w:b w:val="0"/>
          <w:color w:val="21286C"/>
          <w:sz w:val="21"/>
        </w:rPr>
        <w:t xml:space="preserve"> και οι τιμές </w:t>
      </w:r>
      <w:r w:rsidR="00F54C2F">
        <w:rPr>
          <w:rFonts w:ascii="Calibri Light" w:hAnsi="Calibri Light"/>
          <w:b w:val="0"/>
          <w:color w:val="21286C"/>
          <w:sz w:val="21"/>
        </w:rPr>
        <w:t>τους</w:t>
      </w:r>
      <w:r>
        <w:rPr>
          <w:rFonts w:ascii="Calibri Light" w:hAnsi="Calibri Light"/>
          <w:b w:val="0"/>
          <w:color w:val="21286C"/>
          <w:sz w:val="21"/>
        </w:rPr>
        <w:t xml:space="preserve"> </w:t>
      </w:r>
      <w:r w:rsidR="008F0AFE">
        <w:rPr>
          <w:rFonts w:ascii="Calibri Light" w:hAnsi="Calibri Light"/>
          <w:b w:val="0"/>
          <w:color w:val="21286C"/>
          <w:sz w:val="21"/>
        </w:rPr>
        <w:t>βελτιώθηκαν</w:t>
      </w:r>
      <w:r>
        <w:rPr>
          <w:rFonts w:ascii="Calibri Light" w:hAnsi="Calibri Light"/>
          <w:b w:val="0"/>
          <w:color w:val="21286C"/>
          <w:sz w:val="21"/>
        </w:rPr>
        <w:t>. Στην Τουρκία</w:t>
      </w:r>
      <w:r w:rsidR="001D7FCF" w:rsidRPr="001D7FCF">
        <w:rPr>
          <w:rFonts w:ascii="Calibri Light" w:hAnsi="Calibri Light"/>
          <w:b w:val="0"/>
          <w:color w:val="21286C"/>
          <w:sz w:val="21"/>
        </w:rPr>
        <w:t xml:space="preserve">, </w:t>
      </w:r>
      <w:r w:rsidR="001D7FCF">
        <w:rPr>
          <w:rFonts w:ascii="Calibri Light" w:hAnsi="Calibri Light"/>
          <w:b w:val="0"/>
          <w:color w:val="21286C"/>
          <w:sz w:val="21"/>
        </w:rPr>
        <w:t>κατά το πρώτο τρίμηνο του 2025</w:t>
      </w:r>
      <w:r w:rsidR="001D7FCF" w:rsidRPr="001D7FCF">
        <w:rPr>
          <w:rFonts w:ascii="Calibri Light" w:hAnsi="Calibri Light"/>
          <w:b w:val="0"/>
          <w:color w:val="21286C"/>
          <w:sz w:val="21"/>
        </w:rPr>
        <w:t>,</w:t>
      </w:r>
      <w:r w:rsidR="001D7FCF">
        <w:rPr>
          <w:rFonts w:ascii="Calibri Light" w:hAnsi="Calibri Light"/>
          <w:b w:val="0"/>
          <w:color w:val="21286C"/>
          <w:sz w:val="21"/>
        </w:rPr>
        <w:t xml:space="preserve"> η ζήτηση για τσιμέντο μειώθηκε</w:t>
      </w:r>
      <w:r w:rsidR="00C96555">
        <w:rPr>
          <w:rFonts w:ascii="Calibri Light" w:hAnsi="Calibri Light"/>
          <w:b w:val="0"/>
          <w:color w:val="21286C"/>
          <w:sz w:val="21"/>
        </w:rPr>
        <w:t>,</w:t>
      </w:r>
      <w:r w:rsidR="001D7FCF">
        <w:rPr>
          <w:rFonts w:ascii="Calibri Light" w:hAnsi="Calibri Light"/>
          <w:b w:val="0"/>
          <w:color w:val="21286C"/>
          <w:sz w:val="21"/>
        </w:rPr>
        <w:t xml:space="preserve"> λόγω των συνηθέστερων για την εποχή καιρικών </w:t>
      </w:r>
      <w:r w:rsidR="001D7FCF" w:rsidRPr="00471BDE">
        <w:rPr>
          <w:rFonts w:ascii="Calibri Light" w:hAnsi="Calibri Light"/>
          <w:b w:val="0"/>
          <w:color w:val="21286C"/>
          <w:sz w:val="21"/>
        </w:rPr>
        <w:t>συνθηκών που επικράτησαν</w:t>
      </w:r>
      <w:r w:rsidR="008D2844" w:rsidRPr="008D2844">
        <w:rPr>
          <w:rFonts w:ascii="Calibri Light" w:hAnsi="Calibri Light"/>
          <w:b w:val="0"/>
          <w:color w:val="21286C"/>
          <w:sz w:val="21"/>
        </w:rPr>
        <w:t xml:space="preserve">, </w:t>
      </w:r>
      <w:r w:rsidR="008D2844">
        <w:rPr>
          <w:rFonts w:ascii="Calibri Light" w:hAnsi="Calibri Light"/>
          <w:b w:val="0"/>
          <w:color w:val="21286C"/>
          <w:sz w:val="21"/>
        </w:rPr>
        <w:t xml:space="preserve">συγκριτικά με </w:t>
      </w:r>
      <w:r w:rsidR="00DA50C6">
        <w:rPr>
          <w:rFonts w:ascii="Calibri Light" w:hAnsi="Calibri Light"/>
          <w:b w:val="0"/>
          <w:color w:val="21286C"/>
          <w:sz w:val="21"/>
        </w:rPr>
        <w:t xml:space="preserve">την υψηλή ζήτηση </w:t>
      </w:r>
      <w:r w:rsidR="00E410D9">
        <w:rPr>
          <w:rFonts w:ascii="Calibri Light" w:hAnsi="Calibri Light"/>
          <w:b w:val="0"/>
          <w:color w:val="21286C"/>
          <w:sz w:val="21"/>
        </w:rPr>
        <w:t>πέρυσι</w:t>
      </w:r>
      <w:r w:rsidR="00111A80">
        <w:rPr>
          <w:rFonts w:ascii="Calibri Light" w:hAnsi="Calibri Light"/>
          <w:b w:val="0"/>
          <w:color w:val="21286C"/>
          <w:sz w:val="21"/>
        </w:rPr>
        <w:t>,</w:t>
      </w:r>
      <w:r>
        <w:rPr>
          <w:rFonts w:ascii="Calibri Light" w:hAnsi="Calibri Light"/>
          <w:b w:val="0"/>
          <w:color w:val="21286C"/>
          <w:sz w:val="21"/>
        </w:rPr>
        <w:t xml:space="preserve"> χάρη στις αφύσικα ήπιες καιρικές συνθήκες</w:t>
      </w:r>
      <w:r w:rsidRPr="00471BDE">
        <w:rPr>
          <w:rFonts w:ascii="Calibri Light" w:hAnsi="Calibri Light"/>
          <w:b w:val="0"/>
          <w:color w:val="21286C"/>
          <w:sz w:val="21"/>
        </w:rPr>
        <w:t>. Κατά συνέπεια, η κατανάλωση τσιμέντου ήταν μειωμένη και στις δύο αγορές στις οποίες δραστηριοποιούμαστε (</w:t>
      </w:r>
      <w:proofErr w:type="spellStart"/>
      <w:r w:rsidRPr="00471BDE">
        <w:rPr>
          <w:rFonts w:ascii="Calibri Light" w:hAnsi="Calibri Light"/>
          <w:b w:val="0"/>
          <w:color w:val="21286C"/>
          <w:sz w:val="21"/>
        </w:rPr>
        <w:t>Marmara</w:t>
      </w:r>
      <w:proofErr w:type="spellEnd"/>
      <w:r w:rsidRPr="00471BDE">
        <w:rPr>
          <w:rFonts w:ascii="Calibri Light" w:hAnsi="Calibri Light"/>
          <w:b w:val="0"/>
          <w:color w:val="21286C"/>
          <w:sz w:val="21"/>
        </w:rPr>
        <w:t xml:space="preserve"> και </w:t>
      </w:r>
      <w:proofErr w:type="spellStart"/>
      <w:r w:rsidRPr="00471BDE">
        <w:rPr>
          <w:rFonts w:ascii="Calibri Light" w:hAnsi="Calibri Light"/>
          <w:b w:val="0"/>
          <w:color w:val="21286C"/>
          <w:sz w:val="21"/>
        </w:rPr>
        <w:t>Tokat</w:t>
      </w:r>
      <w:proofErr w:type="spellEnd"/>
      <w:r w:rsidRPr="00471BDE">
        <w:rPr>
          <w:rFonts w:ascii="Calibri Light" w:hAnsi="Calibri Light"/>
          <w:b w:val="0"/>
          <w:color w:val="21286C"/>
          <w:sz w:val="21"/>
        </w:rPr>
        <w:t xml:space="preserve">), ενώ και οι εξαγωγές ήταν </w:t>
      </w:r>
      <w:r w:rsidR="000C229B">
        <w:rPr>
          <w:rFonts w:ascii="Calibri Light" w:hAnsi="Calibri Light"/>
          <w:b w:val="0"/>
          <w:color w:val="21286C"/>
          <w:sz w:val="21"/>
        </w:rPr>
        <w:t xml:space="preserve">και αυτές </w:t>
      </w:r>
      <w:r w:rsidRPr="00471BDE">
        <w:rPr>
          <w:rFonts w:ascii="Calibri Light" w:hAnsi="Calibri Light"/>
          <w:b w:val="0"/>
          <w:color w:val="21286C"/>
          <w:sz w:val="21"/>
        </w:rPr>
        <w:t xml:space="preserve">μειωμένες. Οι τιμές στην εγχώρια αγορά </w:t>
      </w:r>
      <w:r w:rsidR="0090355E">
        <w:rPr>
          <w:rFonts w:ascii="Calibri Light" w:hAnsi="Calibri Light"/>
          <w:b w:val="0"/>
          <w:color w:val="21286C"/>
          <w:sz w:val="21"/>
        </w:rPr>
        <w:t>συνέχισαν</w:t>
      </w:r>
      <w:r w:rsidRPr="00471BDE">
        <w:rPr>
          <w:rFonts w:ascii="Calibri Light" w:hAnsi="Calibri Light"/>
          <w:b w:val="0"/>
          <w:color w:val="21286C"/>
          <w:sz w:val="21"/>
        </w:rPr>
        <w:t xml:space="preserve"> να κινούνται παράλληλα με τον πληθωρισμό και αυξήθηκαν</w:t>
      </w:r>
      <w:r w:rsidR="00D21BF0">
        <w:rPr>
          <w:rFonts w:ascii="Calibri Light" w:hAnsi="Calibri Light"/>
          <w:b w:val="0"/>
          <w:color w:val="21286C"/>
          <w:sz w:val="21"/>
        </w:rPr>
        <w:t>,</w:t>
      </w:r>
      <w:r w:rsidRPr="00471BDE">
        <w:rPr>
          <w:rFonts w:ascii="Calibri Light" w:hAnsi="Calibri Light"/>
          <w:b w:val="0"/>
          <w:color w:val="21286C"/>
          <w:sz w:val="21"/>
        </w:rPr>
        <w:t xml:space="preserve"> τόσο σε εγχώριο νόμισμα όσο και σε ευρώ. </w:t>
      </w:r>
      <w:r w:rsidR="004926F9" w:rsidRPr="00471BDE">
        <w:rPr>
          <w:rFonts w:ascii="Calibri Light" w:hAnsi="Calibri Light"/>
          <w:b w:val="0"/>
          <w:color w:val="21286C"/>
          <w:sz w:val="21"/>
        </w:rPr>
        <w:t>Στις 19</w:t>
      </w:r>
      <w:r w:rsidRPr="00471BDE">
        <w:rPr>
          <w:rFonts w:ascii="Calibri Light" w:hAnsi="Calibri Light"/>
          <w:b w:val="0"/>
          <w:color w:val="21286C"/>
          <w:sz w:val="21"/>
        </w:rPr>
        <w:t xml:space="preserve"> Φεβρουαρίου ο Όμιλος ανακοίνωσε την πώληση </w:t>
      </w:r>
      <w:r w:rsidR="0035310F" w:rsidRPr="00471BDE">
        <w:rPr>
          <w:rFonts w:ascii="Calibri Light" w:hAnsi="Calibri Light"/>
          <w:b w:val="0"/>
          <w:color w:val="21286C"/>
          <w:sz w:val="21"/>
        </w:rPr>
        <w:t xml:space="preserve">της συμμετοχής </w:t>
      </w:r>
      <w:r w:rsidRPr="00471BDE">
        <w:rPr>
          <w:rFonts w:ascii="Calibri Light" w:hAnsi="Calibri Light"/>
          <w:b w:val="0"/>
          <w:color w:val="21286C"/>
          <w:sz w:val="21"/>
        </w:rPr>
        <w:t xml:space="preserve">του </w:t>
      </w:r>
      <w:r w:rsidR="00320B5F">
        <w:rPr>
          <w:rFonts w:ascii="Calibri Light" w:hAnsi="Calibri Light"/>
          <w:b w:val="0"/>
          <w:color w:val="21286C"/>
          <w:sz w:val="21"/>
        </w:rPr>
        <w:t xml:space="preserve">σε δραστηριότητες τσιμέντου </w:t>
      </w:r>
      <w:r w:rsidRPr="00471BDE">
        <w:rPr>
          <w:rFonts w:ascii="Calibri Light" w:hAnsi="Calibri Light"/>
          <w:b w:val="0"/>
          <w:color w:val="21286C"/>
          <w:sz w:val="21"/>
        </w:rPr>
        <w:t xml:space="preserve">στην περιοχή Tokat της Τουρκίας. Η συναλλαγή </w:t>
      </w:r>
      <w:r w:rsidR="0097138E" w:rsidRPr="00471BDE">
        <w:rPr>
          <w:rFonts w:ascii="Calibri Light" w:hAnsi="Calibri Light"/>
          <w:b w:val="0"/>
          <w:color w:val="21286C"/>
          <w:sz w:val="21"/>
        </w:rPr>
        <w:t xml:space="preserve">αναμένεται να ολοκληρωθεί μέσα στο καλοκαίρι του 2025. </w:t>
      </w:r>
      <w:r w:rsidRPr="00471BDE">
        <w:rPr>
          <w:rFonts w:ascii="Calibri Light" w:hAnsi="Calibri Light"/>
          <w:b w:val="0"/>
          <w:color w:val="21286C"/>
          <w:sz w:val="21"/>
        </w:rPr>
        <w:t>Συνολικά στον συγκεκριμένο γεωγραφικό τομέα, παρά την υποχώρηση των όγκων στην εγχώρια αγορά σε σύγκριση με το προηγούμενο έτος, τόσο οι πωλήσεις όσο και η κερδοφορία αυξήθηκαν το πρώτο τρίμηνο του 2025.</w:t>
      </w:r>
    </w:p>
    <w:p w14:paraId="221DA475" w14:textId="77777777" w:rsidR="00AA4C96" w:rsidRPr="00074DF4" w:rsidRDefault="00AA4C96" w:rsidP="00AA4C96">
      <w:pPr>
        <w:pStyle w:val="C"/>
        <w:spacing w:after="0" w:line="240" w:lineRule="auto"/>
        <w:jc w:val="both"/>
        <w:rPr>
          <w:rFonts w:ascii="Calibri Light" w:eastAsia="Times New Roman" w:hAnsi="Calibri Light" w:cs="Times New Roman"/>
          <w:b w:val="0"/>
          <w:color w:val="21286C"/>
          <w:sz w:val="16"/>
          <w:szCs w:val="14"/>
        </w:rPr>
      </w:pPr>
    </w:p>
    <w:p w14:paraId="663AEDA6" w14:textId="77777777" w:rsidR="00AA4C96" w:rsidRPr="00717BD4" w:rsidRDefault="00AA4C96" w:rsidP="00AA4C96">
      <w:pPr>
        <w:jc w:val="both"/>
        <w:rPr>
          <w:rFonts w:ascii="Calibri" w:hAnsi="Calibri" w:cs="Arial"/>
          <w:b/>
          <w:bCs/>
          <w:color w:val="21286C"/>
          <w:sz w:val="28"/>
        </w:rPr>
      </w:pPr>
      <w:r>
        <w:rPr>
          <w:rFonts w:ascii="Calibri" w:hAnsi="Calibri"/>
          <w:b/>
          <w:color w:val="21286C"/>
          <w:sz w:val="28"/>
        </w:rPr>
        <w:t>Βραζιλία (Κοινοπραξία)</w:t>
      </w:r>
      <w:r>
        <w:tab/>
      </w:r>
    </w:p>
    <w:p w14:paraId="7DBBEEA4" w14:textId="505AB08D" w:rsidR="00AA4C96" w:rsidRPr="00717BD4" w:rsidRDefault="00AA4C96" w:rsidP="00AA4C96">
      <w:pPr>
        <w:keepNext/>
        <w:spacing w:after="40"/>
        <w:jc w:val="both"/>
      </w:pPr>
      <w:r>
        <w:rPr>
          <w:rFonts w:ascii="Calibri Light" w:hAnsi="Calibri Light"/>
          <w:color w:val="21286C"/>
          <w:sz w:val="21"/>
        </w:rPr>
        <w:t xml:space="preserve">Η εγχώρια κατανάλωση τσιμέντου αυξήθηκε κατά 6% το πρώτο τρίμηνο του 2025, χάρη στη βελτιωμένη εικόνα της αγοράς εργασίας και το υψηλότερο διαθέσιμο εισόδημα. Στην αγορά ακινήτων σημειώθηκε άνοδος, μετά την επανεκκίνηση του κατασκευαστικού κλάδου χάρη στο εκτενές πρόγραμμα </w:t>
      </w:r>
      <w:r w:rsidR="005A2F6A">
        <w:rPr>
          <w:rFonts w:ascii="Calibri Light" w:hAnsi="Calibri Light"/>
          <w:color w:val="21286C"/>
          <w:sz w:val="21"/>
        </w:rPr>
        <w:t>προσιτής</w:t>
      </w:r>
      <w:r>
        <w:rPr>
          <w:rFonts w:ascii="Calibri Light" w:hAnsi="Calibri Light"/>
          <w:color w:val="21286C"/>
          <w:sz w:val="21"/>
        </w:rPr>
        <w:t xml:space="preserve"> κατοικίας και οι τιμές κινήθηκαν ανοδικά. </w:t>
      </w:r>
      <w:r w:rsidR="0068500F" w:rsidRPr="0068500F">
        <w:rPr>
          <w:rFonts w:ascii="Calibri Light" w:hAnsi="Calibri Light"/>
          <w:color w:val="21286C"/>
          <w:sz w:val="21"/>
        </w:rPr>
        <w:t xml:space="preserve">Χάρη στην αύξηση της ζήτησης </w:t>
      </w:r>
      <w:r w:rsidR="00FE71CD">
        <w:rPr>
          <w:rFonts w:ascii="Calibri Light" w:hAnsi="Calibri Light"/>
          <w:color w:val="21286C"/>
          <w:sz w:val="21"/>
        </w:rPr>
        <w:t xml:space="preserve">και </w:t>
      </w:r>
      <w:r w:rsidR="0068500F" w:rsidRPr="0068500F">
        <w:rPr>
          <w:rFonts w:ascii="Calibri Light" w:hAnsi="Calibri Light"/>
          <w:color w:val="21286C"/>
          <w:sz w:val="21"/>
        </w:rPr>
        <w:t>των τιμών</w:t>
      </w:r>
      <w:r w:rsidR="005A2F6A">
        <w:rPr>
          <w:rFonts w:ascii="Calibri Light" w:hAnsi="Calibri Light"/>
          <w:color w:val="21286C"/>
          <w:sz w:val="21"/>
        </w:rPr>
        <w:t>,</w:t>
      </w:r>
      <w:r w:rsidR="0068500F">
        <w:rPr>
          <w:rFonts w:ascii="Calibri Light" w:hAnsi="Calibri Light"/>
          <w:color w:val="21286C"/>
          <w:sz w:val="21"/>
        </w:rPr>
        <w:t xml:space="preserve"> τ</w:t>
      </w:r>
      <w:r>
        <w:rPr>
          <w:rFonts w:ascii="Calibri Light" w:hAnsi="Calibri Light"/>
          <w:color w:val="21286C"/>
          <w:sz w:val="21"/>
        </w:rPr>
        <w:t xml:space="preserve">α κέρδη EBITDA </w:t>
      </w:r>
      <w:r w:rsidR="00E259CA">
        <w:rPr>
          <w:rFonts w:ascii="Calibri Light" w:hAnsi="Calibri Light"/>
          <w:color w:val="21286C"/>
          <w:sz w:val="21"/>
        </w:rPr>
        <w:t xml:space="preserve">της κοινοπραξίας </w:t>
      </w:r>
      <w:r w:rsidR="00BC37F0">
        <w:rPr>
          <w:rFonts w:ascii="Calibri Light" w:hAnsi="Calibri Light"/>
          <w:color w:val="21286C"/>
          <w:sz w:val="21"/>
        </w:rPr>
        <w:t xml:space="preserve">μας </w:t>
      </w:r>
      <w:r>
        <w:rPr>
          <w:rFonts w:ascii="Calibri Light" w:hAnsi="Calibri Light"/>
          <w:color w:val="21286C"/>
          <w:sz w:val="21"/>
        </w:rPr>
        <w:t xml:space="preserve">αυξήθηκαν κατά </w:t>
      </w:r>
      <w:r w:rsidR="00E259CA">
        <w:rPr>
          <w:rFonts w:ascii="Calibri Light" w:hAnsi="Calibri Light"/>
          <w:color w:val="21286C"/>
          <w:sz w:val="21"/>
        </w:rPr>
        <w:t>42</w:t>
      </w:r>
      <w:r>
        <w:rPr>
          <w:rFonts w:ascii="Calibri Light" w:hAnsi="Calibri Light"/>
          <w:color w:val="21286C"/>
          <w:sz w:val="21"/>
        </w:rPr>
        <w:t>% σε €</w:t>
      </w:r>
      <w:r w:rsidR="00E259CA">
        <w:rPr>
          <w:rFonts w:ascii="Calibri Light" w:hAnsi="Calibri Light"/>
          <w:color w:val="21286C"/>
          <w:sz w:val="21"/>
        </w:rPr>
        <w:t>6</w:t>
      </w:r>
      <w:r w:rsidR="00A52054" w:rsidRPr="00A52054">
        <w:rPr>
          <w:rFonts w:ascii="Calibri Light" w:hAnsi="Calibri Light"/>
          <w:color w:val="21286C"/>
          <w:sz w:val="21"/>
        </w:rPr>
        <w:t>,0</w:t>
      </w:r>
      <w:r>
        <w:rPr>
          <w:rFonts w:ascii="Calibri Light" w:hAnsi="Calibri Light"/>
          <w:color w:val="21286C"/>
          <w:sz w:val="21"/>
        </w:rPr>
        <w:t xml:space="preserve"> εκ.</w:t>
      </w:r>
      <w:r w:rsidR="00E259CA">
        <w:rPr>
          <w:rFonts w:ascii="Calibri Light" w:hAnsi="Calibri Light"/>
          <w:color w:val="21286C"/>
          <w:sz w:val="21"/>
        </w:rPr>
        <w:t xml:space="preserve"> </w:t>
      </w:r>
    </w:p>
    <w:p w14:paraId="2DBEF4A7" w14:textId="77777777" w:rsidR="00AA4C96" w:rsidRDefault="00AA4C96" w:rsidP="00AA4C96">
      <w:pPr>
        <w:jc w:val="both"/>
        <w:rPr>
          <w:rFonts w:ascii="Calibri Light" w:hAnsi="Calibri Light"/>
          <w:color w:val="21286C"/>
          <w:sz w:val="21"/>
          <w:szCs w:val="21"/>
        </w:rPr>
      </w:pPr>
    </w:p>
    <w:p w14:paraId="11BC73E0" w14:textId="77777777" w:rsidR="00AA4C96" w:rsidRPr="00717BD4" w:rsidRDefault="00AA4C96" w:rsidP="00AA4C96">
      <w:pPr>
        <w:keepNext/>
        <w:spacing w:after="40"/>
        <w:rPr>
          <w:rFonts w:ascii="Calibri" w:eastAsiaTheme="minorEastAsia" w:hAnsi="Calibri" w:cs="Calibri"/>
          <w:b/>
          <w:bCs/>
          <w:noProof/>
          <w:color w:val="21286C"/>
          <w:sz w:val="28"/>
        </w:rPr>
      </w:pPr>
      <w:r>
        <w:rPr>
          <w:rFonts w:ascii="Calibri" w:eastAsiaTheme="minorEastAsia" w:hAnsi="Calibri" w:cs="Calibri"/>
          <w:b/>
          <w:noProof/>
          <w:color w:val="21286C"/>
          <w:sz w:val="28"/>
          <w:lang w:val="en-US" w:eastAsia="en-US" w:bidi="ar-SA"/>
        </w:rPr>
        <w:lastRenderedPageBreak/>
        <mc:AlternateContent>
          <mc:Choice Requires="wps">
            <w:drawing>
              <wp:anchor distT="0" distB="0" distL="114300" distR="114300" simplePos="0" relativeHeight="251658243" behindDoc="0" locked="0" layoutInCell="1" allowOverlap="1" wp14:anchorId="4F2E39F5" wp14:editId="3B7241A6">
                <wp:simplePos x="0" y="0"/>
                <wp:positionH relativeFrom="column">
                  <wp:posOffset>-1270</wp:posOffset>
                </wp:positionH>
                <wp:positionV relativeFrom="paragraph">
                  <wp:posOffset>212725</wp:posOffset>
                </wp:positionV>
                <wp:extent cx="6112649" cy="0"/>
                <wp:effectExtent l="0" t="0" r="8890" b="12700"/>
                <wp:wrapNone/>
                <wp:docPr id="2041417419" name="Straight Connector 2041417419"/>
                <wp:cNvGraphicFramePr/>
                <a:graphic xmlns:a="http://schemas.openxmlformats.org/drawingml/2006/main">
                  <a:graphicData uri="http://schemas.microsoft.com/office/word/2010/wordprocessingShape">
                    <wps:wsp>
                      <wps:cNvCnPr/>
                      <wps:spPr>
                        <a:xfrm>
                          <a:off x="0" y="0"/>
                          <a:ext cx="6112649" cy="0"/>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566F4BC" id="Straight Connector 2041417419"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6.75pt" to="481.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" strokecolor="#00183d" strokeweight=".25pt"/>
            </w:pict>
          </mc:Fallback>
        </mc:AlternateContent>
      </w:r>
      <w:r>
        <w:rPr>
          <w:rFonts w:ascii="Calibri" w:eastAsiaTheme="minorEastAsia" w:hAnsi="Calibri"/>
          <w:b/>
          <w:color w:val="21286C"/>
          <w:sz w:val="28"/>
        </w:rPr>
        <w:t>Προοπτικές</w:t>
      </w:r>
    </w:p>
    <w:p w14:paraId="05B61D9D" w14:textId="19215667" w:rsidR="00AA4C96" w:rsidRPr="00717BD4" w:rsidRDefault="00AA4C96" w:rsidP="00AA4C96">
      <w:pPr>
        <w:jc w:val="both"/>
        <w:rPr>
          <w:rFonts w:ascii="Calibri Light" w:hAnsi="Calibri Light"/>
          <w:color w:val="21286C"/>
          <w:sz w:val="21"/>
          <w:szCs w:val="21"/>
        </w:rPr>
      </w:pPr>
      <w:r>
        <w:rPr>
          <w:rFonts w:ascii="Calibri Light" w:hAnsi="Calibri Light"/>
          <w:color w:val="21286C"/>
          <w:sz w:val="21"/>
        </w:rPr>
        <w:t xml:space="preserve">Το </w:t>
      </w:r>
      <w:r w:rsidR="00273FF0">
        <w:rPr>
          <w:rFonts w:ascii="Calibri Light" w:hAnsi="Calibri Light"/>
          <w:color w:val="21286C"/>
          <w:sz w:val="21"/>
        </w:rPr>
        <w:t xml:space="preserve">διεθνές οικονομικό περιβάλλον </w:t>
      </w:r>
      <w:r>
        <w:rPr>
          <w:rFonts w:ascii="Calibri Light" w:hAnsi="Calibri Light"/>
          <w:color w:val="21286C"/>
          <w:sz w:val="21"/>
        </w:rPr>
        <w:t xml:space="preserve">είναι ευμετάβλητο, μετά </w:t>
      </w:r>
      <w:r w:rsidR="00666939">
        <w:rPr>
          <w:rFonts w:ascii="Calibri Light" w:hAnsi="Calibri Light"/>
          <w:color w:val="21286C"/>
          <w:sz w:val="21"/>
        </w:rPr>
        <w:t>από</w:t>
      </w:r>
      <w:r w:rsidR="00D50DD2" w:rsidRPr="00D50DD2">
        <w:rPr>
          <w:rFonts w:ascii="Calibri Light" w:hAnsi="Calibri Light"/>
          <w:color w:val="21286C"/>
          <w:sz w:val="21"/>
        </w:rPr>
        <w:t xml:space="preserve"> την ανακοίνωση </w:t>
      </w:r>
      <w:r w:rsidR="00666939">
        <w:rPr>
          <w:rFonts w:ascii="Calibri Light" w:hAnsi="Calibri Light"/>
          <w:color w:val="21286C"/>
          <w:sz w:val="21"/>
        </w:rPr>
        <w:t xml:space="preserve">της </w:t>
      </w:r>
      <w:r w:rsidR="00D50DD2" w:rsidRPr="00D50DD2">
        <w:rPr>
          <w:rFonts w:ascii="Calibri Light" w:hAnsi="Calibri Light"/>
          <w:color w:val="21286C"/>
          <w:sz w:val="21"/>
        </w:rPr>
        <w:t>ευρείας αύξησης των δασμών από τις ΗΠΑ, ενώ οι τελευταίες εκτιμήσεις για το</w:t>
      </w:r>
      <w:r>
        <w:rPr>
          <w:rFonts w:ascii="Calibri Light" w:hAnsi="Calibri Light"/>
          <w:color w:val="21286C"/>
          <w:sz w:val="21"/>
        </w:rPr>
        <w:t xml:space="preserve"> ΑΕΠ παγκοσμίως </w:t>
      </w:r>
      <w:r w:rsidR="00AD52C2">
        <w:rPr>
          <w:rFonts w:ascii="Calibri Light" w:hAnsi="Calibri Light"/>
          <w:color w:val="21286C"/>
          <w:sz w:val="21"/>
        </w:rPr>
        <w:t>δείχνουν επιβράδυνση, με τις</w:t>
      </w:r>
      <w:r>
        <w:rPr>
          <w:rFonts w:ascii="Calibri Light" w:hAnsi="Calibri Light"/>
          <w:color w:val="21286C"/>
          <w:sz w:val="21"/>
        </w:rPr>
        <w:t xml:space="preserve"> προβλέψεις </w:t>
      </w:r>
      <w:r w:rsidR="00AD52C2">
        <w:rPr>
          <w:rFonts w:ascii="Calibri Light" w:hAnsi="Calibri Light"/>
          <w:color w:val="21286C"/>
          <w:sz w:val="21"/>
        </w:rPr>
        <w:t xml:space="preserve">να διαμορφώνονται στο </w:t>
      </w:r>
      <w:r>
        <w:rPr>
          <w:rFonts w:ascii="Calibri Light" w:hAnsi="Calibri Light"/>
          <w:color w:val="21286C"/>
          <w:sz w:val="21"/>
        </w:rPr>
        <w:t>2,8%</w:t>
      </w:r>
      <w:r w:rsidR="00A0399E">
        <w:rPr>
          <w:rFonts w:ascii="Calibri Light" w:hAnsi="Calibri Light"/>
          <w:color w:val="21286C"/>
          <w:sz w:val="21"/>
        </w:rPr>
        <w:t xml:space="preserve"> </w:t>
      </w:r>
      <w:r w:rsidR="00567ADE">
        <w:rPr>
          <w:rFonts w:ascii="Calibri Light" w:hAnsi="Calibri Light"/>
          <w:color w:val="21286C"/>
          <w:sz w:val="21"/>
        </w:rPr>
        <w:t xml:space="preserve">για </w:t>
      </w:r>
      <w:r w:rsidR="00A0399E">
        <w:rPr>
          <w:rFonts w:ascii="Calibri Light" w:hAnsi="Calibri Light"/>
          <w:color w:val="21286C"/>
          <w:sz w:val="21"/>
        </w:rPr>
        <w:t>το 2025</w:t>
      </w:r>
      <w:r>
        <w:rPr>
          <w:rFonts w:ascii="Calibri Light" w:hAnsi="Calibri Light"/>
          <w:color w:val="21286C"/>
          <w:sz w:val="21"/>
        </w:rPr>
        <w:t xml:space="preserve">. Το ΔΝΤ </w:t>
      </w:r>
      <w:r w:rsidR="00254115">
        <w:rPr>
          <w:rFonts w:ascii="Calibri Light" w:hAnsi="Calibri Light"/>
          <w:color w:val="21286C"/>
          <w:sz w:val="21"/>
        </w:rPr>
        <w:t>διαπιστώνει αυξανόμενη</w:t>
      </w:r>
      <w:r>
        <w:rPr>
          <w:rFonts w:ascii="Calibri Light" w:hAnsi="Calibri Light"/>
          <w:color w:val="21286C"/>
          <w:sz w:val="21"/>
        </w:rPr>
        <w:t xml:space="preserve"> αβεβαιότητα και </w:t>
      </w:r>
      <w:r w:rsidR="005A2F6A">
        <w:rPr>
          <w:rFonts w:ascii="Calibri Light" w:hAnsi="Calibri Light"/>
          <w:color w:val="21286C"/>
          <w:sz w:val="21"/>
        </w:rPr>
        <w:t>με</w:t>
      </w:r>
      <w:r w:rsidR="002F00E2">
        <w:rPr>
          <w:rFonts w:ascii="Calibri Light" w:hAnsi="Calibri Light"/>
          <w:color w:val="21286C"/>
          <w:sz w:val="21"/>
        </w:rPr>
        <w:t>ιωμένη</w:t>
      </w:r>
      <w:r>
        <w:rPr>
          <w:rFonts w:ascii="Calibri Light" w:hAnsi="Calibri Light"/>
          <w:color w:val="21286C"/>
          <w:sz w:val="21"/>
        </w:rPr>
        <w:t xml:space="preserve"> ανθεκτικότητα, </w:t>
      </w:r>
      <w:r w:rsidR="000C178E">
        <w:rPr>
          <w:rFonts w:ascii="Calibri Light" w:hAnsi="Calibri Light"/>
          <w:color w:val="21286C"/>
          <w:sz w:val="21"/>
        </w:rPr>
        <w:t>ω</w:t>
      </w:r>
      <w:r>
        <w:rPr>
          <w:rFonts w:ascii="Calibri Light" w:hAnsi="Calibri Light"/>
          <w:color w:val="21286C"/>
          <w:sz w:val="21"/>
        </w:rPr>
        <w:t xml:space="preserve">στόσο η αποκλιμάκωση των </w:t>
      </w:r>
      <w:r w:rsidR="000C178E">
        <w:rPr>
          <w:rFonts w:ascii="Calibri Light" w:hAnsi="Calibri Light"/>
          <w:color w:val="21286C"/>
          <w:sz w:val="21"/>
        </w:rPr>
        <w:t xml:space="preserve">εμπορικών </w:t>
      </w:r>
      <w:r>
        <w:rPr>
          <w:rFonts w:ascii="Calibri Light" w:hAnsi="Calibri Light"/>
          <w:color w:val="21286C"/>
          <w:sz w:val="21"/>
        </w:rPr>
        <w:t>εντάσεων</w:t>
      </w:r>
      <w:r w:rsidR="00E03013">
        <w:rPr>
          <w:rFonts w:ascii="Calibri Light" w:hAnsi="Calibri Light"/>
          <w:color w:val="21286C"/>
          <w:sz w:val="21"/>
        </w:rPr>
        <w:t xml:space="preserve"> και ο</w:t>
      </w:r>
      <w:r>
        <w:rPr>
          <w:rFonts w:ascii="Calibri Light" w:hAnsi="Calibri Light"/>
          <w:color w:val="21286C"/>
          <w:sz w:val="21"/>
        </w:rPr>
        <w:t xml:space="preserve">ι συντονισμένες </w:t>
      </w:r>
      <w:r w:rsidR="00E03013">
        <w:rPr>
          <w:rFonts w:ascii="Calibri Light" w:hAnsi="Calibri Light"/>
          <w:color w:val="21286C"/>
          <w:sz w:val="21"/>
        </w:rPr>
        <w:t xml:space="preserve">πολιτικές παρεμβάσεις </w:t>
      </w:r>
      <w:r>
        <w:rPr>
          <w:rFonts w:ascii="Calibri Light" w:hAnsi="Calibri Light"/>
          <w:color w:val="21286C"/>
          <w:sz w:val="21"/>
        </w:rPr>
        <w:t>είναι πιθανό να συμβάλουν σε μια ευνοϊκότερη εικόνα για το μέλλον.</w:t>
      </w:r>
    </w:p>
    <w:p w14:paraId="369ABD38" w14:textId="55497B01" w:rsidR="00AA4C96" w:rsidRPr="00717BD4" w:rsidRDefault="00B67F90" w:rsidP="00AA4C96">
      <w:pPr>
        <w:jc w:val="both"/>
        <w:rPr>
          <w:rFonts w:ascii="Calibri Light" w:hAnsi="Calibri Light"/>
          <w:color w:val="21286C"/>
          <w:sz w:val="21"/>
          <w:szCs w:val="21"/>
        </w:rPr>
      </w:pPr>
      <w:r>
        <w:rPr>
          <w:rFonts w:ascii="Calibri Light" w:hAnsi="Calibri Light"/>
          <w:color w:val="21286C"/>
          <w:sz w:val="21"/>
        </w:rPr>
        <w:t>Στις</w:t>
      </w:r>
      <w:r w:rsidR="00AA4C96">
        <w:rPr>
          <w:rFonts w:ascii="Calibri Light" w:hAnsi="Calibri Light"/>
          <w:color w:val="21286C"/>
          <w:sz w:val="21"/>
        </w:rPr>
        <w:t xml:space="preserve"> ΗΠΑ, διατηρούμε μια συγκρατημένα αισιόδοξη στάση στις προβλέψεις </w:t>
      </w:r>
      <w:r w:rsidR="00845982">
        <w:rPr>
          <w:rFonts w:ascii="Calibri Light" w:hAnsi="Calibri Light"/>
          <w:color w:val="21286C"/>
          <w:sz w:val="21"/>
        </w:rPr>
        <w:t>μας, όσο η οικονομική πολιτική παραμένει ασταθής</w:t>
      </w:r>
      <w:r w:rsidR="00AA4C96">
        <w:rPr>
          <w:rFonts w:ascii="Calibri Light" w:hAnsi="Calibri Light"/>
          <w:color w:val="21286C"/>
          <w:sz w:val="21"/>
        </w:rPr>
        <w:t xml:space="preserve">. </w:t>
      </w:r>
      <w:r w:rsidR="00845982">
        <w:rPr>
          <w:rFonts w:ascii="Calibri Light" w:hAnsi="Calibri Light"/>
          <w:color w:val="21286C"/>
          <w:sz w:val="21"/>
        </w:rPr>
        <w:t>Οι</w:t>
      </w:r>
      <w:r w:rsidR="00AA4C96">
        <w:rPr>
          <w:rFonts w:ascii="Calibri Light" w:hAnsi="Calibri Light"/>
          <w:color w:val="21286C"/>
          <w:sz w:val="21"/>
        </w:rPr>
        <w:t xml:space="preserve"> συνθήκες </w:t>
      </w:r>
      <w:r w:rsidR="001F1B4A">
        <w:rPr>
          <w:rFonts w:ascii="Calibri Light" w:hAnsi="Calibri Light"/>
          <w:color w:val="21286C"/>
          <w:sz w:val="21"/>
        </w:rPr>
        <w:t>της αγοράς βραχυπρόθεσμα</w:t>
      </w:r>
      <w:r w:rsidR="00AA4C96">
        <w:rPr>
          <w:rFonts w:ascii="Calibri Light" w:hAnsi="Calibri Light"/>
          <w:color w:val="21286C"/>
          <w:sz w:val="21"/>
        </w:rPr>
        <w:t xml:space="preserve"> υποδεικνύουν </w:t>
      </w:r>
      <w:r w:rsidR="00347C13">
        <w:rPr>
          <w:rFonts w:ascii="Calibri Light" w:hAnsi="Calibri Light"/>
          <w:color w:val="21286C"/>
          <w:sz w:val="21"/>
        </w:rPr>
        <w:t xml:space="preserve">περαιτέρω </w:t>
      </w:r>
      <w:r w:rsidR="006F7406">
        <w:rPr>
          <w:rFonts w:ascii="Calibri Light" w:hAnsi="Calibri Light"/>
          <w:color w:val="21286C"/>
          <w:sz w:val="21"/>
        </w:rPr>
        <w:t>σταθεροποίηση</w:t>
      </w:r>
      <w:r w:rsidR="00347C13">
        <w:rPr>
          <w:rFonts w:ascii="Calibri Light" w:hAnsi="Calibri Light"/>
          <w:color w:val="21286C"/>
          <w:sz w:val="21"/>
        </w:rPr>
        <w:t xml:space="preserve"> της δραστηριότητας </w:t>
      </w:r>
      <w:r w:rsidR="00AA4C96">
        <w:rPr>
          <w:rFonts w:ascii="Calibri Light" w:hAnsi="Calibri Light"/>
          <w:color w:val="21286C"/>
          <w:sz w:val="21"/>
        </w:rPr>
        <w:t xml:space="preserve">στην αγορά κατοικίας, ενώ η σταθερή ζήτηση σε έργα υποδομών και σε επιμέρους τμήματα της αγοράς εμπορικών ακινήτων εκτιμάται ότι θα συμβάλει στη διατήρηση της ανθεκτικότητας καθ' όλη τη διάρκεια του 2025. </w:t>
      </w:r>
      <w:r w:rsidR="001B37A9">
        <w:rPr>
          <w:rFonts w:ascii="Calibri Light" w:hAnsi="Calibri Light"/>
          <w:color w:val="21286C"/>
          <w:sz w:val="21"/>
        </w:rPr>
        <w:t>Π</w:t>
      </w:r>
      <w:r w:rsidR="00AA4C96">
        <w:rPr>
          <w:rFonts w:ascii="Calibri Light" w:hAnsi="Calibri Light"/>
          <w:color w:val="21286C"/>
          <w:sz w:val="21"/>
        </w:rPr>
        <w:t xml:space="preserve">αρακολουθούμε </w:t>
      </w:r>
      <w:r w:rsidR="002F00E2">
        <w:rPr>
          <w:rFonts w:ascii="Calibri Light" w:hAnsi="Calibri Light"/>
          <w:color w:val="21286C"/>
          <w:sz w:val="21"/>
        </w:rPr>
        <w:t>συνεχώς</w:t>
      </w:r>
      <w:r w:rsidR="00AA4C96">
        <w:rPr>
          <w:rFonts w:ascii="Calibri Light" w:hAnsi="Calibri Light"/>
          <w:color w:val="21286C"/>
          <w:sz w:val="21"/>
        </w:rPr>
        <w:t xml:space="preserve"> τους οικονομικούς δείκτες και τις ενδείξεις </w:t>
      </w:r>
      <w:r w:rsidR="00D10ED4">
        <w:rPr>
          <w:rFonts w:ascii="Calibri Light" w:hAnsi="Calibri Light"/>
          <w:color w:val="21286C"/>
          <w:sz w:val="21"/>
        </w:rPr>
        <w:t>των αγορών</w:t>
      </w:r>
      <w:r w:rsidR="00AA4C96">
        <w:rPr>
          <w:rFonts w:ascii="Calibri Light" w:hAnsi="Calibri Light"/>
          <w:color w:val="21286C"/>
          <w:sz w:val="21"/>
        </w:rPr>
        <w:t xml:space="preserve">, ώστε να μπορούμε να προσαρμόζουμε </w:t>
      </w:r>
      <w:r w:rsidR="00331743">
        <w:rPr>
          <w:rFonts w:ascii="Calibri Light" w:hAnsi="Calibri Light"/>
          <w:color w:val="21286C"/>
          <w:sz w:val="21"/>
        </w:rPr>
        <w:t>έγκαιρα</w:t>
      </w:r>
      <w:r w:rsidR="00AA4C96">
        <w:rPr>
          <w:rFonts w:ascii="Calibri Light" w:hAnsi="Calibri Light"/>
          <w:color w:val="21286C"/>
          <w:sz w:val="21"/>
        </w:rPr>
        <w:t xml:space="preserve"> τη στρατηγική και τις δραστηριότητές </w:t>
      </w:r>
      <w:r w:rsidR="003263E1">
        <w:rPr>
          <w:rFonts w:ascii="Calibri Light" w:hAnsi="Calibri Light"/>
          <w:color w:val="21286C"/>
          <w:sz w:val="21"/>
        </w:rPr>
        <w:t xml:space="preserve">μας, ενώ </w:t>
      </w:r>
      <w:r w:rsidR="00CF0ACD">
        <w:rPr>
          <w:rFonts w:ascii="Calibri Light" w:hAnsi="Calibri Light"/>
          <w:color w:val="21286C"/>
          <w:sz w:val="21"/>
        </w:rPr>
        <w:t>διατηρούμε ισχυρή παρουσία</w:t>
      </w:r>
      <w:r w:rsidR="001C7A47">
        <w:rPr>
          <w:rFonts w:ascii="Calibri Light" w:hAnsi="Calibri Light"/>
          <w:color w:val="21286C"/>
          <w:sz w:val="21"/>
        </w:rPr>
        <w:t xml:space="preserve"> στις βασικές αγορές δραστηριότητας </w:t>
      </w:r>
      <w:r w:rsidR="00524C1D">
        <w:rPr>
          <w:rFonts w:ascii="Calibri Light" w:hAnsi="Calibri Light"/>
          <w:color w:val="21286C"/>
          <w:sz w:val="21"/>
        </w:rPr>
        <w:t xml:space="preserve">και συνεχίζουμε να πραγματοποιούμε </w:t>
      </w:r>
      <w:r w:rsidR="001B1E55">
        <w:rPr>
          <w:rFonts w:ascii="Calibri Light" w:hAnsi="Calibri Light"/>
          <w:color w:val="21286C"/>
          <w:sz w:val="21"/>
        </w:rPr>
        <w:t>στοχευμένες επενδύσεις σύμφωνα με το στρατηγικό μας πλάνο ανάπτυξης.</w:t>
      </w:r>
    </w:p>
    <w:p w14:paraId="365206EA" w14:textId="0AA1E632" w:rsidR="00AA4C96" w:rsidRPr="00717BD4" w:rsidRDefault="00AA4C96" w:rsidP="00AA4C96">
      <w:pPr>
        <w:jc w:val="both"/>
        <w:rPr>
          <w:rFonts w:ascii="Calibri Light" w:hAnsi="Calibri Light"/>
          <w:color w:val="21286C"/>
          <w:sz w:val="21"/>
          <w:szCs w:val="21"/>
        </w:rPr>
      </w:pPr>
      <w:r>
        <w:rPr>
          <w:rFonts w:ascii="Calibri Light" w:hAnsi="Calibri Light"/>
          <w:color w:val="21286C"/>
          <w:sz w:val="21"/>
        </w:rPr>
        <w:t xml:space="preserve">Η ελληνική οικονομία αναμένεται </w:t>
      </w:r>
      <w:r w:rsidR="008C7FF8">
        <w:rPr>
          <w:rFonts w:ascii="Calibri Light" w:hAnsi="Calibri Light"/>
          <w:color w:val="21286C"/>
          <w:sz w:val="21"/>
        </w:rPr>
        <w:t>να</w:t>
      </w:r>
      <w:r>
        <w:rPr>
          <w:rFonts w:ascii="Calibri Light" w:hAnsi="Calibri Light"/>
          <w:color w:val="21286C"/>
          <w:sz w:val="21"/>
        </w:rPr>
        <w:t xml:space="preserve"> καταγράψει αύξηση </w:t>
      </w:r>
      <w:r w:rsidR="008048D0">
        <w:rPr>
          <w:rFonts w:ascii="Calibri Light" w:hAnsi="Calibri Light"/>
          <w:color w:val="21286C"/>
          <w:sz w:val="21"/>
        </w:rPr>
        <w:t xml:space="preserve">περίπου </w:t>
      </w:r>
      <w:r>
        <w:rPr>
          <w:rFonts w:ascii="Calibri Light" w:hAnsi="Calibri Light"/>
          <w:color w:val="21286C"/>
          <w:sz w:val="21"/>
        </w:rPr>
        <w:t>2,3% το 2025. Βασικός</w:t>
      </w:r>
      <w:r w:rsidR="008C7FF8">
        <w:rPr>
          <w:rFonts w:ascii="Calibri Light" w:hAnsi="Calibri Light"/>
          <w:color w:val="21286C"/>
          <w:sz w:val="21"/>
        </w:rPr>
        <w:t xml:space="preserve"> μοχλός ανάπτυξης</w:t>
      </w:r>
      <w:r w:rsidR="002C175A">
        <w:rPr>
          <w:rFonts w:ascii="Calibri Light" w:hAnsi="Calibri Light"/>
          <w:color w:val="21286C"/>
          <w:sz w:val="21"/>
        </w:rPr>
        <w:t xml:space="preserve"> </w:t>
      </w:r>
      <w:r w:rsidR="008C7FF8">
        <w:rPr>
          <w:rFonts w:ascii="Calibri Light" w:hAnsi="Calibri Light"/>
          <w:color w:val="21286C"/>
          <w:sz w:val="21"/>
        </w:rPr>
        <w:t xml:space="preserve">εκτιμάται </w:t>
      </w:r>
      <w:r>
        <w:rPr>
          <w:rFonts w:ascii="Calibri Light" w:hAnsi="Calibri Light"/>
          <w:color w:val="21286C"/>
          <w:sz w:val="21"/>
        </w:rPr>
        <w:t xml:space="preserve">ότι θα είναι οι επενδύσεις, οι οποίες ενισχύονται από τη συνεχή αξιοποίηση πόρων από το Ταμείο Ανάκαμψης και Ανθεκτικότητας της ΕΕ. Η Ευρωπαϊκή Επιτροπή προβλέπει για το 2025 αύξηση των επενδύσεων της τάξης του 9%, με έμφαση σε έργα υποδομών, ενέργειας και ψηφιακού μετασχηματισμού. Η ιδιωτική κατανάλωση αναμένεται </w:t>
      </w:r>
      <w:r w:rsidR="005911EE">
        <w:rPr>
          <w:rFonts w:ascii="Calibri Light" w:hAnsi="Calibri Light"/>
          <w:color w:val="21286C"/>
          <w:sz w:val="21"/>
        </w:rPr>
        <w:t>ότι θα διατηρήσει</w:t>
      </w:r>
      <w:r>
        <w:rPr>
          <w:rFonts w:ascii="Calibri Light" w:hAnsi="Calibri Light"/>
          <w:color w:val="21286C"/>
          <w:sz w:val="21"/>
        </w:rPr>
        <w:t xml:space="preserve"> τη δυναμική της, χάρη στην αύξηση του πραγματικού εισοδήματος, τη μείωση της ανεργίας και τα στοχευμένα δημοσιονομικά μέτρα, όπως </w:t>
      </w:r>
      <w:r w:rsidR="00544358" w:rsidRPr="00544358">
        <w:rPr>
          <w:rFonts w:ascii="Calibri Light" w:hAnsi="Calibri Light"/>
          <w:color w:val="21286C"/>
          <w:sz w:val="21"/>
        </w:rPr>
        <w:t>οι αυξήσεις συντάξεων και οι προσαρμογές στον κατώτατο μισθό.</w:t>
      </w:r>
      <w:r w:rsidR="00F703C6">
        <w:rPr>
          <w:rFonts w:ascii="Calibri Light" w:hAnsi="Calibri Light"/>
          <w:color w:val="21286C"/>
          <w:sz w:val="21"/>
        </w:rPr>
        <w:t xml:space="preserve"> </w:t>
      </w:r>
      <w:r>
        <w:rPr>
          <w:rFonts w:ascii="Calibri Light" w:hAnsi="Calibri Light"/>
          <w:color w:val="21286C"/>
          <w:sz w:val="21"/>
        </w:rPr>
        <w:t xml:space="preserve">Η </w:t>
      </w:r>
      <w:r w:rsidR="00E90437">
        <w:rPr>
          <w:rFonts w:ascii="Calibri Light" w:hAnsi="Calibri Light"/>
          <w:color w:val="21286C"/>
          <w:sz w:val="21"/>
        </w:rPr>
        <w:t>ανάπτυξη</w:t>
      </w:r>
      <w:r>
        <w:rPr>
          <w:rFonts w:ascii="Calibri Light" w:hAnsi="Calibri Light"/>
          <w:color w:val="21286C"/>
          <w:sz w:val="21"/>
        </w:rPr>
        <w:t xml:space="preserve"> του κατασκευαστικού κλάδου </w:t>
      </w:r>
      <w:r w:rsidR="00E90437">
        <w:rPr>
          <w:rFonts w:ascii="Calibri Light" w:hAnsi="Calibri Light"/>
          <w:color w:val="21286C"/>
          <w:sz w:val="21"/>
        </w:rPr>
        <w:t>αναμένεται να σ</w:t>
      </w:r>
      <w:r>
        <w:rPr>
          <w:rFonts w:ascii="Calibri Light" w:hAnsi="Calibri Light"/>
          <w:color w:val="21286C"/>
          <w:sz w:val="21"/>
        </w:rPr>
        <w:t xml:space="preserve">υνεχιστεί, χάρη στα μείζονος κλίμακας έργα υποδομών, </w:t>
      </w:r>
      <w:r w:rsidR="00C9137B">
        <w:rPr>
          <w:rFonts w:ascii="Calibri Light" w:hAnsi="Calibri Light"/>
          <w:color w:val="21286C"/>
          <w:sz w:val="21"/>
        </w:rPr>
        <w:t>κυρίως σε τομείς όπως η ενεργειακή διασυνδεσι</w:t>
      </w:r>
      <w:r w:rsidR="00C61FF9">
        <w:rPr>
          <w:rFonts w:ascii="Calibri Light" w:hAnsi="Calibri Light"/>
          <w:color w:val="21286C"/>
          <w:sz w:val="21"/>
        </w:rPr>
        <w:t xml:space="preserve">μότητα και οι μεταφορές, οι </w:t>
      </w:r>
      <w:r w:rsidR="00CB401C">
        <w:rPr>
          <w:rFonts w:ascii="Calibri Light" w:hAnsi="Calibri Light"/>
          <w:color w:val="21286C"/>
          <w:sz w:val="21"/>
        </w:rPr>
        <w:t xml:space="preserve">αστικές </w:t>
      </w:r>
      <w:r w:rsidR="00C61FF9">
        <w:rPr>
          <w:rFonts w:ascii="Calibri Light" w:hAnsi="Calibri Light"/>
          <w:color w:val="21286C"/>
          <w:sz w:val="21"/>
        </w:rPr>
        <w:t>αναπλάσεις</w:t>
      </w:r>
      <w:r w:rsidR="00CB401C">
        <w:rPr>
          <w:rFonts w:ascii="Calibri Light" w:hAnsi="Calibri Light"/>
          <w:color w:val="21286C"/>
          <w:sz w:val="21"/>
        </w:rPr>
        <w:t xml:space="preserve"> και η αυξανόμενη ζήτηση </w:t>
      </w:r>
      <w:r>
        <w:rPr>
          <w:rFonts w:ascii="Calibri Light" w:hAnsi="Calibri Light"/>
          <w:color w:val="21286C"/>
          <w:sz w:val="21"/>
        </w:rPr>
        <w:t>για κατοικίες και εμπορικούς χώρους</w:t>
      </w:r>
      <w:r w:rsidR="00CB401C">
        <w:rPr>
          <w:rFonts w:ascii="Calibri Light" w:hAnsi="Calibri Light"/>
          <w:color w:val="21286C"/>
          <w:sz w:val="21"/>
        </w:rPr>
        <w:t xml:space="preserve">. </w:t>
      </w:r>
    </w:p>
    <w:p w14:paraId="03E01421" w14:textId="0E8CB0A5" w:rsidR="00AA4C96" w:rsidRPr="00717BD4" w:rsidRDefault="00BD4B24" w:rsidP="00AA4C96">
      <w:pPr>
        <w:jc w:val="both"/>
        <w:rPr>
          <w:rFonts w:ascii="Calibri Light" w:hAnsi="Calibri Light"/>
          <w:color w:val="21286C"/>
          <w:sz w:val="21"/>
          <w:szCs w:val="21"/>
        </w:rPr>
      </w:pPr>
      <w:r>
        <w:rPr>
          <w:rFonts w:ascii="Calibri Light" w:hAnsi="Calibri Light"/>
          <w:color w:val="21286C"/>
          <w:sz w:val="21"/>
        </w:rPr>
        <w:t>Οι προοπτικές της οικονομίας σ</w:t>
      </w:r>
      <w:r w:rsidR="00AA4C96">
        <w:rPr>
          <w:rFonts w:ascii="Calibri Light" w:hAnsi="Calibri Light"/>
          <w:color w:val="21286C"/>
          <w:sz w:val="21"/>
        </w:rPr>
        <w:t>τη Νοτιοανατολική Ευρώπη επίσης παραμέν</w:t>
      </w:r>
      <w:r w:rsidR="006449AF">
        <w:rPr>
          <w:rFonts w:ascii="Calibri Light" w:hAnsi="Calibri Light"/>
          <w:color w:val="21286C"/>
          <w:sz w:val="21"/>
        </w:rPr>
        <w:t>ουν</w:t>
      </w:r>
      <w:r w:rsidR="00AA4C96">
        <w:rPr>
          <w:rFonts w:ascii="Calibri Light" w:hAnsi="Calibri Light"/>
          <w:color w:val="21286C"/>
          <w:sz w:val="21"/>
        </w:rPr>
        <w:t xml:space="preserve"> συγκρατημένα αισιόδοξ</w:t>
      </w:r>
      <w:r w:rsidR="006449AF">
        <w:rPr>
          <w:rFonts w:ascii="Calibri Light" w:hAnsi="Calibri Light"/>
          <w:color w:val="21286C"/>
          <w:sz w:val="21"/>
        </w:rPr>
        <w:t>ες</w:t>
      </w:r>
      <w:r w:rsidR="00AA4C96">
        <w:rPr>
          <w:rFonts w:ascii="Calibri Light" w:hAnsi="Calibri Light"/>
          <w:color w:val="21286C"/>
          <w:sz w:val="21"/>
        </w:rPr>
        <w:t xml:space="preserve">, χάρη στην εγχώρια ζήτηση, τις επενδυτικές πρωτοβουλίες και τις διαρθρωτικές μεταρρυθμίσεις. </w:t>
      </w:r>
      <w:r w:rsidR="00A25C82" w:rsidRPr="00A25C82">
        <w:rPr>
          <w:rFonts w:ascii="Calibri Light" w:hAnsi="Calibri Light"/>
          <w:color w:val="21286C"/>
          <w:sz w:val="21"/>
        </w:rPr>
        <w:t xml:space="preserve">Η περιοχή παρουσιάζει θετική αναπτυξιακή πορεία για το 2025, με τις επενδύσεις και την κατανάλωση να αποτελούν βασικούς πυλώνες ανάπτυξης. Η </w:t>
      </w:r>
      <w:r w:rsidR="008E36D7">
        <w:rPr>
          <w:rFonts w:ascii="Calibri Light" w:hAnsi="Calibri Light"/>
          <w:color w:val="21286C"/>
          <w:sz w:val="21"/>
        </w:rPr>
        <w:t>ενίσχυση</w:t>
      </w:r>
      <w:r w:rsidR="004B23D5" w:rsidRPr="00A25C82">
        <w:rPr>
          <w:rFonts w:ascii="Calibri Light" w:hAnsi="Calibri Light"/>
          <w:color w:val="21286C"/>
          <w:sz w:val="21"/>
        </w:rPr>
        <w:t xml:space="preserve"> </w:t>
      </w:r>
      <w:r w:rsidR="00A25C82" w:rsidRPr="00A25C82">
        <w:rPr>
          <w:rFonts w:ascii="Calibri Light" w:hAnsi="Calibri Light"/>
          <w:color w:val="21286C"/>
          <w:sz w:val="21"/>
        </w:rPr>
        <w:t xml:space="preserve">υποδομών, ιδίως ενόψει της Expo 2027 και ενεργειακών έργων, αναδεικνύει τη Σερβία σε περιφερειακό κόμβο για τον κατασκευαστικό τομέα, ενώ στην Αλβανία ο κλάδος ενισχύεται από επενδύσεις σε τουριστικές υποδομές και έργα αστικής ανάπλασης. Παράλληλα, οι προσπάθειες για ευρωπαϊκή ένταξη αναμένεται να προσελκύσουν άμεσες ξένες επενδύσεις, ιδιαίτερα στους τομείς των υποδομών και της ενέργειας. </w:t>
      </w:r>
      <w:r w:rsidR="00333CC4">
        <w:rPr>
          <w:rFonts w:ascii="Calibri Light" w:hAnsi="Calibri Light"/>
          <w:color w:val="21286C"/>
          <w:sz w:val="21"/>
        </w:rPr>
        <w:t>Ο</w:t>
      </w:r>
      <w:r w:rsidR="00A25C82" w:rsidRPr="00A25C82">
        <w:rPr>
          <w:rFonts w:ascii="Calibri Light" w:hAnsi="Calibri Light"/>
          <w:color w:val="21286C"/>
          <w:sz w:val="21"/>
        </w:rPr>
        <w:t xml:space="preserve"> κατασκευαστικός τομέας στην περιοχή αναμένεται να ωφεληθεί από έργα υποδομ</w:t>
      </w:r>
      <w:r w:rsidR="00607E50">
        <w:rPr>
          <w:rFonts w:ascii="Calibri Light" w:hAnsi="Calibri Light"/>
          <w:color w:val="21286C"/>
          <w:sz w:val="21"/>
        </w:rPr>
        <w:t>ών</w:t>
      </w:r>
      <w:r w:rsidR="00A25C82" w:rsidRPr="00A25C82">
        <w:rPr>
          <w:rFonts w:ascii="Calibri Light" w:hAnsi="Calibri Light"/>
          <w:color w:val="21286C"/>
          <w:sz w:val="21"/>
        </w:rPr>
        <w:t xml:space="preserve">, ενεργειακές πρωτοβουλίες και την ευρωπαϊκή προοπτική, αν και προκλήσεις όπως </w:t>
      </w:r>
      <w:r w:rsidR="005D32F3">
        <w:rPr>
          <w:rFonts w:ascii="Calibri Light" w:hAnsi="Calibri Light"/>
          <w:color w:val="21286C"/>
          <w:sz w:val="21"/>
        </w:rPr>
        <w:t xml:space="preserve">οι </w:t>
      </w:r>
      <w:r w:rsidR="00A25C82" w:rsidRPr="00A25C82">
        <w:rPr>
          <w:rFonts w:ascii="Calibri Light" w:hAnsi="Calibri Light"/>
          <w:color w:val="21286C"/>
          <w:sz w:val="21"/>
        </w:rPr>
        <w:t xml:space="preserve">πολιτικές αβεβαιότητες και οι διεθνείς οικονομικές συνθήκες ενδέχεται να επιδράσουν αρνητικά </w:t>
      </w:r>
      <w:r w:rsidR="005D32F3">
        <w:rPr>
          <w:rFonts w:ascii="Calibri Light" w:hAnsi="Calibri Light"/>
          <w:color w:val="21286C"/>
          <w:sz w:val="21"/>
        </w:rPr>
        <w:t xml:space="preserve">την </w:t>
      </w:r>
      <w:r w:rsidR="000435A6">
        <w:rPr>
          <w:rFonts w:ascii="Calibri Light" w:hAnsi="Calibri Light"/>
          <w:color w:val="21286C"/>
          <w:sz w:val="21"/>
        </w:rPr>
        <w:t>συνεχή</w:t>
      </w:r>
      <w:r w:rsidR="00A25C82" w:rsidRPr="00A25C82">
        <w:rPr>
          <w:rFonts w:ascii="Calibri Light" w:hAnsi="Calibri Light"/>
          <w:color w:val="21286C"/>
          <w:sz w:val="21"/>
        </w:rPr>
        <w:t xml:space="preserve"> ανάπτυξη.</w:t>
      </w:r>
    </w:p>
    <w:p w14:paraId="76B33523" w14:textId="23D3F40A" w:rsidR="00AA4C96" w:rsidRPr="00717BD4" w:rsidRDefault="00513DDB" w:rsidP="00AA4C96">
      <w:pPr>
        <w:jc w:val="both"/>
        <w:rPr>
          <w:rFonts w:ascii="Calibri Light" w:hAnsi="Calibri Light"/>
          <w:color w:val="21286C"/>
          <w:sz w:val="21"/>
          <w:szCs w:val="21"/>
        </w:rPr>
      </w:pPr>
      <w:r w:rsidRPr="00513DDB">
        <w:rPr>
          <w:rFonts w:ascii="Calibri Light" w:hAnsi="Calibri Light"/>
          <w:color w:val="21286C"/>
          <w:sz w:val="21"/>
        </w:rPr>
        <w:t xml:space="preserve">Οι προοπτικές για τον κλάδο μας στην Αίγυπτο το 2025 παραμένουν θετικές, παρά τις συνεχιζόμενες προκλήσεις για την οικονομία. Ο κατασκευαστικός τομέας αποτελεί βασικό μοχλό οικονομικής ανάπτυξης, ενισχυόμενος από σημαντικές επενδύσεις σε υποδομές, που περιλαμβάνουν έργα μεταφορών, ενέργειας και κατοικιών. Ο οικιστικός τομέας ωφελείται από τις δημογραφικές πιέσεις και την αστικοποίηση, ενώ οι εμπορικοί και βιομηχανικοί τομείς ενισχύονται μέσω συμπράξεων δημόσιου και ιδιωτικού τομέα και άμεσων ξένων επενδύσεων. </w:t>
      </w:r>
      <w:r w:rsidR="008E001A" w:rsidRPr="008E001A">
        <w:rPr>
          <w:rFonts w:ascii="Calibri Light" w:hAnsi="Calibri Light"/>
          <w:color w:val="21286C"/>
          <w:sz w:val="21"/>
        </w:rPr>
        <w:t>Η ανάδειξη της χώρας σε εξαγωγικό κόμβο για την ευρύτερη</w:t>
      </w:r>
      <w:r w:rsidRPr="00513DDB">
        <w:rPr>
          <w:rFonts w:ascii="Calibri Light" w:hAnsi="Calibri Light"/>
          <w:color w:val="21286C"/>
          <w:sz w:val="21"/>
        </w:rPr>
        <w:t xml:space="preserve"> περιοχή την </w:t>
      </w:r>
      <w:r w:rsidR="008E001A" w:rsidRPr="008E001A">
        <w:rPr>
          <w:rFonts w:ascii="Calibri Light" w:hAnsi="Calibri Light"/>
          <w:color w:val="21286C"/>
          <w:sz w:val="21"/>
        </w:rPr>
        <w:t xml:space="preserve">καθιστά σημαντικό παράγοντα </w:t>
      </w:r>
      <w:r w:rsidRPr="00513DDB">
        <w:rPr>
          <w:rFonts w:ascii="Calibri Light" w:hAnsi="Calibri Light"/>
          <w:color w:val="21286C"/>
          <w:sz w:val="21"/>
        </w:rPr>
        <w:t xml:space="preserve">στήριξης των δραστηριοτήτων ανοικοδόμησης σε γειτονικές χώρες. </w:t>
      </w:r>
      <w:r w:rsidR="0017554B" w:rsidRPr="0017554B">
        <w:rPr>
          <w:rFonts w:ascii="Calibri Light" w:hAnsi="Calibri Light"/>
          <w:color w:val="21286C"/>
          <w:sz w:val="21"/>
        </w:rPr>
        <w:t xml:space="preserve">Η οικονομία της Τουρκίας εξακολουθεί να αντιμετωπίζει προκλήσεις λόγω νομισματικών συνθηκών και παγκόσμιας αβεβαιότητας, ωστόσο ο κατασκευαστικός τομέας συνεχίζει να επιδεικνύει ανθεκτικότητα. Παρά το γεγονός ότι οι ιδιωτικές επενδύσεις ενδέχεται να παρουσιάσουν περιορισμένη ανάπτυξη, οι ανάγκες </w:t>
      </w:r>
      <w:r w:rsidR="00EB48F7">
        <w:rPr>
          <w:rFonts w:ascii="Calibri Light" w:hAnsi="Calibri Light"/>
          <w:color w:val="21286C"/>
          <w:sz w:val="21"/>
        </w:rPr>
        <w:t>ανοικοδόμησης</w:t>
      </w:r>
      <w:r w:rsidR="0017554B" w:rsidRPr="0017554B">
        <w:rPr>
          <w:rFonts w:ascii="Calibri Light" w:hAnsi="Calibri Light"/>
          <w:color w:val="21286C"/>
          <w:sz w:val="21"/>
        </w:rPr>
        <w:t xml:space="preserve"> μετά τον σεισμό αναμένεται να διατηρήσουν τη ζήτηση σε επίπεδα αντίστοιχα του προηγούμενου έτους. </w:t>
      </w:r>
      <w:r w:rsidR="00AA4C96">
        <w:rPr>
          <w:rFonts w:ascii="Calibri Light" w:hAnsi="Calibri Light"/>
          <w:color w:val="21286C"/>
          <w:sz w:val="21"/>
        </w:rPr>
        <w:t>Οι εξαγωγές της χώρας</w:t>
      </w:r>
      <w:r w:rsidR="005E3F69">
        <w:rPr>
          <w:rFonts w:ascii="Calibri Light" w:hAnsi="Calibri Light"/>
          <w:color w:val="21286C"/>
          <w:sz w:val="21"/>
        </w:rPr>
        <w:t xml:space="preserve"> </w:t>
      </w:r>
      <w:r w:rsidR="00AA4C96">
        <w:rPr>
          <w:rFonts w:ascii="Calibri Light" w:hAnsi="Calibri Light"/>
          <w:color w:val="21286C"/>
          <w:sz w:val="21"/>
        </w:rPr>
        <w:t>εκτιμάται ότι θα ωφεληθ</w:t>
      </w:r>
      <w:r w:rsidR="005E3F69">
        <w:rPr>
          <w:rFonts w:ascii="Calibri Light" w:hAnsi="Calibri Light"/>
          <w:color w:val="21286C"/>
          <w:sz w:val="21"/>
        </w:rPr>
        <w:t>ούν</w:t>
      </w:r>
      <w:r w:rsidR="00AA4C96">
        <w:rPr>
          <w:rFonts w:ascii="Calibri Light" w:hAnsi="Calibri Light"/>
          <w:color w:val="21286C"/>
          <w:sz w:val="21"/>
        </w:rPr>
        <w:t xml:space="preserve"> από τις προσπάθειες ανοικοδόμησης στα γειτονικά κράτη.</w:t>
      </w:r>
    </w:p>
    <w:p w14:paraId="540A8310" w14:textId="06816908" w:rsidR="00AA4C96" w:rsidRPr="00364E07" w:rsidRDefault="00AA4C96" w:rsidP="00AA4C96">
      <w:pPr>
        <w:jc w:val="both"/>
        <w:rPr>
          <w:rFonts w:ascii="Calibri Light" w:hAnsi="Calibri Light"/>
          <w:color w:val="21286C"/>
          <w:sz w:val="21"/>
          <w:szCs w:val="21"/>
        </w:rPr>
      </w:pPr>
      <w:r>
        <w:rPr>
          <w:rFonts w:ascii="Calibri Light" w:hAnsi="Calibri Light"/>
          <w:color w:val="21286C"/>
          <w:sz w:val="21"/>
        </w:rPr>
        <w:t xml:space="preserve">Εν μέσω της αυξημένης αβεβαιότητας, ο Όμιλος παραμένει προσηλωμένος </w:t>
      </w:r>
      <w:r w:rsidR="0003757C">
        <w:rPr>
          <w:rFonts w:ascii="Calibri Light" w:hAnsi="Calibri Light"/>
          <w:color w:val="21286C"/>
          <w:sz w:val="21"/>
        </w:rPr>
        <w:t xml:space="preserve">στην </w:t>
      </w:r>
      <w:r>
        <w:rPr>
          <w:rFonts w:ascii="Calibri Light" w:hAnsi="Calibri Light"/>
          <w:color w:val="21286C"/>
          <w:sz w:val="21"/>
        </w:rPr>
        <w:t>περαιτέρω ενίσχυση της λειτουργικής αποδοτικότητας,</w:t>
      </w:r>
      <w:r w:rsidR="009A1850" w:rsidRPr="009A1850">
        <w:rPr>
          <w:rFonts w:ascii="Calibri Light" w:hAnsi="Calibri Light"/>
          <w:color w:val="21286C"/>
          <w:sz w:val="21"/>
        </w:rPr>
        <w:t xml:space="preserve"> </w:t>
      </w:r>
      <w:r w:rsidR="00953464">
        <w:rPr>
          <w:rFonts w:ascii="Calibri Light" w:hAnsi="Calibri Light"/>
          <w:color w:val="21286C"/>
          <w:sz w:val="21"/>
        </w:rPr>
        <w:t xml:space="preserve">στην </w:t>
      </w:r>
      <w:r w:rsidR="009A1850" w:rsidRPr="009A1850">
        <w:rPr>
          <w:rFonts w:ascii="Calibri Light" w:hAnsi="Calibri Light"/>
          <w:color w:val="21286C"/>
          <w:sz w:val="21"/>
        </w:rPr>
        <w:t xml:space="preserve">ανάπτυξη σε στρατηγικές αγορές υψηλής αξίας, </w:t>
      </w:r>
      <w:r w:rsidR="00BF6209">
        <w:rPr>
          <w:rFonts w:ascii="Calibri Light" w:hAnsi="Calibri Light"/>
          <w:color w:val="21286C"/>
          <w:sz w:val="21"/>
        </w:rPr>
        <w:t xml:space="preserve">στις </w:t>
      </w:r>
      <w:r w:rsidR="009A1850" w:rsidRPr="009A1850">
        <w:rPr>
          <w:rFonts w:ascii="Calibri Light" w:hAnsi="Calibri Light"/>
          <w:color w:val="21286C"/>
          <w:sz w:val="21"/>
        </w:rPr>
        <w:t xml:space="preserve">επενδύσεις σε βιώσιμες τεχνολογίες παραγωγής και </w:t>
      </w:r>
      <w:r w:rsidR="00BF6209">
        <w:rPr>
          <w:rFonts w:ascii="Calibri Light" w:hAnsi="Calibri Light"/>
          <w:color w:val="21286C"/>
          <w:sz w:val="21"/>
        </w:rPr>
        <w:t xml:space="preserve">στην </w:t>
      </w:r>
      <w:r w:rsidR="009A1850" w:rsidRPr="009A1850">
        <w:rPr>
          <w:rFonts w:ascii="Calibri Light" w:hAnsi="Calibri Light"/>
          <w:color w:val="21286C"/>
          <w:sz w:val="21"/>
        </w:rPr>
        <w:t xml:space="preserve">προώθηση του ψηφιακού μετασχηματισμού. </w:t>
      </w:r>
      <w:r w:rsidR="00C04DDC" w:rsidRPr="00C04DDC">
        <w:rPr>
          <w:rFonts w:ascii="Calibri Light" w:hAnsi="Calibri Light"/>
          <w:color w:val="21286C"/>
          <w:sz w:val="21"/>
        </w:rPr>
        <w:t>Αναμένουμε βελτιωμέν</w:t>
      </w:r>
      <w:r w:rsidR="00C04DDC">
        <w:rPr>
          <w:rFonts w:ascii="Calibri Light" w:hAnsi="Calibri Light"/>
          <w:color w:val="21286C"/>
          <w:sz w:val="21"/>
        </w:rPr>
        <w:t>ες</w:t>
      </w:r>
      <w:r w:rsidR="00C04DDC" w:rsidRPr="00C04DDC">
        <w:rPr>
          <w:rFonts w:ascii="Calibri Light" w:hAnsi="Calibri Light"/>
          <w:color w:val="21286C"/>
          <w:sz w:val="21"/>
        </w:rPr>
        <w:t xml:space="preserve"> οικονομικ</w:t>
      </w:r>
      <w:r w:rsidR="00C04DDC">
        <w:rPr>
          <w:rFonts w:ascii="Calibri Light" w:hAnsi="Calibri Light"/>
          <w:color w:val="21286C"/>
          <w:sz w:val="21"/>
        </w:rPr>
        <w:t>ές</w:t>
      </w:r>
      <w:r w:rsidR="00C04DDC" w:rsidRPr="00C04DDC">
        <w:rPr>
          <w:rFonts w:ascii="Calibri Light" w:hAnsi="Calibri Light"/>
          <w:color w:val="21286C"/>
          <w:sz w:val="21"/>
        </w:rPr>
        <w:t xml:space="preserve"> επ</w:t>
      </w:r>
      <w:r w:rsidR="00C04DDC">
        <w:rPr>
          <w:rFonts w:ascii="Calibri Light" w:hAnsi="Calibri Light"/>
          <w:color w:val="21286C"/>
          <w:sz w:val="21"/>
        </w:rPr>
        <w:t>ιδόσεις</w:t>
      </w:r>
      <w:r w:rsidR="00C04DDC" w:rsidRPr="00C04DDC">
        <w:rPr>
          <w:rFonts w:ascii="Calibri Light" w:hAnsi="Calibri Light"/>
          <w:color w:val="21286C"/>
          <w:sz w:val="21"/>
        </w:rPr>
        <w:t xml:space="preserve"> το 2025</w:t>
      </w:r>
      <w:r>
        <w:rPr>
          <w:rFonts w:ascii="Calibri Light" w:hAnsi="Calibri Light"/>
          <w:color w:val="21286C"/>
          <w:sz w:val="21"/>
        </w:rPr>
        <w:t xml:space="preserve">, </w:t>
      </w:r>
      <w:r w:rsidR="00C66196">
        <w:rPr>
          <w:rFonts w:ascii="Calibri Light" w:hAnsi="Calibri Light"/>
          <w:color w:val="21286C"/>
          <w:sz w:val="21"/>
        </w:rPr>
        <w:t>χάρη</w:t>
      </w:r>
      <w:r>
        <w:rPr>
          <w:rFonts w:ascii="Calibri Light" w:hAnsi="Calibri Light"/>
          <w:color w:val="21286C"/>
          <w:sz w:val="21"/>
        </w:rPr>
        <w:t xml:space="preserve"> </w:t>
      </w:r>
      <w:r w:rsidR="006E7103">
        <w:rPr>
          <w:rFonts w:ascii="Calibri Light" w:hAnsi="Calibri Light"/>
          <w:color w:val="21286C"/>
          <w:sz w:val="21"/>
        </w:rPr>
        <w:t>σ</w:t>
      </w:r>
      <w:r>
        <w:rPr>
          <w:rFonts w:ascii="Calibri Light" w:hAnsi="Calibri Light"/>
          <w:color w:val="21286C"/>
          <w:sz w:val="21"/>
        </w:rPr>
        <w:t xml:space="preserve">τους </w:t>
      </w:r>
      <w:r w:rsidR="00797BE6">
        <w:rPr>
          <w:rFonts w:ascii="Calibri Light" w:hAnsi="Calibri Light"/>
          <w:color w:val="21286C"/>
          <w:sz w:val="21"/>
        </w:rPr>
        <w:t>υψηλούς</w:t>
      </w:r>
      <w:r>
        <w:rPr>
          <w:rFonts w:ascii="Calibri Light" w:hAnsi="Calibri Light"/>
          <w:color w:val="21286C"/>
          <w:sz w:val="21"/>
        </w:rPr>
        <w:t xml:space="preserve"> όγκους πωλήσεων, </w:t>
      </w:r>
      <w:r w:rsidR="006E7103">
        <w:rPr>
          <w:rFonts w:ascii="Calibri Light" w:hAnsi="Calibri Light"/>
          <w:color w:val="21286C"/>
          <w:sz w:val="21"/>
        </w:rPr>
        <w:t>σ</w:t>
      </w:r>
      <w:r>
        <w:rPr>
          <w:rFonts w:ascii="Calibri Light" w:hAnsi="Calibri Light"/>
          <w:color w:val="21286C"/>
          <w:sz w:val="21"/>
        </w:rPr>
        <w:t xml:space="preserve">τα σταθερά επίπεδα των τιμών και </w:t>
      </w:r>
      <w:r w:rsidR="006E7103">
        <w:rPr>
          <w:rFonts w:ascii="Calibri Light" w:hAnsi="Calibri Light"/>
          <w:color w:val="21286C"/>
          <w:sz w:val="21"/>
        </w:rPr>
        <w:t>σ</w:t>
      </w:r>
      <w:r>
        <w:rPr>
          <w:rFonts w:ascii="Calibri Light" w:hAnsi="Calibri Light"/>
          <w:color w:val="21286C"/>
          <w:sz w:val="21"/>
        </w:rPr>
        <w:t xml:space="preserve">την περαιτέρω διεύρυνση των περιθωρίων </w:t>
      </w:r>
      <w:r w:rsidR="00EF457A">
        <w:rPr>
          <w:rFonts w:ascii="Calibri Light" w:hAnsi="Calibri Light"/>
          <w:color w:val="21286C"/>
          <w:sz w:val="21"/>
        </w:rPr>
        <w:t>κερδοφορίας</w:t>
      </w:r>
      <w:r>
        <w:rPr>
          <w:rFonts w:ascii="Calibri Light" w:hAnsi="Calibri Light"/>
          <w:color w:val="21286C"/>
          <w:sz w:val="21"/>
        </w:rPr>
        <w:t xml:space="preserve">. Οι στρατηγικές πρωτοβουλίες μας στο πλαίσιο της Στρατηγικής για το 2026 </w:t>
      </w:r>
      <w:r w:rsidR="004B3C14">
        <w:rPr>
          <w:rFonts w:ascii="Calibri Light" w:hAnsi="Calibri Light"/>
          <w:color w:val="21286C"/>
          <w:sz w:val="21"/>
        </w:rPr>
        <w:t xml:space="preserve">συνεχίζουν </w:t>
      </w:r>
      <w:r>
        <w:rPr>
          <w:rFonts w:ascii="Calibri Light" w:hAnsi="Calibri Light"/>
          <w:color w:val="21286C"/>
          <w:sz w:val="21"/>
        </w:rPr>
        <w:t xml:space="preserve">να ενισχύουν την ανθεκτικότητα και τις προοπτικές ανάπτυξης, ενώ ευθυγραμμίζονται με τον στόχο να προσφέρουμε σε όλους του μετόχους και συμ-μετόχους μας </w:t>
      </w:r>
      <w:r w:rsidR="007A3823">
        <w:rPr>
          <w:rFonts w:ascii="Calibri Light" w:hAnsi="Calibri Light"/>
          <w:color w:val="21286C"/>
          <w:sz w:val="21"/>
        </w:rPr>
        <w:t xml:space="preserve">διαχρονική </w:t>
      </w:r>
      <w:r>
        <w:rPr>
          <w:rFonts w:ascii="Calibri Light" w:hAnsi="Calibri Light"/>
          <w:color w:val="21286C"/>
          <w:sz w:val="21"/>
        </w:rPr>
        <w:t>αξία.</w:t>
      </w:r>
    </w:p>
    <w:p w14:paraId="3252E6B0" w14:textId="77777777" w:rsidR="00AA4C96" w:rsidRPr="00C00740" w:rsidRDefault="00AA4C96" w:rsidP="00AA4C96">
      <w:pPr>
        <w:jc w:val="both"/>
        <w:rPr>
          <w:rFonts w:ascii="Calibri Light" w:hAnsi="Calibri Light"/>
          <w:color w:val="21286C"/>
          <w:sz w:val="21"/>
          <w:szCs w:val="21"/>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0"/>
        <w:gridCol w:w="90"/>
        <w:gridCol w:w="1560"/>
        <w:gridCol w:w="90"/>
        <w:gridCol w:w="1560"/>
      </w:tblGrid>
      <w:tr w:rsidR="00436DF1" w14:paraId="0BC1DC4E" w14:textId="77777777" w:rsidTr="00C6227F">
        <w:trPr>
          <w:cantSplit/>
          <w:trHeight w:hRule="exact" w:val="420"/>
        </w:trPr>
        <w:tc>
          <w:tcPr>
            <w:tcW w:w="9000" w:type="dxa"/>
            <w:gridSpan w:val="5"/>
            <w:tcBorders>
              <w:top w:val="nil"/>
              <w:left w:val="nil"/>
              <w:bottom w:val="single" w:sz="8" w:space="0" w:color="000000"/>
              <w:right w:val="nil"/>
            </w:tcBorders>
            <w:shd w:val="clear" w:color="auto" w:fill="FFFFFF"/>
            <w:tcMar>
              <w:top w:w="0" w:type="dxa"/>
              <w:left w:w="53" w:type="dxa"/>
              <w:bottom w:w="0" w:type="dxa"/>
              <w:right w:w="53" w:type="dxa"/>
            </w:tcMar>
            <w:vAlign w:val="bottom"/>
          </w:tcPr>
          <w:p w14:paraId="63353868" w14:textId="77777777" w:rsidR="00436DF1" w:rsidRPr="00436DF1" w:rsidRDefault="00436DF1" w:rsidP="00436DF1">
            <w:pPr>
              <w:keepNext/>
              <w:spacing w:before="33" w:after="30" w:line="280" w:lineRule="exact"/>
              <w:rPr>
                <w:rFonts w:ascii="Calibri" w:eastAsiaTheme="minorEastAsia" w:hAnsi="Calibri" w:cs="Calibri"/>
                <w:b/>
                <w:bCs/>
                <w:noProof/>
                <w:color w:val="21286C"/>
                <w:sz w:val="28"/>
              </w:rPr>
            </w:pPr>
            <w:r w:rsidRPr="00436DF1">
              <w:rPr>
                <w:rFonts w:ascii="Calibri" w:eastAsiaTheme="minorEastAsia" w:hAnsi="Calibri" w:cs="Calibri"/>
                <w:b/>
                <w:bCs/>
                <w:noProof/>
                <w:color w:val="21286C"/>
                <w:sz w:val="28"/>
              </w:rPr>
              <w:t xml:space="preserve">Σύνοψη Ενδιάμεσης Ενοποιημένης Κατάστασης Αποτελεσμάτων </w:t>
            </w:r>
          </w:p>
        </w:tc>
      </w:tr>
      <w:tr w:rsidR="00436DF1" w14:paraId="5FEDC146" w14:textId="77777777" w:rsidTr="00C6227F">
        <w:trPr>
          <w:cantSplit/>
          <w:trHeight w:hRule="exact" w:val="165"/>
        </w:trPr>
        <w:tc>
          <w:tcPr>
            <w:tcW w:w="5700" w:type="dxa"/>
            <w:tcBorders>
              <w:top w:val="nil"/>
              <w:left w:val="nil"/>
              <w:bottom w:val="single" w:sz="8" w:space="0" w:color="4F81BD"/>
              <w:right w:val="nil"/>
            </w:tcBorders>
            <w:tcMar>
              <w:top w:w="0" w:type="dxa"/>
              <w:left w:w="0" w:type="dxa"/>
              <w:bottom w:w="0" w:type="dxa"/>
              <w:right w:w="0" w:type="dxa"/>
            </w:tcMar>
            <w:vAlign w:val="bottom"/>
          </w:tcPr>
          <w:p w14:paraId="272D4CBE" w14:textId="77777777" w:rsidR="00436DF1" w:rsidRPr="00436DF1" w:rsidRDefault="00436DF1" w:rsidP="00436DF1">
            <w:pPr>
              <w:keepNext/>
              <w:spacing w:before="33" w:after="30" w:line="280" w:lineRule="exact"/>
              <w:rPr>
                <w:rFonts w:ascii="Calibri" w:eastAsiaTheme="minorEastAsia" w:hAnsi="Calibri" w:cs="Calibri"/>
                <w:b/>
                <w:bCs/>
                <w:noProof/>
                <w:color w:val="21286C"/>
                <w:sz w:val="28"/>
              </w:rPr>
            </w:pPr>
          </w:p>
        </w:tc>
        <w:tc>
          <w:tcPr>
            <w:tcW w:w="90" w:type="dxa"/>
            <w:tcBorders>
              <w:top w:val="single" w:sz="8" w:space="0" w:color="000000"/>
              <w:left w:val="nil"/>
              <w:bottom w:val="nil"/>
              <w:right w:val="nil"/>
            </w:tcBorders>
            <w:tcMar>
              <w:top w:w="0" w:type="dxa"/>
              <w:left w:w="0" w:type="dxa"/>
              <w:bottom w:w="0" w:type="dxa"/>
              <w:right w:w="0" w:type="dxa"/>
            </w:tcMar>
            <w:vAlign w:val="bottom"/>
          </w:tcPr>
          <w:p w14:paraId="0FE5D58A" w14:textId="77777777" w:rsidR="00436DF1" w:rsidRDefault="00436DF1" w:rsidP="00C6227F">
            <w:pPr>
              <w:keepNext/>
            </w:pPr>
          </w:p>
        </w:tc>
        <w:tc>
          <w:tcPr>
            <w:tcW w:w="1560" w:type="dxa"/>
            <w:tcBorders>
              <w:top w:val="single" w:sz="8" w:space="0" w:color="000000"/>
              <w:left w:val="nil"/>
              <w:bottom w:val="single" w:sz="8" w:space="0" w:color="4F81BD"/>
              <w:right w:val="nil"/>
            </w:tcBorders>
            <w:tcMar>
              <w:top w:w="0" w:type="dxa"/>
              <w:left w:w="0" w:type="dxa"/>
              <w:bottom w:w="0" w:type="dxa"/>
              <w:right w:w="0" w:type="dxa"/>
            </w:tcMar>
            <w:vAlign w:val="bottom"/>
          </w:tcPr>
          <w:p w14:paraId="7F3DD1AA" w14:textId="77777777" w:rsidR="00436DF1" w:rsidRDefault="00436DF1" w:rsidP="00C6227F">
            <w:pPr>
              <w:keepNext/>
            </w:pPr>
          </w:p>
        </w:tc>
        <w:tc>
          <w:tcPr>
            <w:tcW w:w="90" w:type="dxa"/>
            <w:tcBorders>
              <w:top w:val="single" w:sz="8" w:space="0" w:color="000000"/>
              <w:left w:val="nil"/>
              <w:bottom w:val="single" w:sz="8" w:space="0" w:color="4F81BD"/>
              <w:right w:val="nil"/>
            </w:tcBorders>
            <w:tcMar>
              <w:top w:w="0" w:type="dxa"/>
              <w:left w:w="0" w:type="dxa"/>
              <w:bottom w:w="0" w:type="dxa"/>
              <w:right w:w="0" w:type="dxa"/>
            </w:tcMar>
            <w:vAlign w:val="bottom"/>
          </w:tcPr>
          <w:p w14:paraId="01A1725A" w14:textId="77777777" w:rsidR="00436DF1" w:rsidRDefault="00436DF1" w:rsidP="00C6227F">
            <w:pPr>
              <w:keepNext/>
            </w:pPr>
          </w:p>
        </w:tc>
        <w:tc>
          <w:tcPr>
            <w:tcW w:w="1560" w:type="dxa"/>
            <w:tcBorders>
              <w:top w:val="single" w:sz="8" w:space="0" w:color="000000"/>
              <w:left w:val="nil"/>
              <w:bottom w:val="single" w:sz="8" w:space="0" w:color="4F81BD"/>
              <w:right w:val="nil"/>
            </w:tcBorders>
            <w:tcMar>
              <w:top w:w="0" w:type="dxa"/>
              <w:left w:w="0" w:type="dxa"/>
              <w:bottom w:w="0" w:type="dxa"/>
              <w:right w:w="0" w:type="dxa"/>
            </w:tcMar>
            <w:vAlign w:val="bottom"/>
          </w:tcPr>
          <w:p w14:paraId="29ACA975" w14:textId="77777777" w:rsidR="00436DF1" w:rsidRDefault="00436DF1" w:rsidP="00C6227F">
            <w:pPr>
              <w:keepNext/>
            </w:pPr>
          </w:p>
        </w:tc>
      </w:tr>
      <w:tr w:rsidR="00436DF1" w14:paraId="4C299CB9" w14:textId="77777777" w:rsidTr="00C6227F">
        <w:trPr>
          <w:cantSplit/>
          <w:trHeight w:hRule="exact" w:val="285"/>
        </w:trPr>
        <w:tc>
          <w:tcPr>
            <w:tcW w:w="5700" w:type="dxa"/>
            <w:vMerge w:val="restart"/>
            <w:tcBorders>
              <w:top w:val="nil"/>
              <w:left w:val="nil"/>
              <w:bottom w:val="nil"/>
              <w:right w:val="nil"/>
            </w:tcBorders>
            <w:shd w:val="clear" w:color="auto" w:fill="FFFFFF"/>
            <w:tcMar>
              <w:top w:w="0" w:type="dxa"/>
              <w:left w:w="53" w:type="dxa"/>
              <w:bottom w:w="0" w:type="dxa"/>
              <w:right w:w="53" w:type="dxa"/>
            </w:tcMar>
          </w:tcPr>
          <w:p w14:paraId="3F1C829E" w14:textId="77777777" w:rsidR="00436DF1" w:rsidRDefault="00436DF1" w:rsidP="00C6227F">
            <w:pPr>
              <w:keepNext/>
              <w:spacing w:before="33" w:after="30" w:line="180" w:lineRule="exact"/>
            </w:pPr>
            <w:r>
              <w:rPr>
                <w:rFonts w:ascii="Calibri" w:eastAsia="Calibri" w:hAnsi="Calibri" w:cs="Calibri"/>
                <w:i/>
                <w:color w:val="000000"/>
                <w:sz w:val="18"/>
              </w:rPr>
              <w:t>(ποσά σε χιλιάδες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3CBC403" w14:textId="77777777" w:rsidR="00436DF1" w:rsidRDefault="00436DF1" w:rsidP="00C6227F">
            <w:pPr>
              <w:keepNext/>
            </w:pPr>
          </w:p>
        </w:tc>
        <w:tc>
          <w:tcPr>
            <w:tcW w:w="3210" w:type="dxa"/>
            <w:gridSpan w:val="3"/>
            <w:tcBorders>
              <w:top w:val="nil"/>
              <w:left w:val="nil"/>
              <w:bottom w:val="nil"/>
              <w:right w:val="nil"/>
            </w:tcBorders>
            <w:shd w:val="clear" w:color="auto" w:fill="FFFFFF"/>
            <w:tcMar>
              <w:top w:w="0" w:type="dxa"/>
              <w:left w:w="53" w:type="dxa"/>
              <w:bottom w:w="0" w:type="dxa"/>
              <w:right w:w="53" w:type="dxa"/>
            </w:tcMar>
            <w:vAlign w:val="bottom"/>
          </w:tcPr>
          <w:p w14:paraId="7B2B6E0B" w14:textId="77777777" w:rsidR="00436DF1" w:rsidRDefault="00436DF1" w:rsidP="00C6227F">
            <w:pPr>
              <w:keepNext/>
              <w:spacing w:before="33" w:after="30" w:line="210" w:lineRule="exact"/>
              <w:jc w:val="center"/>
            </w:pPr>
            <w:r>
              <w:rPr>
                <w:rFonts w:ascii="Calibri" w:eastAsia="Calibri" w:hAnsi="Calibri" w:cs="Calibri"/>
                <w:b/>
                <w:color w:val="000000"/>
                <w:sz w:val="21"/>
              </w:rPr>
              <w:t>Για το τρίμηνο που έληξε την 31/3</w:t>
            </w:r>
          </w:p>
        </w:tc>
      </w:tr>
      <w:tr w:rsidR="00436DF1" w14:paraId="2A422087" w14:textId="77777777" w:rsidTr="00C6227F">
        <w:trPr>
          <w:cantSplit/>
          <w:trHeight w:hRule="exact" w:val="285"/>
        </w:trPr>
        <w:tc>
          <w:tcPr>
            <w:tcW w:w="5700" w:type="dxa"/>
            <w:vMerge/>
            <w:tcBorders>
              <w:top w:val="nil"/>
              <w:left w:val="nil"/>
              <w:bottom w:val="nil"/>
              <w:right w:val="nil"/>
            </w:tcBorders>
          </w:tcPr>
          <w:p w14:paraId="736E4171" w14:textId="77777777" w:rsidR="00436DF1" w:rsidRDefault="00436DF1"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7D17CE4" w14:textId="77777777" w:rsidR="00436DF1" w:rsidRDefault="00436DF1" w:rsidP="00C6227F">
            <w:pPr>
              <w:keepNext/>
            </w:pPr>
          </w:p>
        </w:tc>
        <w:tc>
          <w:tcPr>
            <w:tcW w:w="1560" w:type="dxa"/>
            <w:tcBorders>
              <w:top w:val="single" w:sz="2" w:space="0" w:color="000000"/>
              <w:left w:val="nil"/>
              <w:bottom w:val="single" w:sz="8" w:space="0" w:color="000000"/>
              <w:right w:val="nil"/>
            </w:tcBorders>
            <w:shd w:val="clear" w:color="auto" w:fill="DDDDDD"/>
            <w:tcMar>
              <w:top w:w="0" w:type="dxa"/>
              <w:left w:w="0" w:type="dxa"/>
              <w:bottom w:w="0" w:type="dxa"/>
              <w:right w:w="53" w:type="dxa"/>
            </w:tcMar>
            <w:vAlign w:val="bottom"/>
          </w:tcPr>
          <w:p w14:paraId="6AB125F2" w14:textId="77777777" w:rsidR="00436DF1" w:rsidRDefault="00436DF1" w:rsidP="00C6227F">
            <w:pPr>
              <w:keepNext/>
              <w:spacing w:before="48" w:after="30"/>
              <w:jc w:val="right"/>
            </w:pPr>
            <w:r>
              <w:rPr>
                <w:rFonts w:ascii="Calibri" w:eastAsia="Calibri" w:hAnsi="Calibri" w:cs="Calibri"/>
                <w:b/>
                <w:color w:val="000000"/>
                <w:sz w:val="21"/>
              </w:rPr>
              <w:t>2025</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9099D11" w14:textId="77777777" w:rsidR="00436DF1" w:rsidRDefault="00436DF1" w:rsidP="00C6227F">
            <w:pPr>
              <w:keepNext/>
            </w:pPr>
          </w:p>
        </w:tc>
        <w:tc>
          <w:tcPr>
            <w:tcW w:w="1560" w:type="dxa"/>
            <w:tcBorders>
              <w:top w:val="single" w:sz="2" w:space="0" w:color="000000"/>
              <w:left w:val="nil"/>
              <w:bottom w:val="single" w:sz="8" w:space="0" w:color="000000"/>
              <w:right w:val="nil"/>
            </w:tcBorders>
            <w:shd w:val="clear" w:color="auto" w:fill="FFFFFF"/>
            <w:tcMar>
              <w:top w:w="0" w:type="dxa"/>
              <w:left w:w="0" w:type="dxa"/>
              <w:bottom w:w="0" w:type="dxa"/>
              <w:right w:w="53" w:type="dxa"/>
            </w:tcMar>
            <w:vAlign w:val="bottom"/>
          </w:tcPr>
          <w:p w14:paraId="70DB5B15" w14:textId="77777777" w:rsidR="00436DF1" w:rsidRDefault="00436DF1" w:rsidP="00C6227F">
            <w:pPr>
              <w:keepNext/>
              <w:spacing w:before="48" w:after="30"/>
              <w:jc w:val="right"/>
            </w:pPr>
            <w:r>
              <w:rPr>
                <w:rFonts w:ascii="Calibri" w:eastAsia="Calibri" w:hAnsi="Calibri" w:cs="Calibri"/>
                <w:b/>
                <w:color w:val="000000"/>
                <w:sz w:val="21"/>
              </w:rPr>
              <w:t>2024</w:t>
            </w:r>
          </w:p>
        </w:tc>
      </w:tr>
      <w:tr w:rsidR="00436DF1" w14:paraId="7AE8D72F" w14:textId="77777777" w:rsidTr="00C6227F">
        <w:trPr>
          <w:cantSplit/>
          <w:trHeight w:hRule="exact" w:val="285"/>
        </w:trPr>
        <w:tc>
          <w:tcPr>
            <w:tcW w:w="5700" w:type="dxa"/>
            <w:vMerge/>
            <w:tcBorders>
              <w:top w:val="nil"/>
              <w:left w:val="nil"/>
              <w:bottom w:val="single" w:sz="2" w:space="0" w:color="000000"/>
              <w:right w:val="nil"/>
            </w:tcBorders>
          </w:tcPr>
          <w:p w14:paraId="45E6A419" w14:textId="77777777" w:rsidR="00436DF1" w:rsidRDefault="00436DF1"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C3230BE" w14:textId="77777777" w:rsidR="00436DF1" w:rsidRDefault="00436DF1" w:rsidP="00C6227F">
            <w:pPr>
              <w:keepNext/>
            </w:pPr>
          </w:p>
        </w:tc>
        <w:tc>
          <w:tcPr>
            <w:tcW w:w="1560" w:type="dxa"/>
            <w:tcBorders>
              <w:top w:val="single" w:sz="8" w:space="0" w:color="000000"/>
              <w:left w:val="nil"/>
              <w:bottom w:val="single" w:sz="2" w:space="0" w:color="000000"/>
              <w:right w:val="nil"/>
            </w:tcBorders>
            <w:shd w:val="clear" w:color="auto" w:fill="FFFFFF"/>
            <w:tcMar>
              <w:top w:w="0" w:type="dxa"/>
              <w:left w:w="0" w:type="dxa"/>
              <w:bottom w:w="0" w:type="dxa"/>
              <w:right w:w="0" w:type="dxa"/>
            </w:tcMar>
            <w:vAlign w:val="bottom"/>
          </w:tcPr>
          <w:p w14:paraId="6C84C4CF" w14:textId="77777777" w:rsidR="00436DF1" w:rsidRDefault="00436DF1"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C7F2698" w14:textId="77777777" w:rsidR="00436DF1" w:rsidRDefault="00436DF1" w:rsidP="00C6227F">
            <w:pPr>
              <w:keepNext/>
            </w:pPr>
          </w:p>
        </w:tc>
        <w:tc>
          <w:tcPr>
            <w:tcW w:w="1560" w:type="dxa"/>
            <w:tcBorders>
              <w:top w:val="single" w:sz="8" w:space="0" w:color="000000"/>
              <w:left w:val="nil"/>
              <w:bottom w:val="single" w:sz="2" w:space="0" w:color="000000"/>
              <w:right w:val="nil"/>
            </w:tcBorders>
            <w:shd w:val="clear" w:color="auto" w:fill="FFFFFF"/>
            <w:tcMar>
              <w:top w:w="0" w:type="dxa"/>
              <w:left w:w="0" w:type="dxa"/>
              <w:bottom w:w="0" w:type="dxa"/>
              <w:right w:w="0" w:type="dxa"/>
            </w:tcMar>
            <w:vAlign w:val="bottom"/>
          </w:tcPr>
          <w:p w14:paraId="74F8768C" w14:textId="77777777" w:rsidR="00436DF1" w:rsidRDefault="00436DF1" w:rsidP="00C6227F">
            <w:pPr>
              <w:keepNext/>
            </w:pPr>
          </w:p>
        </w:tc>
      </w:tr>
      <w:tr w:rsidR="00436DF1" w14:paraId="74A3D420" w14:textId="77777777" w:rsidTr="00C6227F">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51942FDE" w14:textId="77777777" w:rsidR="00436DF1" w:rsidRDefault="00436DF1" w:rsidP="00C6227F">
            <w:pPr>
              <w:keepNext/>
              <w:spacing w:line="210" w:lineRule="exact"/>
            </w:pPr>
            <w:r>
              <w:rPr>
                <w:rFonts w:ascii="Calibri" w:eastAsia="Calibri" w:hAnsi="Calibri" w:cs="Calibri"/>
                <w:color w:val="000000"/>
                <w:sz w:val="21"/>
              </w:rPr>
              <w:t xml:space="preserve">Κύκλος εργασιών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CFD32FD"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5899D77F" w14:textId="77777777" w:rsidR="00436DF1" w:rsidRDefault="00436DF1" w:rsidP="00C6227F">
            <w:pPr>
              <w:keepNext/>
              <w:spacing w:before="48" w:after="30"/>
              <w:jc w:val="right"/>
            </w:pPr>
            <w:r>
              <w:rPr>
                <w:rFonts w:ascii="Calibri" w:eastAsia="Calibri" w:hAnsi="Calibri" w:cs="Calibri"/>
                <w:color w:val="000000"/>
                <w:sz w:val="21"/>
              </w:rPr>
              <w:t>638.367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0ECF6D5"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3DC61F19" w14:textId="77777777" w:rsidR="00436DF1" w:rsidRDefault="00436DF1" w:rsidP="00C6227F">
            <w:pPr>
              <w:keepNext/>
              <w:spacing w:before="48" w:after="30"/>
              <w:jc w:val="right"/>
            </w:pPr>
            <w:r>
              <w:rPr>
                <w:rFonts w:ascii="Calibri" w:eastAsia="Calibri" w:hAnsi="Calibri" w:cs="Calibri"/>
                <w:color w:val="000000"/>
                <w:sz w:val="21"/>
              </w:rPr>
              <w:t>623.667</w:t>
            </w:r>
          </w:p>
        </w:tc>
      </w:tr>
      <w:tr w:rsidR="00436DF1" w14:paraId="10F2E0F8" w14:textId="77777777" w:rsidTr="00C6227F">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4C0DCBDB" w14:textId="77777777" w:rsidR="00436DF1" w:rsidRDefault="00436DF1" w:rsidP="00C6227F">
            <w:pPr>
              <w:keepNext/>
              <w:spacing w:line="210" w:lineRule="exact"/>
            </w:pPr>
            <w:r>
              <w:rPr>
                <w:rFonts w:ascii="Calibri" w:eastAsia="Calibri" w:hAnsi="Calibri" w:cs="Calibri"/>
                <w:color w:val="000000"/>
                <w:sz w:val="21"/>
              </w:rPr>
              <w:t>Κόστος πωλήσεων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85270B1"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1DBA11DE" w14:textId="77777777" w:rsidR="00436DF1" w:rsidRDefault="00436DF1" w:rsidP="00C6227F">
            <w:pPr>
              <w:keepNext/>
              <w:spacing w:before="48" w:after="30"/>
              <w:jc w:val="right"/>
            </w:pPr>
            <w:r>
              <w:rPr>
                <w:rFonts w:ascii="Calibri" w:eastAsia="Calibri" w:hAnsi="Calibri" w:cs="Calibri"/>
                <w:color w:val="000000"/>
                <w:sz w:val="21"/>
              </w:rPr>
              <w:t>-488.413</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64C23C8" w14:textId="77777777" w:rsidR="00436DF1" w:rsidRDefault="00436DF1" w:rsidP="00C6227F">
            <w:pPr>
              <w:keepNext/>
            </w:pPr>
          </w:p>
        </w:tc>
        <w:tc>
          <w:tcPr>
            <w:tcW w:w="1560" w:type="dxa"/>
            <w:tcBorders>
              <w:top w:val="single" w:sz="2" w:space="0" w:color="000000"/>
              <w:left w:val="nil"/>
              <w:bottom w:val="single" w:sz="2" w:space="0" w:color="000000"/>
              <w:right w:val="nil"/>
            </w:tcBorders>
            <w:tcMar>
              <w:top w:w="0" w:type="dxa"/>
              <w:left w:w="0" w:type="dxa"/>
              <w:bottom w:w="0" w:type="dxa"/>
              <w:right w:w="53" w:type="dxa"/>
            </w:tcMar>
            <w:vAlign w:val="bottom"/>
          </w:tcPr>
          <w:p w14:paraId="320550A0" w14:textId="77777777" w:rsidR="00436DF1" w:rsidRDefault="00436DF1" w:rsidP="00C6227F">
            <w:pPr>
              <w:keepNext/>
              <w:spacing w:before="48" w:after="30"/>
              <w:jc w:val="right"/>
            </w:pPr>
            <w:r>
              <w:rPr>
                <w:rFonts w:ascii="Calibri" w:eastAsia="Calibri" w:hAnsi="Calibri" w:cs="Calibri"/>
                <w:color w:val="000000"/>
                <w:sz w:val="21"/>
              </w:rPr>
              <w:t>-486.066</w:t>
            </w:r>
          </w:p>
        </w:tc>
      </w:tr>
      <w:tr w:rsidR="00436DF1" w14:paraId="34D8F530" w14:textId="77777777" w:rsidTr="00C6227F">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50AD5193" w14:textId="77777777" w:rsidR="00436DF1" w:rsidRDefault="00436DF1" w:rsidP="00C6227F">
            <w:pPr>
              <w:keepNext/>
              <w:spacing w:line="210" w:lineRule="exact"/>
            </w:pPr>
            <w:r>
              <w:rPr>
                <w:rFonts w:ascii="Calibri" w:eastAsia="Calibri" w:hAnsi="Calibri" w:cs="Calibri"/>
                <w:b/>
                <w:color w:val="000000"/>
                <w:sz w:val="21"/>
              </w:rPr>
              <w:t>Μικτά κέρδη</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41F592F"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61AD1F50" w14:textId="77777777" w:rsidR="00436DF1" w:rsidRDefault="00436DF1" w:rsidP="00C6227F">
            <w:pPr>
              <w:keepNext/>
              <w:spacing w:before="48" w:after="30"/>
              <w:jc w:val="right"/>
            </w:pPr>
            <w:r>
              <w:rPr>
                <w:rFonts w:ascii="Calibri" w:eastAsia="Calibri" w:hAnsi="Calibri" w:cs="Calibri"/>
                <w:b/>
                <w:color w:val="000000"/>
                <w:sz w:val="21"/>
              </w:rPr>
              <w:t>149.954</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9972597"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4689F06A" w14:textId="77777777" w:rsidR="00436DF1" w:rsidRDefault="00436DF1" w:rsidP="00C6227F">
            <w:pPr>
              <w:keepNext/>
              <w:spacing w:before="48" w:after="30"/>
              <w:jc w:val="right"/>
            </w:pPr>
            <w:r>
              <w:rPr>
                <w:rFonts w:ascii="Calibri" w:eastAsia="Calibri" w:hAnsi="Calibri" w:cs="Calibri"/>
                <w:b/>
                <w:color w:val="000000"/>
                <w:sz w:val="21"/>
              </w:rPr>
              <w:t>137.601</w:t>
            </w:r>
          </w:p>
        </w:tc>
      </w:tr>
      <w:tr w:rsidR="00436DF1" w14:paraId="4548FB99" w14:textId="77777777" w:rsidTr="00C6227F">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024314BF" w14:textId="77777777" w:rsidR="00436DF1" w:rsidRDefault="00436DF1" w:rsidP="00C6227F">
            <w:pPr>
              <w:keepNext/>
              <w:spacing w:line="210" w:lineRule="exact"/>
            </w:pPr>
            <w:r>
              <w:rPr>
                <w:rFonts w:ascii="Calibri" w:eastAsia="Calibri" w:hAnsi="Calibri" w:cs="Calibri"/>
                <w:color w:val="000000"/>
                <w:sz w:val="21"/>
              </w:rPr>
              <w:t>Άλλα καθαρά έσοδα εκμετάλλευσης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27FA2D9"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55975944" w14:textId="77777777" w:rsidR="00436DF1" w:rsidRDefault="00436DF1" w:rsidP="00C6227F">
            <w:pPr>
              <w:keepNext/>
              <w:spacing w:before="48" w:after="30"/>
              <w:jc w:val="right"/>
            </w:pPr>
            <w:r>
              <w:rPr>
                <w:rFonts w:ascii="Calibri" w:eastAsia="Calibri" w:hAnsi="Calibri" w:cs="Calibri"/>
                <w:color w:val="000000"/>
                <w:sz w:val="21"/>
              </w:rPr>
              <w:t>1.344</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A486EE7" w14:textId="77777777" w:rsidR="00436DF1" w:rsidRDefault="00436DF1" w:rsidP="00C6227F">
            <w:pPr>
              <w:keepNext/>
            </w:pPr>
          </w:p>
        </w:tc>
        <w:tc>
          <w:tcPr>
            <w:tcW w:w="1560" w:type="dxa"/>
            <w:tcBorders>
              <w:top w:val="single" w:sz="2" w:space="0" w:color="000000"/>
              <w:left w:val="nil"/>
              <w:bottom w:val="single" w:sz="2" w:space="0" w:color="000000"/>
              <w:right w:val="nil"/>
            </w:tcBorders>
            <w:tcMar>
              <w:top w:w="0" w:type="dxa"/>
              <w:left w:w="0" w:type="dxa"/>
              <w:bottom w:w="0" w:type="dxa"/>
              <w:right w:w="53" w:type="dxa"/>
            </w:tcMar>
            <w:vAlign w:val="bottom"/>
          </w:tcPr>
          <w:p w14:paraId="37D36EA8" w14:textId="77777777" w:rsidR="00436DF1" w:rsidRDefault="00436DF1" w:rsidP="00C6227F">
            <w:pPr>
              <w:keepNext/>
              <w:spacing w:before="48" w:after="30"/>
              <w:jc w:val="right"/>
            </w:pPr>
            <w:r>
              <w:rPr>
                <w:rFonts w:ascii="Calibri" w:eastAsia="Calibri" w:hAnsi="Calibri" w:cs="Calibri"/>
                <w:color w:val="000000"/>
                <w:sz w:val="21"/>
              </w:rPr>
              <w:t>1.195</w:t>
            </w:r>
          </w:p>
        </w:tc>
      </w:tr>
      <w:tr w:rsidR="00436DF1" w14:paraId="24E32766" w14:textId="77777777" w:rsidTr="00C6227F">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1BE8EAE2" w14:textId="77777777" w:rsidR="00436DF1" w:rsidRDefault="00436DF1" w:rsidP="00C6227F">
            <w:pPr>
              <w:keepNext/>
              <w:spacing w:line="210" w:lineRule="exact"/>
            </w:pPr>
            <w:r>
              <w:rPr>
                <w:rFonts w:ascii="Calibri" w:eastAsia="Calibri" w:hAnsi="Calibri" w:cs="Calibri"/>
                <w:color w:val="000000"/>
                <w:sz w:val="21"/>
              </w:rPr>
              <w:t>Έξοδα διοικητικής λειτουργίας και διάθεσης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187B2D2"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5DE41082" w14:textId="77777777" w:rsidR="00436DF1" w:rsidRDefault="00436DF1" w:rsidP="00C6227F">
            <w:pPr>
              <w:keepNext/>
              <w:spacing w:before="48" w:after="30"/>
              <w:jc w:val="right"/>
            </w:pPr>
            <w:r>
              <w:rPr>
                <w:rFonts w:ascii="Calibri" w:eastAsia="Calibri" w:hAnsi="Calibri" w:cs="Calibri"/>
                <w:color w:val="000000"/>
                <w:sz w:val="21"/>
              </w:rPr>
              <w:t>-71.496</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15A2C7D" w14:textId="77777777" w:rsidR="00436DF1" w:rsidRDefault="00436DF1" w:rsidP="00C6227F">
            <w:pPr>
              <w:keepNext/>
            </w:pPr>
          </w:p>
        </w:tc>
        <w:tc>
          <w:tcPr>
            <w:tcW w:w="1560" w:type="dxa"/>
            <w:tcBorders>
              <w:top w:val="single" w:sz="2" w:space="0" w:color="000000"/>
              <w:left w:val="nil"/>
              <w:bottom w:val="single" w:sz="2" w:space="0" w:color="000000"/>
              <w:right w:val="nil"/>
            </w:tcBorders>
            <w:tcMar>
              <w:top w:w="0" w:type="dxa"/>
              <w:left w:w="0" w:type="dxa"/>
              <w:bottom w:w="0" w:type="dxa"/>
              <w:right w:w="53" w:type="dxa"/>
            </w:tcMar>
            <w:vAlign w:val="bottom"/>
          </w:tcPr>
          <w:p w14:paraId="4B69620B" w14:textId="77777777" w:rsidR="00436DF1" w:rsidRDefault="00436DF1" w:rsidP="00C6227F">
            <w:pPr>
              <w:keepNext/>
              <w:spacing w:before="48" w:after="30"/>
              <w:jc w:val="right"/>
            </w:pPr>
            <w:r>
              <w:rPr>
                <w:rFonts w:ascii="Calibri" w:eastAsia="Calibri" w:hAnsi="Calibri" w:cs="Calibri"/>
                <w:color w:val="000000"/>
                <w:sz w:val="21"/>
              </w:rPr>
              <w:t>-66.505</w:t>
            </w:r>
          </w:p>
        </w:tc>
      </w:tr>
      <w:tr w:rsidR="00436DF1" w14:paraId="44D84A1A" w14:textId="77777777" w:rsidTr="00C6227F">
        <w:trPr>
          <w:cantSplit/>
          <w:trHeight w:hRule="exact" w:val="525"/>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396B4102" w14:textId="77777777" w:rsidR="00436DF1" w:rsidRDefault="00436DF1" w:rsidP="00C6227F">
            <w:pPr>
              <w:keepNext/>
              <w:spacing w:line="210" w:lineRule="exact"/>
            </w:pPr>
            <w:r>
              <w:rPr>
                <w:rFonts w:ascii="Calibri" w:eastAsia="Calibri" w:hAnsi="Calibri" w:cs="Calibri"/>
                <w:b/>
                <w:color w:val="000000"/>
                <w:sz w:val="21"/>
              </w:rPr>
              <w:t>Κέρδη προ ζημιών απομείωσης υπεραξίας, καθαρών εξόδων χρηματοοικονομικής λειτουργίας και φόρων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2A9B21B"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2322A17C" w14:textId="77777777" w:rsidR="00436DF1" w:rsidRDefault="00436DF1" w:rsidP="00C6227F">
            <w:pPr>
              <w:keepNext/>
              <w:spacing w:before="48" w:after="30"/>
              <w:jc w:val="right"/>
            </w:pPr>
            <w:r>
              <w:rPr>
                <w:rFonts w:ascii="Calibri" w:eastAsia="Calibri" w:hAnsi="Calibri" w:cs="Calibri"/>
                <w:b/>
                <w:color w:val="000000"/>
                <w:sz w:val="21"/>
              </w:rPr>
              <w:t>79.802</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299C633" w14:textId="77777777" w:rsidR="00436DF1" w:rsidRDefault="00436DF1" w:rsidP="00C6227F">
            <w:pPr>
              <w:keepNext/>
            </w:pPr>
          </w:p>
        </w:tc>
        <w:tc>
          <w:tcPr>
            <w:tcW w:w="1560" w:type="dxa"/>
            <w:tcBorders>
              <w:top w:val="single" w:sz="2" w:space="0" w:color="000000"/>
              <w:left w:val="nil"/>
              <w:bottom w:val="single" w:sz="2" w:space="0" w:color="000000"/>
              <w:right w:val="nil"/>
            </w:tcBorders>
            <w:tcMar>
              <w:top w:w="0" w:type="dxa"/>
              <w:left w:w="0" w:type="dxa"/>
              <w:bottom w:w="0" w:type="dxa"/>
              <w:right w:w="53" w:type="dxa"/>
            </w:tcMar>
            <w:vAlign w:val="bottom"/>
          </w:tcPr>
          <w:p w14:paraId="60555630" w14:textId="77777777" w:rsidR="00436DF1" w:rsidRDefault="00436DF1" w:rsidP="00C6227F">
            <w:pPr>
              <w:keepNext/>
              <w:spacing w:before="48" w:after="30"/>
              <w:jc w:val="right"/>
            </w:pPr>
            <w:r>
              <w:rPr>
                <w:rFonts w:ascii="Calibri" w:eastAsia="Calibri" w:hAnsi="Calibri" w:cs="Calibri"/>
                <w:b/>
                <w:color w:val="000000"/>
                <w:sz w:val="21"/>
              </w:rPr>
              <w:t>72.291</w:t>
            </w:r>
          </w:p>
        </w:tc>
      </w:tr>
      <w:tr w:rsidR="00436DF1" w14:paraId="1459F6CE" w14:textId="77777777" w:rsidTr="00C6227F">
        <w:trPr>
          <w:cantSplit/>
          <w:trHeight w:hRule="exact" w:val="525"/>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389FB00C" w14:textId="77777777" w:rsidR="00436DF1" w:rsidRDefault="00436DF1" w:rsidP="00C6227F">
            <w:pPr>
              <w:keepNext/>
              <w:spacing w:line="210" w:lineRule="exact"/>
            </w:pPr>
            <w:r>
              <w:rPr>
                <w:rFonts w:ascii="Calibri" w:eastAsia="Calibri" w:hAnsi="Calibri" w:cs="Calibri"/>
                <w:i/>
                <w:color w:val="000000"/>
                <w:sz w:val="21"/>
              </w:rPr>
              <w:t xml:space="preserve">        Κέρδη της καθαρής νομισματικής θέσης σε </w:t>
            </w:r>
          </w:p>
          <w:p w14:paraId="613185B6" w14:textId="77777777" w:rsidR="00436DF1" w:rsidRDefault="00436DF1" w:rsidP="00C6227F">
            <w:pPr>
              <w:spacing w:line="210" w:lineRule="exact"/>
            </w:pPr>
            <w:r>
              <w:rPr>
                <w:rFonts w:ascii="Calibri" w:eastAsia="Calibri" w:hAnsi="Calibri" w:cs="Calibri"/>
                <w:i/>
                <w:color w:val="000000"/>
                <w:sz w:val="21"/>
              </w:rPr>
              <w:t xml:space="preserve">        υπερπληθωριστικές οικονομίες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3E390A7"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0C3121F9" w14:textId="77777777" w:rsidR="00436DF1" w:rsidRDefault="00436DF1" w:rsidP="00C6227F">
            <w:pPr>
              <w:keepNext/>
              <w:spacing w:before="48" w:after="30"/>
              <w:jc w:val="right"/>
            </w:pPr>
            <w:r>
              <w:rPr>
                <w:rFonts w:ascii="Calibri" w:eastAsia="Calibri" w:hAnsi="Calibri" w:cs="Calibri"/>
                <w:color w:val="000000"/>
                <w:sz w:val="21"/>
              </w:rPr>
              <w:t>1.454</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3F115FD" w14:textId="77777777" w:rsidR="00436DF1" w:rsidRDefault="00436DF1" w:rsidP="00C6227F">
            <w:pPr>
              <w:keepNext/>
            </w:pPr>
          </w:p>
        </w:tc>
        <w:tc>
          <w:tcPr>
            <w:tcW w:w="1560" w:type="dxa"/>
            <w:tcBorders>
              <w:top w:val="single" w:sz="2" w:space="0" w:color="000000"/>
              <w:left w:val="nil"/>
              <w:bottom w:val="single" w:sz="2" w:space="0" w:color="000000"/>
              <w:right w:val="nil"/>
            </w:tcBorders>
            <w:tcMar>
              <w:top w:w="0" w:type="dxa"/>
              <w:left w:w="0" w:type="dxa"/>
              <w:bottom w:w="0" w:type="dxa"/>
              <w:right w:w="53" w:type="dxa"/>
            </w:tcMar>
            <w:vAlign w:val="bottom"/>
          </w:tcPr>
          <w:p w14:paraId="62E55E27" w14:textId="77777777" w:rsidR="00436DF1" w:rsidRDefault="00436DF1" w:rsidP="00C6227F">
            <w:pPr>
              <w:keepNext/>
              <w:spacing w:before="48" w:after="30"/>
              <w:jc w:val="right"/>
            </w:pPr>
            <w:r>
              <w:rPr>
                <w:rFonts w:ascii="Calibri" w:eastAsia="Calibri" w:hAnsi="Calibri" w:cs="Calibri"/>
                <w:color w:val="000000"/>
                <w:sz w:val="21"/>
              </w:rPr>
              <w:t>3.149</w:t>
            </w:r>
          </w:p>
        </w:tc>
      </w:tr>
      <w:tr w:rsidR="00436DF1" w14:paraId="13753FED" w14:textId="77777777" w:rsidTr="00C6227F">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5A5E013F" w14:textId="77777777" w:rsidR="00436DF1" w:rsidRDefault="00436DF1" w:rsidP="00C6227F">
            <w:pPr>
              <w:keepNext/>
              <w:spacing w:line="210" w:lineRule="exact"/>
            </w:pPr>
            <w:r>
              <w:rPr>
                <w:rFonts w:ascii="Calibri" w:eastAsia="Calibri" w:hAnsi="Calibri" w:cs="Calibri"/>
                <w:i/>
                <w:color w:val="000000"/>
                <w:sz w:val="21"/>
              </w:rPr>
              <w:t xml:space="preserve">       Έξοδα/έσοδα χρηματοοικονομικής λειτουργίας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362A181"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59DAC6FA" w14:textId="77777777" w:rsidR="00436DF1" w:rsidRDefault="00436DF1" w:rsidP="00C6227F">
            <w:pPr>
              <w:keepNext/>
              <w:spacing w:before="48" w:after="30"/>
              <w:jc w:val="right"/>
            </w:pPr>
            <w:r>
              <w:rPr>
                <w:rFonts w:ascii="Calibri" w:eastAsia="Calibri" w:hAnsi="Calibri" w:cs="Calibri"/>
                <w:color w:val="000000"/>
                <w:sz w:val="21"/>
              </w:rPr>
              <w:t>-12.699</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9103AFD" w14:textId="77777777" w:rsidR="00436DF1" w:rsidRDefault="00436DF1" w:rsidP="00C6227F">
            <w:pPr>
              <w:keepNext/>
            </w:pPr>
          </w:p>
        </w:tc>
        <w:tc>
          <w:tcPr>
            <w:tcW w:w="1560" w:type="dxa"/>
            <w:tcBorders>
              <w:top w:val="single" w:sz="2" w:space="0" w:color="000000"/>
              <w:left w:val="nil"/>
              <w:bottom w:val="single" w:sz="2" w:space="0" w:color="000000"/>
              <w:right w:val="nil"/>
            </w:tcBorders>
            <w:tcMar>
              <w:top w:w="0" w:type="dxa"/>
              <w:left w:w="0" w:type="dxa"/>
              <w:bottom w:w="0" w:type="dxa"/>
              <w:right w:w="53" w:type="dxa"/>
            </w:tcMar>
            <w:vAlign w:val="bottom"/>
          </w:tcPr>
          <w:p w14:paraId="3EB3D167" w14:textId="77777777" w:rsidR="00436DF1" w:rsidRDefault="00436DF1" w:rsidP="00C6227F">
            <w:pPr>
              <w:keepNext/>
              <w:spacing w:before="48" w:after="30"/>
              <w:jc w:val="right"/>
            </w:pPr>
            <w:r>
              <w:rPr>
                <w:rFonts w:ascii="Calibri" w:eastAsia="Calibri" w:hAnsi="Calibri" w:cs="Calibri"/>
                <w:color w:val="000000"/>
                <w:sz w:val="21"/>
              </w:rPr>
              <w:t>-11.074</w:t>
            </w:r>
          </w:p>
        </w:tc>
      </w:tr>
      <w:tr w:rsidR="00436DF1" w14:paraId="0A603283" w14:textId="77777777" w:rsidTr="00C6227F">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142222F8" w14:textId="77777777" w:rsidR="00436DF1" w:rsidRDefault="00436DF1" w:rsidP="00C6227F">
            <w:pPr>
              <w:keepNext/>
              <w:spacing w:line="210" w:lineRule="exact"/>
            </w:pPr>
            <w:r>
              <w:rPr>
                <w:rFonts w:ascii="Calibri" w:eastAsia="Calibri" w:hAnsi="Calibri" w:cs="Calibri"/>
                <w:i/>
                <w:color w:val="000000"/>
                <w:sz w:val="21"/>
              </w:rPr>
              <w:t xml:space="preserve">       (Ζημιές)/κέρδη από συναλλαγματικές διαφορές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CA43C96"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43B5450C" w14:textId="77777777" w:rsidR="00436DF1" w:rsidRDefault="00436DF1" w:rsidP="00C6227F">
            <w:pPr>
              <w:keepNext/>
              <w:spacing w:before="48" w:after="30"/>
              <w:jc w:val="right"/>
            </w:pPr>
            <w:r>
              <w:rPr>
                <w:rFonts w:ascii="Calibri" w:eastAsia="Calibri" w:hAnsi="Calibri" w:cs="Calibri"/>
                <w:color w:val="000000"/>
                <w:sz w:val="21"/>
              </w:rPr>
              <w:t>-1.973</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C26AF42"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131E3EE9" w14:textId="77777777" w:rsidR="00436DF1" w:rsidRDefault="00436DF1" w:rsidP="00C6227F">
            <w:pPr>
              <w:keepNext/>
              <w:spacing w:before="48" w:after="30"/>
              <w:jc w:val="right"/>
            </w:pPr>
            <w:r>
              <w:rPr>
                <w:rFonts w:ascii="Calibri" w:eastAsia="Calibri" w:hAnsi="Calibri" w:cs="Calibri"/>
                <w:color w:val="000000"/>
                <w:sz w:val="21"/>
              </w:rPr>
              <w:t>1.289</w:t>
            </w:r>
          </w:p>
        </w:tc>
      </w:tr>
      <w:tr w:rsidR="00436DF1" w14:paraId="143ADCEF" w14:textId="77777777" w:rsidTr="00C6227F">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277E721B" w14:textId="77777777" w:rsidR="00436DF1" w:rsidRDefault="00436DF1" w:rsidP="00C6227F">
            <w:pPr>
              <w:keepNext/>
              <w:spacing w:line="210" w:lineRule="exact"/>
            </w:pPr>
            <w:r>
              <w:rPr>
                <w:rFonts w:ascii="Calibri" w:eastAsia="Calibri" w:hAnsi="Calibri" w:cs="Calibri"/>
                <w:b/>
                <w:i/>
                <w:color w:val="000000"/>
                <w:sz w:val="21"/>
              </w:rPr>
              <w:t xml:space="preserve">       Καθαρά έξοδα χρηματοοικονομικής λειτουργίας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8EC3739"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590F4F23" w14:textId="77777777" w:rsidR="00436DF1" w:rsidRDefault="00436DF1" w:rsidP="00C6227F">
            <w:pPr>
              <w:keepNext/>
              <w:spacing w:before="48" w:after="30"/>
              <w:jc w:val="right"/>
            </w:pPr>
            <w:r>
              <w:rPr>
                <w:rFonts w:ascii="Calibri" w:eastAsia="Calibri" w:hAnsi="Calibri" w:cs="Calibri"/>
                <w:b/>
                <w:i/>
                <w:color w:val="000000"/>
                <w:sz w:val="21"/>
              </w:rPr>
              <w:t>-13.218</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B5BCBDB"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4BA857BD" w14:textId="77777777" w:rsidR="00436DF1" w:rsidRDefault="00436DF1" w:rsidP="00C6227F">
            <w:pPr>
              <w:keepNext/>
              <w:spacing w:before="48" w:after="30"/>
              <w:jc w:val="right"/>
            </w:pPr>
            <w:r>
              <w:rPr>
                <w:rFonts w:ascii="Calibri" w:eastAsia="Calibri" w:hAnsi="Calibri" w:cs="Calibri"/>
                <w:b/>
                <w:i/>
                <w:color w:val="000000"/>
                <w:sz w:val="21"/>
              </w:rPr>
              <w:t>-6.636</w:t>
            </w:r>
          </w:p>
        </w:tc>
      </w:tr>
      <w:tr w:rsidR="00436DF1" w14:paraId="0E572FEC" w14:textId="77777777" w:rsidTr="00C6227F">
        <w:trPr>
          <w:cantSplit/>
          <w:trHeight w:hRule="exact" w:val="495"/>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313A6630" w14:textId="77777777" w:rsidR="00436DF1" w:rsidRDefault="00436DF1" w:rsidP="00C6227F">
            <w:pPr>
              <w:keepNext/>
              <w:spacing w:line="210" w:lineRule="exact"/>
            </w:pPr>
            <w:r>
              <w:rPr>
                <w:rFonts w:ascii="Calibri" w:eastAsia="Calibri" w:hAnsi="Calibri" w:cs="Calibri"/>
                <w:color w:val="000000"/>
                <w:sz w:val="21"/>
              </w:rPr>
              <w:t>Συμμετοχή στα κέρδη/(ζημιές) συγγενών εταιριών και κοινοπραξιών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86EFD1B"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44F0BB17" w14:textId="77777777" w:rsidR="00436DF1" w:rsidRDefault="00436DF1" w:rsidP="00C6227F">
            <w:pPr>
              <w:keepNext/>
              <w:spacing w:before="48" w:after="30"/>
              <w:jc w:val="right"/>
            </w:pPr>
            <w:r>
              <w:rPr>
                <w:rFonts w:ascii="Calibri" w:eastAsia="Calibri" w:hAnsi="Calibri" w:cs="Calibri"/>
                <w:color w:val="000000"/>
                <w:sz w:val="21"/>
              </w:rPr>
              <w:t>39</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24649BB"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3D8765BF" w14:textId="77777777" w:rsidR="00436DF1" w:rsidRDefault="00436DF1" w:rsidP="00C6227F">
            <w:pPr>
              <w:keepNext/>
              <w:spacing w:before="48" w:after="30"/>
              <w:jc w:val="right"/>
            </w:pPr>
            <w:r>
              <w:rPr>
                <w:rFonts w:ascii="Calibri" w:eastAsia="Calibri" w:hAnsi="Calibri" w:cs="Calibri"/>
                <w:color w:val="000000"/>
                <w:sz w:val="21"/>
              </w:rPr>
              <w:t>-900</w:t>
            </w:r>
          </w:p>
        </w:tc>
      </w:tr>
      <w:tr w:rsidR="00436DF1" w14:paraId="16F053A7" w14:textId="77777777" w:rsidTr="00C6227F">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41D63AEA" w14:textId="77777777" w:rsidR="00436DF1" w:rsidRDefault="00436DF1" w:rsidP="00C6227F">
            <w:pPr>
              <w:keepNext/>
              <w:spacing w:line="210" w:lineRule="exact"/>
            </w:pPr>
            <w:r>
              <w:rPr>
                <w:rFonts w:ascii="Calibri" w:eastAsia="Calibri" w:hAnsi="Calibri" w:cs="Calibri"/>
                <w:b/>
                <w:color w:val="000000"/>
                <w:sz w:val="21"/>
              </w:rPr>
              <w:t>Κέρδη προ φόρων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29EF61A"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37542E25" w14:textId="77777777" w:rsidR="00436DF1" w:rsidRDefault="00436DF1" w:rsidP="00C6227F">
            <w:pPr>
              <w:keepNext/>
              <w:spacing w:before="48" w:after="30"/>
              <w:jc w:val="right"/>
            </w:pPr>
            <w:r>
              <w:rPr>
                <w:rFonts w:ascii="Calibri" w:eastAsia="Calibri" w:hAnsi="Calibri" w:cs="Calibri"/>
                <w:b/>
                <w:color w:val="000000"/>
                <w:sz w:val="21"/>
              </w:rPr>
              <w:t>66.623</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37B0E18"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12D88198" w14:textId="77777777" w:rsidR="00436DF1" w:rsidRDefault="00436DF1" w:rsidP="00C6227F">
            <w:pPr>
              <w:keepNext/>
              <w:spacing w:before="48" w:after="30"/>
              <w:jc w:val="right"/>
            </w:pPr>
            <w:r>
              <w:rPr>
                <w:rFonts w:ascii="Calibri" w:eastAsia="Calibri" w:hAnsi="Calibri" w:cs="Calibri"/>
                <w:b/>
                <w:color w:val="000000"/>
                <w:sz w:val="21"/>
              </w:rPr>
              <w:t>64.755</w:t>
            </w:r>
          </w:p>
        </w:tc>
      </w:tr>
      <w:tr w:rsidR="00436DF1" w14:paraId="7E3563F0" w14:textId="77777777" w:rsidTr="00C6227F">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1CC5E052" w14:textId="77777777" w:rsidR="00436DF1" w:rsidRDefault="00436DF1" w:rsidP="00C6227F">
            <w:pPr>
              <w:keepNext/>
              <w:spacing w:line="210" w:lineRule="exact"/>
            </w:pPr>
            <w:r>
              <w:rPr>
                <w:rFonts w:ascii="Calibri" w:eastAsia="Calibri" w:hAnsi="Calibri" w:cs="Calibri"/>
                <w:color w:val="000000"/>
                <w:sz w:val="21"/>
              </w:rPr>
              <w:t>Φόρος εισοδήματος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E3B7B89"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7AFF1720" w14:textId="77777777" w:rsidR="00436DF1" w:rsidRDefault="00436DF1" w:rsidP="00C6227F">
            <w:pPr>
              <w:keepNext/>
              <w:spacing w:before="48" w:after="30"/>
              <w:jc w:val="right"/>
            </w:pPr>
            <w:r>
              <w:rPr>
                <w:rFonts w:ascii="Calibri" w:eastAsia="Calibri" w:hAnsi="Calibri" w:cs="Calibri"/>
                <w:color w:val="000000"/>
                <w:sz w:val="21"/>
              </w:rPr>
              <w:t>-19.957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727173E"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21B37FAA" w14:textId="77777777" w:rsidR="00436DF1" w:rsidRDefault="00436DF1" w:rsidP="00C6227F">
            <w:pPr>
              <w:keepNext/>
              <w:spacing w:before="48" w:after="30"/>
              <w:jc w:val="right"/>
            </w:pPr>
            <w:r>
              <w:rPr>
                <w:rFonts w:ascii="Calibri" w:eastAsia="Calibri" w:hAnsi="Calibri" w:cs="Calibri"/>
                <w:color w:val="000000"/>
                <w:sz w:val="21"/>
              </w:rPr>
              <w:t>-12.980</w:t>
            </w:r>
          </w:p>
        </w:tc>
      </w:tr>
      <w:tr w:rsidR="00436DF1" w14:paraId="4856DE19" w14:textId="77777777" w:rsidTr="00C6227F">
        <w:trPr>
          <w:cantSplit/>
          <w:trHeight w:hRule="exact" w:val="300"/>
        </w:trPr>
        <w:tc>
          <w:tcPr>
            <w:tcW w:w="5700" w:type="dxa"/>
            <w:tcBorders>
              <w:top w:val="single" w:sz="2" w:space="0" w:color="000000"/>
              <w:left w:val="nil"/>
              <w:bottom w:val="single" w:sz="8" w:space="0" w:color="4F81BD"/>
              <w:right w:val="nil"/>
            </w:tcBorders>
            <w:tcMar>
              <w:top w:w="0" w:type="dxa"/>
              <w:left w:w="53" w:type="dxa"/>
              <w:bottom w:w="0" w:type="dxa"/>
              <w:right w:w="53" w:type="dxa"/>
            </w:tcMar>
            <w:vAlign w:val="bottom"/>
          </w:tcPr>
          <w:p w14:paraId="6147DD74" w14:textId="77777777" w:rsidR="00436DF1" w:rsidRDefault="00436DF1" w:rsidP="00C6227F">
            <w:pPr>
              <w:keepNext/>
              <w:spacing w:before="48" w:after="30" w:line="210" w:lineRule="exact"/>
            </w:pPr>
            <w:r>
              <w:rPr>
                <w:rFonts w:ascii="Calibri" w:eastAsia="Calibri" w:hAnsi="Calibri" w:cs="Calibri"/>
                <w:b/>
                <w:color w:val="000000"/>
                <w:sz w:val="21"/>
              </w:rPr>
              <w:t>Κέρδη μετά από φόρους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D07A14E" w14:textId="77777777" w:rsidR="00436DF1" w:rsidRDefault="00436DF1" w:rsidP="00C6227F">
            <w:pPr>
              <w:keepNext/>
            </w:pPr>
          </w:p>
        </w:tc>
        <w:tc>
          <w:tcPr>
            <w:tcW w:w="1560" w:type="dxa"/>
            <w:tcBorders>
              <w:top w:val="single" w:sz="2" w:space="0" w:color="000000"/>
              <w:left w:val="nil"/>
              <w:bottom w:val="single" w:sz="8" w:space="0" w:color="4F81BD"/>
              <w:right w:val="nil"/>
            </w:tcBorders>
            <w:shd w:val="clear" w:color="auto" w:fill="DDDDDD"/>
            <w:tcMar>
              <w:top w:w="0" w:type="dxa"/>
              <w:left w:w="0" w:type="dxa"/>
              <w:bottom w:w="0" w:type="dxa"/>
              <w:right w:w="53" w:type="dxa"/>
            </w:tcMar>
            <w:vAlign w:val="bottom"/>
          </w:tcPr>
          <w:p w14:paraId="48C3F1F8" w14:textId="77777777" w:rsidR="00436DF1" w:rsidRDefault="00436DF1" w:rsidP="00C6227F">
            <w:pPr>
              <w:keepNext/>
              <w:spacing w:before="48" w:after="30"/>
              <w:jc w:val="right"/>
            </w:pPr>
            <w:r>
              <w:rPr>
                <w:rFonts w:ascii="Calibri" w:eastAsia="Calibri" w:hAnsi="Calibri" w:cs="Calibri"/>
                <w:b/>
                <w:color w:val="000000"/>
                <w:sz w:val="21"/>
              </w:rPr>
              <w:t>46.666</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0269F9F" w14:textId="77777777" w:rsidR="00436DF1" w:rsidRDefault="00436DF1" w:rsidP="00C6227F">
            <w:pPr>
              <w:keepNext/>
            </w:pPr>
          </w:p>
        </w:tc>
        <w:tc>
          <w:tcPr>
            <w:tcW w:w="1560" w:type="dxa"/>
            <w:tcBorders>
              <w:top w:val="single" w:sz="2" w:space="0" w:color="000000"/>
              <w:left w:val="nil"/>
              <w:bottom w:val="single" w:sz="8" w:space="0" w:color="4F81BD"/>
              <w:right w:val="nil"/>
            </w:tcBorders>
            <w:tcMar>
              <w:top w:w="0" w:type="dxa"/>
              <w:left w:w="0" w:type="dxa"/>
              <w:bottom w:w="0" w:type="dxa"/>
              <w:right w:w="53" w:type="dxa"/>
            </w:tcMar>
            <w:vAlign w:val="bottom"/>
          </w:tcPr>
          <w:p w14:paraId="04C65927" w14:textId="77777777" w:rsidR="00436DF1" w:rsidRDefault="00436DF1" w:rsidP="00C6227F">
            <w:pPr>
              <w:keepNext/>
              <w:spacing w:before="48" w:after="30"/>
              <w:jc w:val="right"/>
            </w:pPr>
            <w:r>
              <w:rPr>
                <w:rFonts w:ascii="Calibri" w:eastAsia="Calibri" w:hAnsi="Calibri" w:cs="Calibri"/>
                <w:b/>
                <w:color w:val="000000"/>
                <w:sz w:val="21"/>
              </w:rPr>
              <w:t>51.775</w:t>
            </w:r>
          </w:p>
        </w:tc>
      </w:tr>
      <w:tr w:rsidR="00436DF1" w14:paraId="085956E4" w14:textId="77777777" w:rsidTr="00C6227F">
        <w:trPr>
          <w:cantSplit/>
          <w:trHeight w:hRule="exact" w:val="300"/>
        </w:trPr>
        <w:tc>
          <w:tcPr>
            <w:tcW w:w="570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47933003" w14:textId="77777777" w:rsidR="00436DF1" w:rsidRDefault="00436DF1"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4A5AF24" w14:textId="77777777" w:rsidR="00436DF1" w:rsidRDefault="00436DF1" w:rsidP="00C6227F">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133CDFEF" w14:textId="77777777" w:rsidR="00436DF1" w:rsidRDefault="00436DF1"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1677E03" w14:textId="77777777" w:rsidR="00436DF1" w:rsidRDefault="00436DF1" w:rsidP="00C6227F">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1A59F6AF" w14:textId="77777777" w:rsidR="00436DF1" w:rsidRDefault="00436DF1" w:rsidP="00C6227F">
            <w:pPr>
              <w:keepNext/>
            </w:pPr>
          </w:p>
        </w:tc>
      </w:tr>
      <w:tr w:rsidR="00436DF1" w14:paraId="5A1584EB" w14:textId="77777777" w:rsidTr="00C6227F">
        <w:trPr>
          <w:cantSplit/>
          <w:trHeight w:hRule="exact" w:val="300"/>
        </w:trPr>
        <w:tc>
          <w:tcPr>
            <w:tcW w:w="5700" w:type="dxa"/>
            <w:tcBorders>
              <w:top w:val="nil"/>
              <w:left w:val="nil"/>
              <w:bottom w:val="single" w:sz="2" w:space="0" w:color="000000"/>
              <w:right w:val="nil"/>
            </w:tcBorders>
            <w:shd w:val="clear" w:color="auto" w:fill="FFFFFF"/>
            <w:tcMar>
              <w:top w:w="0" w:type="dxa"/>
              <w:left w:w="53" w:type="dxa"/>
              <w:bottom w:w="0" w:type="dxa"/>
              <w:right w:w="53" w:type="dxa"/>
            </w:tcMar>
            <w:vAlign w:val="center"/>
          </w:tcPr>
          <w:p w14:paraId="66672EF6" w14:textId="77777777" w:rsidR="00436DF1" w:rsidRDefault="00436DF1" w:rsidP="00C6227F">
            <w:pPr>
              <w:keepNext/>
              <w:spacing w:line="210" w:lineRule="exact"/>
            </w:pPr>
            <w:r>
              <w:rPr>
                <w:rFonts w:ascii="Calibri" w:eastAsia="Calibri" w:hAnsi="Calibri" w:cs="Calibri"/>
                <w:b/>
                <w:color w:val="000000"/>
                <w:sz w:val="21"/>
                <w:u w:val="single"/>
              </w:rPr>
              <w:t>Τα καθαρά κέρδη αναλογούν σε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F816DCF" w14:textId="77777777" w:rsidR="00436DF1" w:rsidRDefault="00436DF1" w:rsidP="00C6227F">
            <w:pPr>
              <w:keepNext/>
            </w:pPr>
          </w:p>
        </w:tc>
        <w:tc>
          <w:tcPr>
            <w:tcW w:w="1560" w:type="dxa"/>
            <w:tcBorders>
              <w:top w:val="nil"/>
              <w:left w:val="nil"/>
              <w:bottom w:val="single" w:sz="2" w:space="0" w:color="000000"/>
              <w:right w:val="nil"/>
            </w:tcBorders>
            <w:shd w:val="clear" w:color="auto" w:fill="FFFFFF"/>
            <w:tcMar>
              <w:top w:w="0" w:type="dxa"/>
              <w:left w:w="0" w:type="dxa"/>
              <w:bottom w:w="0" w:type="dxa"/>
              <w:right w:w="0" w:type="dxa"/>
            </w:tcMar>
            <w:vAlign w:val="bottom"/>
          </w:tcPr>
          <w:p w14:paraId="435E5AE4" w14:textId="77777777" w:rsidR="00436DF1" w:rsidRDefault="00436DF1"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5D1BB9E" w14:textId="77777777" w:rsidR="00436DF1" w:rsidRDefault="00436DF1" w:rsidP="00C6227F">
            <w:pPr>
              <w:keepNext/>
            </w:pPr>
          </w:p>
        </w:tc>
        <w:tc>
          <w:tcPr>
            <w:tcW w:w="1560" w:type="dxa"/>
            <w:tcBorders>
              <w:top w:val="nil"/>
              <w:left w:val="nil"/>
              <w:bottom w:val="single" w:sz="2" w:space="0" w:color="000000"/>
              <w:right w:val="nil"/>
            </w:tcBorders>
            <w:shd w:val="clear" w:color="auto" w:fill="FFFFFF"/>
            <w:tcMar>
              <w:top w:w="0" w:type="dxa"/>
              <w:left w:w="0" w:type="dxa"/>
              <w:bottom w:w="0" w:type="dxa"/>
              <w:right w:w="0" w:type="dxa"/>
            </w:tcMar>
            <w:vAlign w:val="bottom"/>
          </w:tcPr>
          <w:p w14:paraId="2A174742" w14:textId="77777777" w:rsidR="00436DF1" w:rsidRDefault="00436DF1" w:rsidP="00C6227F">
            <w:pPr>
              <w:keepNext/>
            </w:pPr>
          </w:p>
        </w:tc>
      </w:tr>
      <w:tr w:rsidR="00436DF1" w14:paraId="17752CA0" w14:textId="77777777" w:rsidTr="00C6227F">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06991254" w14:textId="77777777" w:rsidR="00436DF1" w:rsidRDefault="00436DF1" w:rsidP="00C6227F">
            <w:pPr>
              <w:keepNext/>
              <w:spacing w:line="210" w:lineRule="exact"/>
            </w:pPr>
            <w:r>
              <w:rPr>
                <w:rFonts w:ascii="Calibri" w:eastAsia="Calibri" w:hAnsi="Calibri" w:cs="Calibri"/>
                <w:color w:val="000000"/>
                <w:sz w:val="21"/>
              </w:rPr>
              <w:t>Μετόχους της Εταιρίας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960C3A8"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503EE523" w14:textId="77777777" w:rsidR="00436DF1" w:rsidRDefault="00436DF1" w:rsidP="00C6227F">
            <w:pPr>
              <w:keepNext/>
              <w:spacing w:before="48" w:after="30"/>
              <w:jc w:val="right"/>
            </w:pPr>
            <w:r>
              <w:rPr>
                <w:rFonts w:ascii="Calibri" w:eastAsia="Calibri" w:hAnsi="Calibri" w:cs="Calibri"/>
                <w:color w:val="000000"/>
                <w:sz w:val="21"/>
              </w:rPr>
              <w:t>43.732</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7E95924"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6E0D835B" w14:textId="77777777" w:rsidR="00436DF1" w:rsidRDefault="00436DF1" w:rsidP="00C6227F">
            <w:pPr>
              <w:keepNext/>
              <w:spacing w:before="48" w:after="30"/>
              <w:jc w:val="right"/>
            </w:pPr>
            <w:r>
              <w:rPr>
                <w:rFonts w:ascii="Calibri" w:eastAsia="Calibri" w:hAnsi="Calibri" w:cs="Calibri"/>
                <w:color w:val="000000"/>
                <w:sz w:val="21"/>
              </w:rPr>
              <w:t>52.432</w:t>
            </w:r>
          </w:p>
        </w:tc>
      </w:tr>
      <w:tr w:rsidR="00436DF1" w14:paraId="2610CFA9" w14:textId="77777777" w:rsidTr="00C6227F">
        <w:trPr>
          <w:cantSplit/>
          <w:trHeight w:hRule="exact" w:val="300"/>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053DC5A1" w14:textId="77777777" w:rsidR="00436DF1" w:rsidRDefault="00436DF1" w:rsidP="00C6227F">
            <w:pPr>
              <w:keepNext/>
              <w:spacing w:line="210" w:lineRule="exact"/>
            </w:pPr>
            <w:r>
              <w:rPr>
                <w:rFonts w:ascii="Calibri" w:eastAsia="Calibri" w:hAnsi="Calibri" w:cs="Calibri"/>
                <w:color w:val="000000"/>
                <w:sz w:val="21"/>
              </w:rPr>
              <w:t>Μη ελέγχουσες συμμετοχές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DD35A40"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203A1BE6" w14:textId="77777777" w:rsidR="00436DF1" w:rsidRDefault="00436DF1" w:rsidP="00C6227F">
            <w:pPr>
              <w:keepNext/>
              <w:spacing w:before="48" w:after="30"/>
              <w:jc w:val="right"/>
            </w:pPr>
            <w:r>
              <w:rPr>
                <w:rFonts w:ascii="Calibri" w:eastAsia="Calibri" w:hAnsi="Calibri" w:cs="Calibri"/>
                <w:color w:val="000000"/>
                <w:sz w:val="21"/>
              </w:rPr>
              <w:t>2.934</w:t>
            </w:r>
          </w:p>
        </w:tc>
        <w:tc>
          <w:tcPr>
            <w:tcW w:w="90" w:type="dxa"/>
            <w:tcBorders>
              <w:top w:val="nil"/>
              <w:left w:val="nil"/>
              <w:bottom w:val="single" w:sz="2" w:space="0" w:color="000000"/>
              <w:right w:val="nil"/>
            </w:tcBorders>
            <w:shd w:val="clear" w:color="auto" w:fill="FFFFFF"/>
            <w:tcMar>
              <w:top w:w="0" w:type="dxa"/>
              <w:left w:w="0" w:type="dxa"/>
              <w:bottom w:w="0" w:type="dxa"/>
              <w:right w:w="0" w:type="dxa"/>
            </w:tcMar>
            <w:vAlign w:val="bottom"/>
          </w:tcPr>
          <w:p w14:paraId="704D0771"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56235F6E" w14:textId="77777777" w:rsidR="00436DF1" w:rsidRDefault="00436DF1" w:rsidP="00C6227F">
            <w:pPr>
              <w:keepNext/>
              <w:spacing w:before="48" w:after="30"/>
              <w:jc w:val="right"/>
            </w:pPr>
            <w:r>
              <w:rPr>
                <w:rFonts w:ascii="Calibri" w:eastAsia="Calibri" w:hAnsi="Calibri" w:cs="Calibri"/>
                <w:color w:val="000000"/>
                <w:sz w:val="21"/>
              </w:rPr>
              <w:t>-657</w:t>
            </w:r>
          </w:p>
        </w:tc>
      </w:tr>
      <w:tr w:rsidR="00436DF1" w14:paraId="6D8E415D" w14:textId="77777777" w:rsidTr="00C6227F">
        <w:trPr>
          <w:cantSplit/>
          <w:trHeight w:hRule="exact" w:val="300"/>
        </w:trPr>
        <w:tc>
          <w:tcPr>
            <w:tcW w:w="5700" w:type="dxa"/>
            <w:tcBorders>
              <w:top w:val="single" w:sz="2" w:space="0" w:color="000000"/>
              <w:left w:val="nil"/>
              <w:bottom w:val="nil"/>
              <w:right w:val="nil"/>
            </w:tcBorders>
            <w:shd w:val="clear" w:color="auto" w:fill="FFFFFF"/>
            <w:tcMar>
              <w:top w:w="0" w:type="dxa"/>
              <w:left w:w="0" w:type="dxa"/>
              <w:bottom w:w="0" w:type="dxa"/>
              <w:right w:w="0" w:type="dxa"/>
            </w:tcMar>
            <w:vAlign w:val="bottom"/>
          </w:tcPr>
          <w:p w14:paraId="6DFB51EB" w14:textId="77777777" w:rsidR="00436DF1" w:rsidRDefault="00436DF1"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D82A82B" w14:textId="77777777" w:rsidR="00436DF1" w:rsidRDefault="00436DF1" w:rsidP="00C6227F">
            <w:pPr>
              <w:keepNext/>
            </w:pPr>
          </w:p>
        </w:tc>
        <w:tc>
          <w:tcPr>
            <w:tcW w:w="1560" w:type="dxa"/>
            <w:tcBorders>
              <w:top w:val="single" w:sz="2" w:space="0" w:color="000000"/>
              <w:left w:val="nil"/>
              <w:bottom w:val="single" w:sz="8" w:space="0" w:color="4F81BD"/>
              <w:right w:val="nil"/>
            </w:tcBorders>
            <w:shd w:val="clear" w:color="auto" w:fill="DDDDDD"/>
            <w:tcMar>
              <w:top w:w="0" w:type="dxa"/>
              <w:left w:w="0" w:type="dxa"/>
              <w:bottom w:w="0" w:type="dxa"/>
              <w:right w:w="53" w:type="dxa"/>
            </w:tcMar>
            <w:vAlign w:val="bottom"/>
          </w:tcPr>
          <w:p w14:paraId="787A66F0" w14:textId="77777777" w:rsidR="00436DF1" w:rsidRDefault="00436DF1" w:rsidP="00C6227F">
            <w:pPr>
              <w:keepNext/>
              <w:spacing w:before="48" w:after="30"/>
              <w:jc w:val="right"/>
            </w:pPr>
            <w:r>
              <w:rPr>
                <w:rFonts w:ascii="Calibri" w:eastAsia="Calibri" w:hAnsi="Calibri" w:cs="Calibri"/>
                <w:b/>
                <w:color w:val="000000"/>
                <w:sz w:val="21"/>
              </w:rPr>
              <w:t>46.666</w:t>
            </w:r>
          </w:p>
        </w:tc>
        <w:tc>
          <w:tcPr>
            <w:tcW w:w="90" w:type="dxa"/>
            <w:tcBorders>
              <w:top w:val="single" w:sz="2" w:space="0" w:color="000000"/>
              <w:left w:val="nil"/>
              <w:bottom w:val="nil"/>
              <w:right w:val="nil"/>
            </w:tcBorders>
            <w:shd w:val="clear" w:color="auto" w:fill="FFFFFF"/>
            <w:tcMar>
              <w:top w:w="0" w:type="dxa"/>
              <w:left w:w="0" w:type="dxa"/>
              <w:bottom w:w="0" w:type="dxa"/>
              <w:right w:w="0" w:type="dxa"/>
            </w:tcMar>
            <w:vAlign w:val="bottom"/>
          </w:tcPr>
          <w:p w14:paraId="0ACC05EB" w14:textId="77777777" w:rsidR="00436DF1" w:rsidRDefault="00436DF1" w:rsidP="00C6227F">
            <w:pPr>
              <w:keepNext/>
            </w:pPr>
          </w:p>
        </w:tc>
        <w:tc>
          <w:tcPr>
            <w:tcW w:w="1560" w:type="dxa"/>
            <w:tcBorders>
              <w:top w:val="single" w:sz="2" w:space="0" w:color="000000"/>
              <w:left w:val="nil"/>
              <w:bottom w:val="single" w:sz="8" w:space="0" w:color="4F81BD"/>
              <w:right w:val="nil"/>
            </w:tcBorders>
            <w:tcMar>
              <w:top w:w="0" w:type="dxa"/>
              <w:left w:w="0" w:type="dxa"/>
              <w:bottom w:w="0" w:type="dxa"/>
              <w:right w:w="53" w:type="dxa"/>
            </w:tcMar>
            <w:vAlign w:val="bottom"/>
          </w:tcPr>
          <w:p w14:paraId="500BBE3E" w14:textId="77777777" w:rsidR="00436DF1" w:rsidRDefault="00436DF1" w:rsidP="00C6227F">
            <w:pPr>
              <w:keepNext/>
              <w:spacing w:before="48" w:after="30"/>
              <w:jc w:val="right"/>
            </w:pPr>
            <w:r>
              <w:rPr>
                <w:rFonts w:ascii="Calibri" w:eastAsia="Calibri" w:hAnsi="Calibri" w:cs="Calibri"/>
                <w:b/>
                <w:color w:val="000000"/>
                <w:sz w:val="21"/>
              </w:rPr>
              <w:t>51.775</w:t>
            </w:r>
          </w:p>
        </w:tc>
      </w:tr>
      <w:tr w:rsidR="00436DF1" w14:paraId="1FF5021E" w14:textId="77777777" w:rsidTr="00C6227F">
        <w:trPr>
          <w:cantSplit/>
          <w:trHeight w:hRule="exact" w:val="585"/>
        </w:trPr>
        <w:tc>
          <w:tcPr>
            <w:tcW w:w="5700" w:type="dxa"/>
            <w:tcBorders>
              <w:top w:val="nil"/>
              <w:left w:val="nil"/>
              <w:bottom w:val="nil"/>
              <w:right w:val="nil"/>
            </w:tcBorders>
            <w:shd w:val="clear" w:color="auto" w:fill="FFFFFF"/>
            <w:tcMar>
              <w:top w:w="0" w:type="dxa"/>
              <w:left w:w="0" w:type="dxa"/>
              <w:bottom w:w="0" w:type="dxa"/>
              <w:right w:w="0" w:type="dxa"/>
            </w:tcMar>
            <w:vAlign w:val="bottom"/>
          </w:tcPr>
          <w:p w14:paraId="056E7BC2" w14:textId="77777777" w:rsidR="00436DF1" w:rsidRDefault="00436DF1"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A8E7566" w14:textId="77777777" w:rsidR="00436DF1" w:rsidRDefault="00436DF1" w:rsidP="00C6227F">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463AC589" w14:textId="77777777" w:rsidR="00436DF1" w:rsidRDefault="00436DF1"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7B8FFCB" w14:textId="77777777" w:rsidR="00436DF1" w:rsidRDefault="00436DF1" w:rsidP="00C6227F">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6F3A0594" w14:textId="77777777" w:rsidR="00436DF1" w:rsidRDefault="00436DF1" w:rsidP="00C6227F">
            <w:pPr>
              <w:keepNext/>
            </w:pPr>
          </w:p>
        </w:tc>
      </w:tr>
      <w:tr w:rsidR="00436DF1" w14:paraId="780614DE" w14:textId="77777777" w:rsidTr="00C6227F">
        <w:trPr>
          <w:cantSplit/>
          <w:trHeight w:hRule="exact" w:val="645"/>
        </w:trPr>
        <w:tc>
          <w:tcPr>
            <w:tcW w:w="9000" w:type="dxa"/>
            <w:gridSpan w:val="5"/>
            <w:tcBorders>
              <w:top w:val="single" w:sz="8" w:space="0" w:color="004380"/>
              <w:left w:val="nil"/>
              <w:bottom w:val="single" w:sz="8" w:space="0" w:color="000000"/>
              <w:right w:val="nil"/>
            </w:tcBorders>
            <w:shd w:val="clear" w:color="auto" w:fill="FFFFFF"/>
            <w:tcMar>
              <w:top w:w="0" w:type="dxa"/>
              <w:left w:w="53" w:type="dxa"/>
              <w:bottom w:w="0" w:type="dxa"/>
              <w:right w:w="53" w:type="dxa"/>
            </w:tcMar>
            <w:vAlign w:val="bottom"/>
          </w:tcPr>
          <w:p w14:paraId="155EFC69" w14:textId="77777777" w:rsidR="00436DF1" w:rsidRDefault="00436DF1" w:rsidP="00C6227F">
            <w:pPr>
              <w:keepNext/>
              <w:spacing w:before="33" w:after="30" w:line="280" w:lineRule="exact"/>
            </w:pPr>
            <w:r w:rsidRPr="00436DF1">
              <w:rPr>
                <w:rFonts w:ascii="Calibri" w:eastAsiaTheme="minorEastAsia" w:hAnsi="Calibri" w:cs="Calibri"/>
                <w:b/>
                <w:bCs/>
                <w:noProof/>
                <w:color w:val="21286C"/>
                <w:sz w:val="28"/>
              </w:rPr>
              <w:t>Κέρδη προ φόρων, χρηματοοικονομικών και επενδυτικών αποτελεσμάτων, αποσβέσεων και απομειώσεων (EBITDA)</w:t>
            </w:r>
          </w:p>
        </w:tc>
      </w:tr>
      <w:tr w:rsidR="00436DF1" w14:paraId="17F369FA" w14:textId="77777777" w:rsidTr="00C6227F">
        <w:trPr>
          <w:cantSplit/>
          <w:trHeight w:hRule="exact" w:val="165"/>
        </w:trPr>
        <w:tc>
          <w:tcPr>
            <w:tcW w:w="5700" w:type="dxa"/>
            <w:tcBorders>
              <w:top w:val="nil"/>
              <w:left w:val="nil"/>
              <w:bottom w:val="single" w:sz="8" w:space="0" w:color="4F81BD"/>
              <w:right w:val="nil"/>
            </w:tcBorders>
            <w:tcMar>
              <w:top w:w="0" w:type="dxa"/>
              <w:left w:w="0" w:type="dxa"/>
              <w:bottom w:w="0" w:type="dxa"/>
              <w:right w:w="0" w:type="dxa"/>
            </w:tcMar>
            <w:vAlign w:val="bottom"/>
          </w:tcPr>
          <w:p w14:paraId="1C5B88DA" w14:textId="77777777" w:rsidR="00436DF1" w:rsidRDefault="00436DF1" w:rsidP="00C6227F">
            <w:pPr>
              <w:keepNext/>
            </w:pPr>
          </w:p>
        </w:tc>
        <w:tc>
          <w:tcPr>
            <w:tcW w:w="90" w:type="dxa"/>
            <w:tcBorders>
              <w:top w:val="single" w:sz="8" w:space="0" w:color="000000"/>
              <w:left w:val="nil"/>
              <w:bottom w:val="nil"/>
              <w:right w:val="nil"/>
            </w:tcBorders>
            <w:tcMar>
              <w:top w:w="0" w:type="dxa"/>
              <w:left w:w="0" w:type="dxa"/>
              <w:bottom w:w="0" w:type="dxa"/>
              <w:right w:w="0" w:type="dxa"/>
            </w:tcMar>
            <w:vAlign w:val="bottom"/>
          </w:tcPr>
          <w:p w14:paraId="7E9DE4F0" w14:textId="77777777" w:rsidR="00436DF1" w:rsidRDefault="00436DF1" w:rsidP="00C6227F">
            <w:pPr>
              <w:keepNext/>
            </w:pPr>
          </w:p>
        </w:tc>
        <w:tc>
          <w:tcPr>
            <w:tcW w:w="1560" w:type="dxa"/>
            <w:tcBorders>
              <w:top w:val="single" w:sz="8" w:space="0" w:color="000000"/>
              <w:left w:val="nil"/>
              <w:bottom w:val="single" w:sz="8" w:space="0" w:color="4F81BD"/>
              <w:right w:val="nil"/>
            </w:tcBorders>
            <w:tcMar>
              <w:top w:w="0" w:type="dxa"/>
              <w:left w:w="0" w:type="dxa"/>
              <w:bottom w:w="0" w:type="dxa"/>
              <w:right w:w="0" w:type="dxa"/>
            </w:tcMar>
            <w:vAlign w:val="bottom"/>
          </w:tcPr>
          <w:p w14:paraId="0A64D1EA" w14:textId="77777777" w:rsidR="00436DF1" w:rsidRDefault="00436DF1" w:rsidP="00C6227F">
            <w:pPr>
              <w:keepNext/>
            </w:pPr>
          </w:p>
        </w:tc>
        <w:tc>
          <w:tcPr>
            <w:tcW w:w="90" w:type="dxa"/>
            <w:tcBorders>
              <w:top w:val="single" w:sz="8" w:space="0" w:color="000000"/>
              <w:left w:val="nil"/>
              <w:bottom w:val="single" w:sz="8" w:space="0" w:color="4F81BD"/>
              <w:right w:val="nil"/>
            </w:tcBorders>
            <w:tcMar>
              <w:top w:w="0" w:type="dxa"/>
              <w:left w:w="0" w:type="dxa"/>
              <w:bottom w:w="0" w:type="dxa"/>
              <w:right w:w="0" w:type="dxa"/>
            </w:tcMar>
            <w:vAlign w:val="bottom"/>
          </w:tcPr>
          <w:p w14:paraId="58D5A1E6" w14:textId="77777777" w:rsidR="00436DF1" w:rsidRDefault="00436DF1" w:rsidP="00C6227F">
            <w:pPr>
              <w:keepNext/>
            </w:pPr>
          </w:p>
        </w:tc>
        <w:tc>
          <w:tcPr>
            <w:tcW w:w="1560" w:type="dxa"/>
            <w:tcBorders>
              <w:top w:val="single" w:sz="8" w:space="0" w:color="000000"/>
              <w:left w:val="nil"/>
              <w:bottom w:val="single" w:sz="8" w:space="0" w:color="4F81BD"/>
              <w:right w:val="nil"/>
            </w:tcBorders>
            <w:tcMar>
              <w:top w:w="0" w:type="dxa"/>
              <w:left w:w="0" w:type="dxa"/>
              <w:bottom w:w="0" w:type="dxa"/>
              <w:right w:w="0" w:type="dxa"/>
            </w:tcMar>
            <w:vAlign w:val="bottom"/>
          </w:tcPr>
          <w:p w14:paraId="16B0CE9F" w14:textId="77777777" w:rsidR="00436DF1" w:rsidRDefault="00436DF1" w:rsidP="00C6227F">
            <w:pPr>
              <w:keepNext/>
            </w:pPr>
          </w:p>
        </w:tc>
      </w:tr>
      <w:tr w:rsidR="00436DF1" w14:paraId="7D78DD18" w14:textId="77777777" w:rsidTr="00C6227F">
        <w:trPr>
          <w:cantSplit/>
          <w:trHeight w:hRule="exact" w:val="300"/>
        </w:trPr>
        <w:tc>
          <w:tcPr>
            <w:tcW w:w="5700" w:type="dxa"/>
            <w:tcBorders>
              <w:top w:val="single" w:sz="8" w:space="0" w:color="4F81BD"/>
              <w:left w:val="nil"/>
              <w:bottom w:val="nil"/>
              <w:right w:val="nil"/>
            </w:tcBorders>
            <w:shd w:val="clear" w:color="auto" w:fill="FFFFFF"/>
            <w:tcMar>
              <w:top w:w="0" w:type="dxa"/>
              <w:left w:w="53" w:type="dxa"/>
              <w:bottom w:w="0" w:type="dxa"/>
              <w:right w:w="53" w:type="dxa"/>
            </w:tcMar>
            <w:vAlign w:val="bottom"/>
          </w:tcPr>
          <w:p w14:paraId="703568D8" w14:textId="77777777" w:rsidR="00436DF1" w:rsidRDefault="00436DF1" w:rsidP="00C6227F">
            <w:pPr>
              <w:keepNext/>
              <w:spacing w:before="33" w:after="30" w:line="210" w:lineRule="exact"/>
            </w:pPr>
            <w:r>
              <w:rPr>
                <w:rFonts w:ascii="Calibri" w:eastAsia="Calibri" w:hAnsi="Calibri" w:cs="Calibri"/>
                <w:i/>
                <w:color w:val="000000"/>
                <w:sz w:val="21"/>
              </w:rPr>
              <w:t>(ποσά σε χιλιάδες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C041C2E" w14:textId="77777777" w:rsidR="00436DF1" w:rsidRDefault="00436DF1" w:rsidP="00C6227F">
            <w:pPr>
              <w:keepNext/>
            </w:pPr>
          </w:p>
        </w:tc>
        <w:tc>
          <w:tcPr>
            <w:tcW w:w="3210" w:type="dxa"/>
            <w:gridSpan w:val="3"/>
            <w:tcBorders>
              <w:top w:val="nil"/>
              <w:left w:val="nil"/>
              <w:bottom w:val="nil"/>
              <w:right w:val="nil"/>
            </w:tcBorders>
            <w:shd w:val="clear" w:color="auto" w:fill="FFFFFF"/>
            <w:tcMar>
              <w:top w:w="0" w:type="dxa"/>
              <w:left w:w="53" w:type="dxa"/>
              <w:bottom w:w="0" w:type="dxa"/>
              <w:right w:w="53" w:type="dxa"/>
            </w:tcMar>
            <w:vAlign w:val="bottom"/>
          </w:tcPr>
          <w:p w14:paraId="54B9F856" w14:textId="77777777" w:rsidR="00436DF1" w:rsidRDefault="00436DF1" w:rsidP="00C6227F">
            <w:pPr>
              <w:keepNext/>
              <w:spacing w:before="33" w:after="30" w:line="210" w:lineRule="exact"/>
              <w:jc w:val="center"/>
            </w:pPr>
            <w:r>
              <w:rPr>
                <w:rFonts w:ascii="Calibri" w:eastAsia="Calibri" w:hAnsi="Calibri" w:cs="Calibri"/>
                <w:b/>
                <w:color w:val="000000"/>
                <w:sz w:val="21"/>
              </w:rPr>
              <w:t>Για το τρίμηνο που έληξε την 31/3</w:t>
            </w:r>
          </w:p>
        </w:tc>
      </w:tr>
      <w:tr w:rsidR="00436DF1" w14:paraId="01F70F32" w14:textId="77777777" w:rsidTr="00C6227F">
        <w:trPr>
          <w:cantSplit/>
          <w:trHeight w:hRule="exact" w:val="255"/>
        </w:trPr>
        <w:tc>
          <w:tcPr>
            <w:tcW w:w="5700" w:type="dxa"/>
            <w:tcBorders>
              <w:top w:val="nil"/>
              <w:left w:val="nil"/>
              <w:bottom w:val="nil"/>
              <w:right w:val="nil"/>
            </w:tcBorders>
            <w:shd w:val="clear" w:color="auto" w:fill="FFFFFF"/>
            <w:tcMar>
              <w:top w:w="0" w:type="dxa"/>
              <w:left w:w="0" w:type="dxa"/>
              <w:bottom w:w="0" w:type="dxa"/>
              <w:right w:w="0" w:type="dxa"/>
            </w:tcMar>
            <w:vAlign w:val="bottom"/>
          </w:tcPr>
          <w:p w14:paraId="20C6EA77" w14:textId="77777777" w:rsidR="00436DF1" w:rsidRDefault="00436DF1"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A1D9DBE" w14:textId="77777777" w:rsidR="00436DF1" w:rsidRDefault="00436DF1" w:rsidP="00C6227F">
            <w:pPr>
              <w:keepNext/>
            </w:pPr>
          </w:p>
        </w:tc>
        <w:tc>
          <w:tcPr>
            <w:tcW w:w="1560" w:type="dxa"/>
            <w:tcBorders>
              <w:top w:val="single" w:sz="2" w:space="0" w:color="000000"/>
              <w:left w:val="nil"/>
              <w:bottom w:val="single" w:sz="8" w:space="0" w:color="000000"/>
              <w:right w:val="nil"/>
            </w:tcBorders>
            <w:shd w:val="clear" w:color="auto" w:fill="DDDDDD"/>
            <w:tcMar>
              <w:top w:w="0" w:type="dxa"/>
              <w:left w:w="0" w:type="dxa"/>
              <w:bottom w:w="0" w:type="dxa"/>
              <w:right w:w="53" w:type="dxa"/>
            </w:tcMar>
            <w:vAlign w:val="bottom"/>
          </w:tcPr>
          <w:p w14:paraId="2D393294" w14:textId="77777777" w:rsidR="00436DF1" w:rsidRDefault="00436DF1" w:rsidP="00C6227F">
            <w:pPr>
              <w:keepNext/>
              <w:spacing w:before="48" w:after="30"/>
              <w:jc w:val="right"/>
            </w:pPr>
            <w:r>
              <w:rPr>
                <w:rFonts w:ascii="Calibri" w:eastAsia="Calibri" w:hAnsi="Calibri" w:cs="Calibri"/>
                <w:b/>
                <w:color w:val="000000"/>
                <w:sz w:val="21"/>
              </w:rPr>
              <w:t>2025</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6562638" w14:textId="77777777" w:rsidR="00436DF1" w:rsidRDefault="00436DF1" w:rsidP="00C6227F">
            <w:pPr>
              <w:keepNext/>
            </w:pPr>
          </w:p>
        </w:tc>
        <w:tc>
          <w:tcPr>
            <w:tcW w:w="1560" w:type="dxa"/>
            <w:tcBorders>
              <w:top w:val="single" w:sz="2" w:space="0" w:color="000000"/>
              <w:left w:val="nil"/>
              <w:bottom w:val="single" w:sz="8" w:space="0" w:color="000000"/>
              <w:right w:val="nil"/>
            </w:tcBorders>
            <w:shd w:val="clear" w:color="auto" w:fill="FFFFFF"/>
            <w:tcMar>
              <w:top w:w="0" w:type="dxa"/>
              <w:left w:w="0" w:type="dxa"/>
              <w:bottom w:w="0" w:type="dxa"/>
              <w:right w:w="53" w:type="dxa"/>
            </w:tcMar>
            <w:vAlign w:val="bottom"/>
          </w:tcPr>
          <w:p w14:paraId="3204ECA4" w14:textId="77777777" w:rsidR="00436DF1" w:rsidRDefault="00436DF1" w:rsidP="00C6227F">
            <w:pPr>
              <w:keepNext/>
              <w:spacing w:before="48" w:after="30"/>
              <w:jc w:val="right"/>
            </w:pPr>
            <w:r>
              <w:rPr>
                <w:rFonts w:ascii="Calibri" w:eastAsia="Calibri" w:hAnsi="Calibri" w:cs="Calibri"/>
                <w:b/>
                <w:color w:val="000000"/>
                <w:sz w:val="21"/>
              </w:rPr>
              <w:t>2024</w:t>
            </w:r>
          </w:p>
        </w:tc>
      </w:tr>
      <w:tr w:rsidR="00436DF1" w14:paraId="25597BE3" w14:textId="77777777" w:rsidTr="00C6227F">
        <w:trPr>
          <w:cantSplit/>
          <w:trHeight w:hRule="exact" w:val="195"/>
        </w:trPr>
        <w:tc>
          <w:tcPr>
            <w:tcW w:w="5700" w:type="dxa"/>
            <w:tcBorders>
              <w:top w:val="nil"/>
              <w:left w:val="nil"/>
              <w:bottom w:val="single" w:sz="2" w:space="0" w:color="000000"/>
              <w:right w:val="nil"/>
            </w:tcBorders>
            <w:shd w:val="clear" w:color="auto" w:fill="FFFFFF"/>
            <w:tcMar>
              <w:top w:w="0" w:type="dxa"/>
              <w:left w:w="0" w:type="dxa"/>
              <w:bottom w:w="0" w:type="dxa"/>
              <w:right w:w="0" w:type="dxa"/>
            </w:tcMar>
            <w:vAlign w:val="bottom"/>
          </w:tcPr>
          <w:p w14:paraId="7E0EACCE" w14:textId="77777777" w:rsidR="00436DF1" w:rsidRDefault="00436DF1"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4084B29" w14:textId="77777777" w:rsidR="00436DF1" w:rsidRDefault="00436DF1" w:rsidP="00C6227F">
            <w:pPr>
              <w:keepNext/>
            </w:pPr>
          </w:p>
        </w:tc>
        <w:tc>
          <w:tcPr>
            <w:tcW w:w="1560" w:type="dxa"/>
            <w:tcBorders>
              <w:top w:val="single" w:sz="8" w:space="0" w:color="000000"/>
              <w:left w:val="nil"/>
              <w:bottom w:val="single" w:sz="2" w:space="0" w:color="000000"/>
              <w:right w:val="nil"/>
            </w:tcBorders>
            <w:tcMar>
              <w:top w:w="0" w:type="dxa"/>
              <w:left w:w="0" w:type="dxa"/>
              <w:bottom w:w="0" w:type="dxa"/>
              <w:right w:w="0" w:type="dxa"/>
            </w:tcMar>
            <w:vAlign w:val="bottom"/>
          </w:tcPr>
          <w:p w14:paraId="1D3812BA" w14:textId="77777777" w:rsidR="00436DF1" w:rsidRDefault="00436DF1"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B333135" w14:textId="77777777" w:rsidR="00436DF1" w:rsidRDefault="00436DF1" w:rsidP="00C6227F">
            <w:pPr>
              <w:keepNext/>
            </w:pPr>
          </w:p>
        </w:tc>
        <w:tc>
          <w:tcPr>
            <w:tcW w:w="1560" w:type="dxa"/>
            <w:tcBorders>
              <w:top w:val="single" w:sz="8" w:space="0" w:color="000000"/>
              <w:left w:val="nil"/>
              <w:bottom w:val="single" w:sz="2" w:space="0" w:color="000000"/>
              <w:right w:val="nil"/>
            </w:tcBorders>
            <w:tcMar>
              <w:top w:w="0" w:type="dxa"/>
              <w:left w:w="0" w:type="dxa"/>
              <w:bottom w:w="0" w:type="dxa"/>
              <w:right w:w="0" w:type="dxa"/>
            </w:tcMar>
            <w:vAlign w:val="bottom"/>
          </w:tcPr>
          <w:p w14:paraId="45F3643E" w14:textId="77777777" w:rsidR="00436DF1" w:rsidRDefault="00436DF1" w:rsidP="00C6227F">
            <w:pPr>
              <w:keepNext/>
            </w:pPr>
          </w:p>
        </w:tc>
      </w:tr>
      <w:tr w:rsidR="00436DF1" w14:paraId="407BA096" w14:textId="77777777" w:rsidTr="00C6227F">
        <w:trPr>
          <w:cantSplit/>
          <w:trHeight w:hRule="exact" w:val="525"/>
        </w:trPr>
        <w:tc>
          <w:tcPr>
            <w:tcW w:w="5700"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center"/>
          </w:tcPr>
          <w:p w14:paraId="74F27360" w14:textId="77777777" w:rsidR="00436DF1" w:rsidRDefault="00436DF1" w:rsidP="00C6227F">
            <w:pPr>
              <w:keepNext/>
              <w:spacing w:line="210" w:lineRule="exact"/>
            </w:pPr>
            <w:r>
              <w:rPr>
                <w:rFonts w:ascii="Calibri" w:eastAsia="Calibri" w:hAnsi="Calibri" w:cs="Calibri"/>
                <w:b/>
                <w:color w:val="000000"/>
                <w:sz w:val="21"/>
              </w:rPr>
              <w:t>Κέρδη προ ζημιών απομείωσης υπεραξίας, καθαρών εξόδων χρηματοοικονομικής λειτουργίας και φόρων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44127C2"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229EF6F3" w14:textId="77777777" w:rsidR="00436DF1" w:rsidRDefault="00436DF1" w:rsidP="00C6227F">
            <w:pPr>
              <w:keepNext/>
              <w:spacing w:before="48" w:after="30"/>
              <w:jc w:val="right"/>
            </w:pPr>
            <w:r>
              <w:rPr>
                <w:rFonts w:ascii="Calibri" w:eastAsia="Calibri" w:hAnsi="Calibri" w:cs="Calibri"/>
                <w:b/>
                <w:color w:val="000000"/>
                <w:sz w:val="21"/>
              </w:rPr>
              <w:t>79.802</w:t>
            </w:r>
          </w:p>
        </w:tc>
        <w:tc>
          <w:tcPr>
            <w:tcW w:w="90" w:type="dxa"/>
            <w:tcBorders>
              <w:top w:val="nil"/>
              <w:left w:val="nil"/>
              <w:bottom w:val="nil"/>
              <w:right w:val="nil"/>
            </w:tcBorders>
            <w:tcMar>
              <w:top w:w="0" w:type="dxa"/>
              <w:left w:w="0" w:type="dxa"/>
              <w:bottom w:w="0" w:type="dxa"/>
              <w:right w:w="0" w:type="dxa"/>
            </w:tcMar>
            <w:vAlign w:val="bottom"/>
          </w:tcPr>
          <w:p w14:paraId="477487F7" w14:textId="77777777" w:rsidR="00436DF1" w:rsidRDefault="00436DF1"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5C90F7B4" w14:textId="77777777" w:rsidR="00436DF1" w:rsidRDefault="00436DF1" w:rsidP="00C6227F">
            <w:pPr>
              <w:keepNext/>
              <w:spacing w:before="48" w:after="30"/>
              <w:jc w:val="right"/>
            </w:pPr>
            <w:r>
              <w:rPr>
                <w:rFonts w:ascii="Calibri" w:eastAsia="Calibri" w:hAnsi="Calibri" w:cs="Calibri"/>
                <w:b/>
                <w:color w:val="000000"/>
                <w:sz w:val="21"/>
              </w:rPr>
              <w:t>72.291</w:t>
            </w:r>
          </w:p>
        </w:tc>
      </w:tr>
      <w:tr w:rsidR="00436DF1" w14:paraId="7D3D2BBD" w14:textId="77777777" w:rsidTr="00C6227F">
        <w:trPr>
          <w:cantSplit/>
          <w:trHeight w:hRule="exact" w:val="300"/>
        </w:trPr>
        <w:tc>
          <w:tcPr>
            <w:tcW w:w="5700" w:type="dxa"/>
            <w:tcBorders>
              <w:top w:val="single" w:sz="2" w:space="0" w:color="000000"/>
              <w:left w:val="nil"/>
              <w:bottom w:val="nil"/>
              <w:right w:val="nil"/>
            </w:tcBorders>
            <w:shd w:val="clear" w:color="auto" w:fill="FFFFFF"/>
            <w:tcMar>
              <w:top w:w="0" w:type="dxa"/>
              <w:left w:w="53" w:type="dxa"/>
              <w:bottom w:w="0" w:type="dxa"/>
              <w:right w:w="53" w:type="dxa"/>
            </w:tcMar>
            <w:vAlign w:val="center"/>
          </w:tcPr>
          <w:p w14:paraId="61CC7F6B" w14:textId="77777777" w:rsidR="00436DF1" w:rsidRDefault="00436DF1" w:rsidP="00C6227F">
            <w:pPr>
              <w:keepNext/>
              <w:spacing w:line="210" w:lineRule="exact"/>
            </w:pPr>
            <w:r>
              <w:rPr>
                <w:rFonts w:ascii="Calibri" w:eastAsia="Calibri" w:hAnsi="Calibri" w:cs="Calibri"/>
                <w:color w:val="000000"/>
                <w:sz w:val="21"/>
              </w:rPr>
              <w:t>Αποσβέσεις ενσώματων και ασώματων ακινητοποιήσεων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D411F68" w14:textId="77777777" w:rsidR="00436DF1" w:rsidRDefault="00436DF1" w:rsidP="00C6227F">
            <w:pPr>
              <w:keepNext/>
            </w:pPr>
          </w:p>
        </w:tc>
        <w:tc>
          <w:tcPr>
            <w:tcW w:w="1560" w:type="dxa"/>
            <w:tcBorders>
              <w:top w:val="single" w:sz="2" w:space="0" w:color="000000"/>
              <w:left w:val="nil"/>
              <w:bottom w:val="nil"/>
              <w:right w:val="nil"/>
            </w:tcBorders>
            <w:shd w:val="clear" w:color="auto" w:fill="DDDDDD"/>
            <w:tcMar>
              <w:top w:w="0" w:type="dxa"/>
              <w:left w:w="0" w:type="dxa"/>
              <w:bottom w:w="0" w:type="dxa"/>
              <w:right w:w="53" w:type="dxa"/>
            </w:tcMar>
            <w:vAlign w:val="bottom"/>
          </w:tcPr>
          <w:p w14:paraId="465EDC6E" w14:textId="77777777" w:rsidR="00436DF1" w:rsidRDefault="00436DF1" w:rsidP="00C6227F">
            <w:pPr>
              <w:keepNext/>
              <w:spacing w:before="48" w:after="30"/>
              <w:jc w:val="right"/>
            </w:pPr>
            <w:r>
              <w:rPr>
                <w:rFonts w:ascii="Calibri" w:eastAsia="Calibri" w:hAnsi="Calibri" w:cs="Calibri"/>
                <w:color w:val="000000"/>
                <w:sz w:val="21"/>
              </w:rPr>
              <w:t>42.793</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03B4758" w14:textId="77777777" w:rsidR="00436DF1" w:rsidRDefault="00436DF1" w:rsidP="00C6227F">
            <w:pPr>
              <w:keepNext/>
            </w:pPr>
          </w:p>
        </w:tc>
        <w:tc>
          <w:tcPr>
            <w:tcW w:w="1560" w:type="dxa"/>
            <w:tcBorders>
              <w:top w:val="single" w:sz="2" w:space="0" w:color="000000"/>
              <w:left w:val="nil"/>
              <w:bottom w:val="nil"/>
              <w:right w:val="nil"/>
            </w:tcBorders>
            <w:shd w:val="clear" w:color="auto" w:fill="FFFFFF"/>
            <w:tcMar>
              <w:top w:w="0" w:type="dxa"/>
              <w:left w:w="0" w:type="dxa"/>
              <w:bottom w:w="0" w:type="dxa"/>
              <w:right w:w="53" w:type="dxa"/>
            </w:tcMar>
            <w:vAlign w:val="bottom"/>
          </w:tcPr>
          <w:p w14:paraId="3D2CDD93" w14:textId="77777777" w:rsidR="00436DF1" w:rsidRDefault="00436DF1" w:rsidP="00C6227F">
            <w:pPr>
              <w:keepNext/>
              <w:spacing w:before="48" w:after="30"/>
              <w:jc w:val="right"/>
            </w:pPr>
            <w:r>
              <w:rPr>
                <w:rFonts w:ascii="Calibri" w:eastAsia="Calibri" w:hAnsi="Calibri" w:cs="Calibri"/>
                <w:color w:val="000000"/>
                <w:sz w:val="21"/>
              </w:rPr>
              <w:t>37.488</w:t>
            </w:r>
          </w:p>
        </w:tc>
      </w:tr>
      <w:tr w:rsidR="00436DF1" w14:paraId="1E353A21" w14:textId="77777777" w:rsidTr="00C6227F">
        <w:trPr>
          <w:cantSplit/>
          <w:trHeight w:hRule="exact" w:val="525"/>
        </w:trPr>
        <w:tc>
          <w:tcPr>
            <w:tcW w:w="5700" w:type="dxa"/>
            <w:tcBorders>
              <w:top w:val="single" w:sz="2" w:space="0" w:color="000000"/>
              <w:left w:val="nil"/>
              <w:bottom w:val="single" w:sz="8" w:space="0" w:color="4F81BD"/>
              <w:right w:val="nil"/>
            </w:tcBorders>
            <w:shd w:val="clear" w:color="auto" w:fill="FFFFFF"/>
            <w:tcMar>
              <w:top w:w="0" w:type="dxa"/>
              <w:left w:w="53" w:type="dxa"/>
              <w:bottom w:w="0" w:type="dxa"/>
              <w:right w:w="53" w:type="dxa"/>
            </w:tcMar>
            <w:vAlign w:val="bottom"/>
          </w:tcPr>
          <w:p w14:paraId="2EC3DB9C" w14:textId="77777777" w:rsidR="00436DF1" w:rsidRDefault="00436DF1" w:rsidP="00C6227F">
            <w:pPr>
              <w:spacing w:before="48" w:after="30" w:line="210" w:lineRule="exact"/>
            </w:pPr>
            <w:r>
              <w:rPr>
                <w:rFonts w:ascii="Calibri" w:eastAsia="Calibri" w:hAnsi="Calibri" w:cs="Calibri"/>
                <w:b/>
                <w:color w:val="000000"/>
                <w:sz w:val="21"/>
              </w:rPr>
              <w:t>Κέρδη προ φόρων, χρηματοδοτικών, επενδυτικών αποτελεσμάτων, αποσβέσεων και απομειώσεων (EBITDA)</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ACCC385" w14:textId="77777777" w:rsidR="00436DF1" w:rsidRDefault="00436DF1" w:rsidP="00C6227F"/>
        </w:tc>
        <w:tc>
          <w:tcPr>
            <w:tcW w:w="1560" w:type="dxa"/>
            <w:tcBorders>
              <w:top w:val="single" w:sz="2" w:space="0" w:color="000000"/>
              <w:left w:val="nil"/>
              <w:bottom w:val="single" w:sz="8" w:space="0" w:color="4F81BD"/>
              <w:right w:val="nil"/>
            </w:tcBorders>
            <w:shd w:val="clear" w:color="auto" w:fill="DDDDDD"/>
            <w:tcMar>
              <w:top w:w="0" w:type="dxa"/>
              <w:left w:w="0" w:type="dxa"/>
              <w:bottom w:w="0" w:type="dxa"/>
              <w:right w:w="53" w:type="dxa"/>
            </w:tcMar>
            <w:vAlign w:val="bottom"/>
          </w:tcPr>
          <w:p w14:paraId="0C75829C" w14:textId="77777777" w:rsidR="00436DF1" w:rsidRDefault="00436DF1" w:rsidP="00C6227F">
            <w:pPr>
              <w:spacing w:before="48" w:after="30"/>
              <w:jc w:val="right"/>
            </w:pPr>
            <w:r>
              <w:rPr>
                <w:rFonts w:ascii="Calibri" w:eastAsia="Calibri" w:hAnsi="Calibri" w:cs="Calibri"/>
                <w:b/>
                <w:color w:val="000000"/>
                <w:sz w:val="21"/>
              </w:rPr>
              <w:t>122.595</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320647B" w14:textId="77777777" w:rsidR="00436DF1" w:rsidRDefault="00436DF1" w:rsidP="00C6227F"/>
        </w:tc>
        <w:tc>
          <w:tcPr>
            <w:tcW w:w="1560" w:type="dxa"/>
            <w:tcBorders>
              <w:top w:val="single" w:sz="2" w:space="0" w:color="000000"/>
              <w:left w:val="nil"/>
              <w:bottom w:val="single" w:sz="8" w:space="0" w:color="4F81BD"/>
              <w:right w:val="nil"/>
            </w:tcBorders>
            <w:shd w:val="clear" w:color="auto" w:fill="FFFFFF"/>
            <w:tcMar>
              <w:top w:w="0" w:type="dxa"/>
              <w:left w:w="0" w:type="dxa"/>
              <w:bottom w:w="0" w:type="dxa"/>
              <w:right w:w="53" w:type="dxa"/>
            </w:tcMar>
            <w:vAlign w:val="bottom"/>
          </w:tcPr>
          <w:p w14:paraId="5CBB72F0" w14:textId="77777777" w:rsidR="00436DF1" w:rsidRDefault="00436DF1" w:rsidP="00C6227F">
            <w:pPr>
              <w:spacing w:before="48" w:after="30"/>
              <w:jc w:val="right"/>
            </w:pPr>
            <w:r>
              <w:rPr>
                <w:rFonts w:ascii="Calibri" w:eastAsia="Calibri" w:hAnsi="Calibri" w:cs="Calibri"/>
                <w:b/>
                <w:color w:val="000000"/>
                <w:sz w:val="21"/>
              </w:rPr>
              <w:t>109.779</w:t>
            </w:r>
          </w:p>
        </w:tc>
      </w:tr>
    </w:tbl>
    <w:p w14:paraId="7B03CEC3" w14:textId="77777777" w:rsidR="00436DF1" w:rsidRDefault="00436DF1" w:rsidP="00436DF1">
      <w:pPr>
        <w:spacing w:line="288" w:lineRule="auto"/>
        <w:rPr>
          <w:sz w:val="2"/>
        </w:rPr>
      </w:pPr>
    </w:p>
    <w:p w14:paraId="04DCC351" w14:textId="77777777" w:rsidR="00436DF1" w:rsidRDefault="00436DF1" w:rsidP="00AA4C96">
      <w:pPr>
        <w:pStyle w:val="Copy"/>
        <w:jc w:val="both"/>
        <w:rPr>
          <w:rFonts w:eastAsia="Times New Roman"/>
          <w:color w:val="21286C"/>
          <w:sz w:val="18"/>
          <w:szCs w:val="18"/>
          <w:lang w:val="en-US"/>
        </w:rPr>
      </w:pPr>
    </w:p>
    <w:p w14:paraId="6ACA052B" w14:textId="77777777" w:rsidR="00436DF1" w:rsidRDefault="00436DF1" w:rsidP="00AA4C96">
      <w:pPr>
        <w:pStyle w:val="Copy"/>
        <w:jc w:val="both"/>
        <w:rPr>
          <w:rFonts w:eastAsia="Times New Roman"/>
          <w:color w:val="21286C"/>
          <w:sz w:val="18"/>
          <w:szCs w:val="18"/>
          <w:lang w:val="en-US"/>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5"/>
        <w:gridCol w:w="90"/>
        <w:gridCol w:w="1560"/>
        <w:gridCol w:w="90"/>
        <w:gridCol w:w="1560"/>
      </w:tblGrid>
      <w:tr w:rsidR="00B7683E" w14:paraId="635880A8" w14:textId="77777777" w:rsidTr="00C6227F">
        <w:trPr>
          <w:cantSplit/>
          <w:trHeight w:hRule="exact" w:val="645"/>
        </w:trPr>
        <w:tc>
          <w:tcPr>
            <w:tcW w:w="8985" w:type="dxa"/>
            <w:gridSpan w:val="5"/>
            <w:tcBorders>
              <w:top w:val="nil"/>
              <w:left w:val="nil"/>
              <w:bottom w:val="single" w:sz="8" w:space="0" w:color="000000"/>
              <w:right w:val="nil"/>
            </w:tcBorders>
            <w:shd w:val="clear" w:color="auto" w:fill="FFFFFF"/>
            <w:tcMar>
              <w:top w:w="0" w:type="dxa"/>
              <w:left w:w="53" w:type="dxa"/>
              <w:bottom w:w="0" w:type="dxa"/>
              <w:right w:w="53" w:type="dxa"/>
            </w:tcMar>
            <w:vAlign w:val="bottom"/>
          </w:tcPr>
          <w:p w14:paraId="0F8E5B7D" w14:textId="77777777" w:rsidR="00B7683E" w:rsidRDefault="00B7683E" w:rsidP="00C6227F">
            <w:pPr>
              <w:keepNext/>
              <w:spacing w:before="53" w:after="30" w:line="280" w:lineRule="exact"/>
            </w:pPr>
            <w:r>
              <w:rPr>
                <w:rFonts w:ascii="Calibri" w:eastAsia="Calibri" w:hAnsi="Calibri" w:cs="Calibri"/>
                <w:b/>
                <w:color w:val="00183D"/>
                <w:sz w:val="28"/>
              </w:rPr>
              <w:lastRenderedPageBreak/>
              <w:t xml:space="preserve">Σύνοψη Ενδιάμεσης Ενοποιημένης Κατάστασης Χρηματοοικονομικής Θέσης </w:t>
            </w:r>
          </w:p>
        </w:tc>
      </w:tr>
      <w:tr w:rsidR="00B7683E" w14:paraId="48F4F305" w14:textId="77777777" w:rsidTr="00C6227F">
        <w:trPr>
          <w:cantSplit/>
          <w:trHeight w:hRule="exact" w:val="165"/>
        </w:trPr>
        <w:tc>
          <w:tcPr>
            <w:tcW w:w="5685" w:type="dxa"/>
            <w:tcBorders>
              <w:top w:val="nil"/>
              <w:left w:val="nil"/>
              <w:bottom w:val="single" w:sz="8" w:space="0" w:color="4F81BD"/>
              <w:right w:val="nil"/>
            </w:tcBorders>
            <w:shd w:val="clear" w:color="auto" w:fill="FFFFFF"/>
            <w:tcMar>
              <w:top w:w="0" w:type="dxa"/>
              <w:left w:w="0" w:type="dxa"/>
              <w:bottom w:w="0" w:type="dxa"/>
              <w:right w:w="0" w:type="dxa"/>
            </w:tcMar>
            <w:vAlign w:val="bottom"/>
          </w:tcPr>
          <w:p w14:paraId="554C9A5A" w14:textId="77777777" w:rsidR="00B7683E" w:rsidRDefault="00B7683E" w:rsidP="00C6227F">
            <w:pPr>
              <w:keepNext/>
            </w:pPr>
          </w:p>
        </w:tc>
        <w:tc>
          <w:tcPr>
            <w:tcW w:w="9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6CA490E" w14:textId="77777777" w:rsidR="00B7683E" w:rsidRDefault="00B7683E" w:rsidP="00C6227F">
            <w:pPr>
              <w:keepNext/>
            </w:pPr>
          </w:p>
        </w:tc>
        <w:tc>
          <w:tcPr>
            <w:tcW w:w="1560" w:type="dxa"/>
            <w:tcBorders>
              <w:top w:val="single" w:sz="8" w:space="0" w:color="000000"/>
              <w:left w:val="nil"/>
              <w:bottom w:val="single" w:sz="8" w:space="0" w:color="4F81BD"/>
              <w:right w:val="nil"/>
            </w:tcBorders>
            <w:shd w:val="clear" w:color="auto" w:fill="FFFFFF"/>
            <w:tcMar>
              <w:top w:w="0" w:type="dxa"/>
              <w:left w:w="0" w:type="dxa"/>
              <w:bottom w:w="0" w:type="dxa"/>
              <w:right w:w="0" w:type="dxa"/>
            </w:tcMar>
            <w:vAlign w:val="bottom"/>
          </w:tcPr>
          <w:p w14:paraId="4961A089" w14:textId="77777777" w:rsidR="00B7683E" w:rsidRDefault="00B7683E" w:rsidP="00C6227F">
            <w:pPr>
              <w:keepNext/>
            </w:pPr>
          </w:p>
        </w:tc>
        <w:tc>
          <w:tcPr>
            <w:tcW w:w="90" w:type="dxa"/>
            <w:tcBorders>
              <w:top w:val="single" w:sz="8" w:space="0" w:color="000000"/>
              <w:left w:val="nil"/>
              <w:bottom w:val="single" w:sz="8" w:space="0" w:color="4F81BD"/>
              <w:right w:val="nil"/>
            </w:tcBorders>
            <w:shd w:val="clear" w:color="auto" w:fill="FFFFFF"/>
            <w:tcMar>
              <w:top w:w="0" w:type="dxa"/>
              <w:left w:w="0" w:type="dxa"/>
              <w:bottom w:w="0" w:type="dxa"/>
              <w:right w:w="0" w:type="dxa"/>
            </w:tcMar>
            <w:vAlign w:val="bottom"/>
          </w:tcPr>
          <w:p w14:paraId="41588AC0" w14:textId="77777777" w:rsidR="00B7683E" w:rsidRDefault="00B7683E" w:rsidP="00C6227F">
            <w:pPr>
              <w:keepNext/>
            </w:pPr>
          </w:p>
        </w:tc>
        <w:tc>
          <w:tcPr>
            <w:tcW w:w="1560" w:type="dxa"/>
            <w:tcBorders>
              <w:top w:val="single" w:sz="8" w:space="0" w:color="000000"/>
              <w:left w:val="nil"/>
              <w:bottom w:val="single" w:sz="8" w:space="0" w:color="4F81BD"/>
              <w:right w:val="nil"/>
            </w:tcBorders>
            <w:shd w:val="clear" w:color="auto" w:fill="FFFFFF"/>
            <w:tcMar>
              <w:top w:w="0" w:type="dxa"/>
              <w:left w:w="0" w:type="dxa"/>
              <w:bottom w:w="0" w:type="dxa"/>
              <w:right w:w="0" w:type="dxa"/>
            </w:tcMar>
            <w:vAlign w:val="bottom"/>
          </w:tcPr>
          <w:p w14:paraId="7CCFBF90" w14:textId="77777777" w:rsidR="00B7683E" w:rsidRDefault="00B7683E" w:rsidP="00C6227F">
            <w:pPr>
              <w:keepNext/>
            </w:pPr>
          </w:p>
        </w:tc>
      </w:tr>
      <w:tr w:rsidR="00B7683E" w14:paraId="12960DED" w14:textId="77777777" w:rsidTr="00C6227F">
        <w:trPr>
          <w:cantSplit/>
          <w:trHeight w:hRule="exact" w:val="300"/>
        </w:trPr>
        <w:tc>
          <w:tcPr>
            <w:tcW w:w="5685" w:type="dxa"/>
            <w:tcBorders>
              <w:top w:val="single" w:sz="8" w:space="0" w:color="4F81BD"/>
              <w:left w:val="nil"/>
              <w:bottom w:val="nil"/>
              <w:right w:val="nil"/>
            </w:tcBorders>
            <w:shd w:val="clear" w:color="auto" w:fill="FFFFFF"/>
            <w:tcMar>
              <w:top w:w="0" w:type="dxa"/>
              <w:left w:w="53" w:type="dxa"/>
              <w:bottom w:w="0" w:type="dxa"/>
              <w:right w:w="53" w:type="dxa"/>
            </w:tcMar>
            <w:vAlign w:val="center"/>
          </w:tcPr>
          <w:p w14:paraId="781BDC75" w14:textId="77777777" w:rsidR="00B7683E" w:rsidRDefault="00B7683E" w:rsidP="00C6227F">
            <w:pPr>
              <w:keepNext/>
              <w:spacing w:line="180" w:lineRule="exact"/>
            </w:pPr>
            <w:r>
              <w:rPr>
                <w:rFonts w:ascii="Calibri" w:eastAsia="Calibri" w:hAnsi="Calibri" w:cs="Calibri"/>
                <w:i/>
                <w:color w:val="000000"/>
                <w:sz w:val="18"/>
              </w:rPr>
              <w:t>(ποσά σε χιλιάδες €)</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FE565F2" w14:textId="77777777" w:rsidR="00B7683E" w:rsidRDefault="00B7683E" w:rsidP="00C6227F">
            <w:pPr>
              <w:keepNext/>
            </w:pPr>
          </w:p>
        </w:tc>
        <w:tc>
          <w:tcPr>
            <w:tcW w:w="1560" w:type="dxa"/>
            <w:tcBorders>
              <w:top w:val="single" w:sz="8" w:space="0" w:color="4F81BD"/>
              <w:left w:val="nil"/>
              <w:bottom w:val="nil"/>
              <w:right w:val="nil"/>
            </w:tcBorders>
            <w:shd w:val="clear" w:color="auto" w:fill="DBDBDB"/>
            <w:tcMar>
              <w:top w:w="0" w:type="dxa"/>
              <w:left w:w="0" w:type="dxa"/>
              <w:bottom w:w="0" w:type="dxa"/>
              <w:right w:w="53" w:type="dxa"/>
            </w:tcMar>
            <w:vAlign w:val="bottom"/>
          </w:tcPr>
          <w:p w14:paraId="7E84CF0D" w14:textId="77777777" w:rsidR="00B7683E" w:rsidRDefault="00B7683E" w:rsidP="00C6227F">
            <w:pPr>
              <w:keepNext/>
              <w:spacing w:before="33" w:after="30"/>
              <w:jc w:val="right"/>
            </w:pPr>
            <w:r>
              <w:rPr>
                <w:rFonts w:ascii="Calibri" w:eastAsia="Calibri" w:hAnsi="Calibri" w:cs="Calibri"/>
                <w:b/>
                <w:color w:val="000000"/>
                <w:sz w:val="21"/>
              </w:rPr>
              <w:t>31/3/2025</w:t>
            </w:r>
          </w:p>
        </w:tc>
        <w:tc>
          <w:tcPr>
            <w:tcW w:w="9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48081345" w14:textId="77777777" w:rsidR="00B7683E" w:rsidRDefault="00B7683E" w:rsidP="00C6227F">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53" w:type="dxa"/>
            </w:tcMar>
            <w:vAlign w:val="bottom"/>
          </w:tcPr>
          <w:p w14:paraId="78D8071E" w14:textId="77777777" w:rsidR="00B7683E" w:rsidRDefault="00B7683E" w:rsidP="00C6227F">
            <w:pPr>
              <w:keepNext/>
              <w:spacing w:before="33" w:after="30"/>
              <w:jc w:val="right"/>
            </w:pPr>
            <w:r>
              <w:rPr>
                <w:rFonts w:ascii="Calibri" w:eastAsia="Calibri" w:hAnsi="Calibri" w:cs="Calibri"/>
                <w:b/>
                <w:color w:val="000000"/>
                <w:sz w:val="21"/>
              </w:rPr>
              <w:t>31/12/2024</w:t>
            </w:r>
          </w:p>
        </w:tc>
      </w:tr>
      <w:tr w:rsidR="00B7683E" w14:paraId="721FF279" w14:textId="77777777" w:rsidTr="00C6227F">
        <w:trPr>
          <w:cantSplit/>
          <w:trHeight w:hRule="exact" w:val="300"/>
        </w:trPr>
        <w:tc>
          <w:tcPr>
            <w:tcW w:w="5685" w:type="dxa"/>
            <w:tcBorders>
              <w:top w:val="nil"/>
              <w:left w:val="nil"/>
              <w:bottom w:val="nil"/>
              <w:right w:val="nil"/>
            </w:tcBorders>
            <w:shd w:val="clear" w:color="auto" w:fill="FFFFFF"/>
            <w:tcMar>
              <w:top w:w="0" w:type="dxa"/>
              <w:left w:w="0" w:type="dxa"/>
              <w:bottom w:w="0" w:type="dxa"/>
              <w:right w:w="0" w:type="dxa"/>
            </w:tcMar>
            <w:vAlign w:val="bottom"/>
          </w:tcPr>
          <w:p w14:paraId="21A0F2AC"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68A8574" w14:textId="77777777" w:rsidR="00B7683E" w:rsidRDefault="00B7683E" w:rsidP="00C6227F">
            <w:pPr>
              <w:keepNext/>
            </w:pPr>
          </w:p>
        </w:tc>
        <w:tc>
          <w:tcPr>
            <w:tcW w:w="15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B2E8C3A"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3C68C26" w14:textId="77777777" w:rsidR="00B7683E" w:rsidRDefault="00B7683E" w:rsidP="00C6227F">
            <w:pPr>
              <w:keepNext/>
            </w:pPr>
          </w:p>
        </w:tc>
        <w:tc>
          <w:tcPr>
            <w:tcW w:w="15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2FB6A0B" w14:textId="77777777" w:rsidR="00B7683E" w:rsidRDefault="00B7683E" w:rsidP="00C6227F">
            <w:pPr>
              <w:keepNext/>
            </w:pPr>
          </w:p>
        </w:tc>
      </w:tr>
      <w:tr w:rsidR="00B7683E" w14:paraId="45A4EDB9" w14:textId="77777777" w:rsidTr="00C6227F">
        <w:trPr>
          <w:cantSplit/>
          <w:trHeight w:hRule="exact" w:val="300"/>
        </w:trPr>
        <w:tc>
          <w:tcPr>
            <w:tcW w:w="5685" w:type="dxa"/>
            <w:tcBorders>
              <w:top w:val="nil"/>
              <w:left w:val="nil"/>
              <w:bottom w:val="single" w:sz="8" w:space="0" w:color="4F81BD"/>
              <w:right w:val="nil"/>
            </w:tcBorders>
            <w:shd w:val="clear" w:color="auto" w:fill="FFFFFF"/>
            <w:tcMar>
              <w:top w:w="0" w:type="dxa"/>
              <w:left w:w="53" w:type="dxa"/>
              <w:bottom w:w="0" w:type="dxa"/>
              <w:right w:w="53" w:type="dxa"/>
            </w:tcMar>
            <w:vAlign w:val="bottom"/>
          </w:tcPr>
          <w:p w14:paraId="4EA5FAED" w14:textId="77777777" w:rsidR="00B7683E" w:rsidRDefault="00B7683E" w:rsidP="00C6227F">
            <w:pPr>
              <w:keepNext/>
              <w:spacing w:before="53" w:after="30" w:line="240" w:lineRule="exact"/>
            </w:pPr>
            <w:r>
              <w:rPr>
                <w:rFonts w:ascii="Calibri" w:eastAsia="Calibri" w:hAnsi="Calibri" w:cs="Calibri"/>
                <w:b/>
                <w:color w:val="4F81BD"/>
              </w:rPr>
              <w:t>Ενεργητικό</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0983063" w14:textId="77777777" w:rsidR="00B7683E" w:rsidRDefault="00B7683E" w:rsidP="00C6227F">
            <w:pPr>
              <w:keepNext/>
            </w:pPr>
          </w:p>
        </w:tc>
        <w:tc>
          <w:tcPr>
            <w:tcW w:w="1560" w:type="dxa"/>
            <w:tcBorders>
              <w:top w:val="nil"/>
              <w:left w:val="nil"/>
              <w:bottom w:val="single" w:sz="8" w:space="0" w:color="4F81BD"/>
              <w:right w:val="nil"/>
            </w:tcBorders>
            <w:shd w:val="clear" w:color="auto" w:fill="FFFFFF"/>
            <w:tcMar>
              <w:top w:w="0" w:type="dxa"/>
              <w:left w:w="0" w:type="dxa"/>
              <w:bottom w:w="0" w:type="dxa"/>
              <w:right w:w="0" w:type="dxa"/>
            </w:tcMar>
            <w:vAlign w:val="bottom"/>
          </w:tcPr>
          <w:p w14:paraId="79851B15"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26CDBA9" w14:textId="77777777" w:rsidR="00B7683E" w:rsidRDefault="00B7683E" w:rsidP="00C6227F">
            <w:pPr>
              <w:keepNext/>
            </w:pPr>
          </w:p>
        </w:tc>
        <w:tc>
          <w:tcPr>
            <w:tcW w:w="1560" w:type="dxa"/>
            <w:tcBorders>
              <w:top w:val="nil"/>
              <w:left w:val="nil"/>
              <w:bottom w:val="single" w:sz="8" w:space="0" w:color="4F81BD"/>
              <w:right w:val="nil"/>
            </w:tcBorders>
            <w:shd w:val="clear" w:color="auto" w:fill="FFFFFF"/>
            <w:tcMar>
              <w:top w:w="0" w:type="dxa"/>
              <w:left w:w="0" w:type="dxa"/>
              <w:bottom w:w="0" w:type="dxa"/>
              <w:right w:w="0" w:type="dxa"/>
            </w:tcMar>
            <w:vAlign w:val="bottom"/>
          </w:tcPr>
          <w:p w14:paraId="25338C95" w14:textId="77777777" w:rsidR="00B7683E" w:rsidRDefault="00B7683E" w:rsidP="00C6227F">
            <w:pPr>
              <w:keepNext/>
            </w:pPr>
          </w:p>
        </w:tc>
      </w:tr>
      <w:tr w:rsidR="00B7683E" w14:paraId="6FF5C382" w14:textId="77777777" w:rsidTr="00C6227F">
        <w:trPr>
          <w:cantSplit/>
          <w:trHeight w:hRule="exact" w:val="300"/>
        </w:trPr>
        <w:tc>
          <w:tcPr>
            <w:tcW w:w="5685" w:type="dxa"/>
            <w:tcBorders>
              <w:top w:val="single" w:sz="8" w:space="0" w:color="4F81BD"/>
              <w:left w:val="nil"/>
              <w:bottom w:val="single" w:sz="2" w:space="0" w:color="000000"/>
              <w:right w:val="nil"/>
            </w:tcBorders>
            <w:shd w:val="clear" w:color="auto" w:fill="FFFFFF"/>
            <w:tcMar>
              <w:top w:w="0" w:type="dxa"/>
              <w:left w:w="53" w:type="dxa"/>
              <w:bottom w:w="0" w:type="dxa"/>
              <w:right w:w="53" w:type="dxa"/>
            </w:tcMar>
            <w:vAlign w:val="bottom"/>
          </w:tcPr>
          <w:p w14:paraId="6340A886" w14:textId="77777777" w:rsidR="00B7683E" w:rsidRDefault="00B7683E" w:rsidP="00C6227F">
            <w:pPr>
              <w:keepNext/>
              <w:spacing w:before="33" w:after="30" w:line="210" w:lineRule="exact"/>
            </w:pPr>
            <w:r>
              <w:rPr>
                <w:rFonts w:ascii="Calibri" w:eastAsia="Calibri" w:hAnsi="Calibri" w:cs="Calibri"/>
                <w:color w:val="000000"/>
                <w:sz w:val="21"/>
              </w:rPr>
              <w:t>Ενσώματες, ασώματες ακινητοποιήσεις και υπεραξία</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28E001C" w14:textId="77777777" w:rsidR="00B7683E" w:rsidRDefault="00B7683E" w:rsidP="00C6227F">
            <w:pPr>
              <w:keepNext/>
            </w:pPr>
          </w:p>
        </w:tc>
        <w:tc>
          <w:tcPr>
            <w:tcW w:w="1560" w:type="dxa"/>
            <w:tcBorders>
              <w:top w:val="single" w:sz="8" w:space="0" w:color="4F81BD"/>
              <w:left w:val="nil"/>
              <w:bottom w:val="single" w:sz="2" w:space="0" w:color="000000"/>
              <w:right w:val="nil"/>
            </w:tcBorders>
            <w:shd w:val="clear" w:color="auto" w:fill="DDDDDD"/>
            <w:tcMar>
              <w:top w:w="0" w:type="dxa"/>
              <w:left w:w="0" w:type="dxa"/>
              <w:bottom w:w="0" w:type="dxa"/>
              <w:right w:w="53" w:type="dxa"/>
            </w:tcMar>
            <w:vAlign w:val="bottom"/>
          </w:tcPr>
          <w:p w14:paraId="5CA70D6F" w14:textId="77777777" w:rsidR="00B7683E" w:rsidRDefault="00B7683E" w:rsidP="00C6227F">
            <w:pPr>
              <w:keepNext/>
              <w:spacing w:before="33" w:after="30"/>
              <w:jc w:val="right"/>
            </w:pPr>
            <w:r>
              <w:rPr>
                <w:rFonts w:ascii="Calibri" w:eastAsia="Calibri" w:hAnsi="Calibri" w:cs="Calibri"/>
                <w:color w:val="000000"/>
                <w:sz w:val="21"/>
              </w:rPr>
              <w:t>2.154.688</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FBB3E4F" w14:textId="77777777" w:rsidR="00B7683E" w:rsidRDefault="00B7683E" w:rsidP="00C6227F">
            <w:pPr>
              <w:keepNext/>
            </w:pPr>
          </w:p>
        </w:tc>
        <w:tc>
          <w:tcPr>
            <w:tcW w:w="1560" w:type="dxa"/>
            <w:tcBorders>
              <w:top w:val="single" w:sz="8" w:space="0" w:color="4F81BD"/>
              <w:left w:val="nil"/>
              <w:bottom w:val="single" w:sz="2" w:space="0" w:color="000000"/>
              <w:right w:val="nil"/>
            </w:tcBorders>
            <w:shd w:val="clear" w:color="auto" w:fill="FFFFFF"/>
            <w:tcMar>
              <w:top w:w="0" w:type="dxa"/>
              <w:left w:w="0" w:type="dxa"/>
              <w:bottom w:w="0" w:type="dxa"/>
              <w:right w:w="53" w:type="dxa"/>
            </w:tcMar>
            <w:vAlign w:val="bottom"/>
          </w:tcPr>
          <w:p w14:paraId="1D520E28" w14:textId="77777777" w:rsidR="00B7683E" w:rsidRDefault="00B7683E" w:rsidP="00C6227F">
            <w:pPr>
              <w:keepNext/>
              <w:spacing w:before="33" w:after="30"/>
              <w:jc w:val="right"/>
            </w:pPr>
            <w:r>
              <w:rPr>
                <w:rFonts w:ascii="Calibri" w:eastAsia="Calibri" w:hAnsi="Calibri" w:cs="Calibri"/>
                <w:color w:val="000000"/>
                <w:sz w:val="21"/>
              </w:rPr>
              <w:t>2.195.902</w:t>
            </w:r>
          </w:p>
        </w:tc>
      </w:tr>
      <w:tr w:rsidR="00B7683E" w14:paraId="02C3D5EA"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425A4E28" w14:textId="77777777" w:rsidR="00B7683E" w:rsidRDefault="00B7683E" w:rsidP="00C6227F">
            <w:pPr>
              <w:keepNext/>
              <w:spacing w:before="48" w:after="30" w:line="210" w:lineRule="exact"/>
            </w:pPr>
            <w:r>
              <w:rPr>
                <w:rFonts w:ascii="Calibri" w:eastAsia="Calibri" w:hAnsi="Calibri" w:cs="Calibri"/>
                <w:color w:val="000000"/>
                <w:sz w:val="21"/>
              </w:rPr>
              <w:t xml:space="preserve">Λοιπά μη </w:t>
            </w:r>
            <w:proofErr w:type="spellStart"/>
            <w:r>
              <w:rPr>
                <w:rFonts w:ascii="Calibri" w:eastAsia="Calibri" w:hAnsi="Calibri" w:cs="Calibri"/>
                <w:color w:val="000000"/>
                <w:sz w:val="21"/>
              </w:rPr>
              <w:t>κυκλοφορούντα</w:t>
            </w:r>
            <w:proofErr w:type="spellEnd"/>
            <w:r>
              <w:rPr>
                <w:rFonts w:ascii="Calibri" w:eastAsia="Calibri" w:hAnsi="Calibri" w:cs="Calibri"/>
                <w:color w:val="000000"/>
                <w:sz w:val="21"/>
              </w:rPr>
              <w:t xml:space="preserve"> περιουσιακά στοιχεία</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D753F28"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3604A737" w14:textId="77777777" w:rsidR="00B7683E" w:rsidRDefault="00B7683E" w:rsidP="00C6227F">
            <w:pPr>
              <w:keepNext/>
              <w:spacing w:before="48" w:after="30"/>
              <w:jc w:val="right"/>
            </w:pPr>
            <w:r>
              <w:rPr>
                <w:rFonts w:ascii="Calibri" w:eastAsia="Calibri" w:hAnsi="Calibri" w:cs="Calibri"/>
                <w:color w:val="000000"/>
                <w:sz w:val="21"/>
              </w:rPr>
              <w:t>138.073</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B8FBFF8"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04C488E1" w14:textId="77777777" w:rsidR="00B7683E" w:rsidRDefault="00B7683E" w:rsidP="00C6227F">
            <w:pPr>
              <w:keepNext/>
              <w:spacing w:before="48" w:after="30"/>
              <w:jc w:val="right"/>
            </w:pPr>
            <w:r>
              <w:rPr>
                <w:rFonts w:ascii="Calibri" w:eastAsia="Calibri" w:hAnsi="Calibri" w:cs="Calibri"/>
                <w:color w:val="000000"/>
                <w:sz w:val="21"/>
              </w:rPr>
              <w:t>136.142</w:t>
            </w:r>
          </w:p>
        </w:tc>
      </w:tr>
      <w:tr w:rsidR="00B7683E" w14:paraId="5F91A36E"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2DF231FF" w14:textId="77777777" w:rsidR="00B7683E" w:rsidRDefault="00B7683E" w:rsidP="00C6227F">
            <w:pPr>
              <w:keepNext/>
              <w:spacing w:before="48" w:after="30" w:line="210" w:lineRule="exact"/>
            </w:pPr>
            <w:r>
              <w:rPr>
                <w:rFonts w:ascii="Calibri" w:eastAsia="Calibri" w:hAnsi="Calibri" w:cs="Calibri"/>
                <w:b/>
                <w:color w:val="000000"/>
                <w:sz w:val="21"/>
              </w:rPr>
              <w:t xml:space="preserve">Σύνολο μη </w:t>
            </w:r>
            <w:proofErr w:type="spellStart"/>
            <w:r>
              <w:rPr>
                <w:rFonts w:ascii="Calibri" w:eastAsia="Calibri" w:hAnsi="Calibri" w:cs="Calibri"/>
                <w:b/>
                <w:color w:val="000000"/>
                <w:sz w:val="21"/>
              </w:rPr>
              <w:t>κυκλοφορούντων</w:t>
            </w:r>
            <w:proofErr w:type="spellEnd"/>
            <w:r>
              <w:rPr>
                <w:rFonts w:ascii="Calibri" w:eastAsia="Calibri" w:hAnsi="Calibri" w:cs="Calibri"/>
                <w:b/>
                <w:color w:val="000000"/>
                <w:sz w:val="21"/>
              </w:rPr>
              <w:t xml:space="preserve"> περιουσιακών στοιχείων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F74E220"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0213B1FB" w14:textId="77777777" w:rsidR="00B7683E" w:rsidRDefault="00B7683E" w:rsidP="00C6227F">
            <w:pPr>
              <w:keepNext/>
              <w:spacing w:before="48" w:after="30"/>
              <w:jc w:val="right"/>
            </w:pPr>
            <w:r>
              <w:rPr>
                <w:rFonts w:ascii="Calibri" w:eastAsia="Calibri" w:hAnsi="Calibri" w:cs="Calibri"/>
                <w:b/>
                <w:color w:val="000000"/>
                <w:sz w:val="21"/>
              </w:rPr>
              <w:t>2.292.761</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89FA12E"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2EF747FE" w14:textId="77777777" w:rsidR="00B7683E" w:rsidRDefault="00B7683E" w:rsidP="00C6227F">
            <w:pPr>
              <w:keepNext/>
              <w:spacing w:before="48" w:after="30"/>
              <w:jc w:val="right"/>
            </w:pPr>
            <w:r>
              <w:rPr>
                <w:rFonts w:ascii="Calibri" w:eastAsia="Calibri" w:hAnsi="Calibri" w:cs="Calibri"/>
                <w:b/>
                <w:color w:val="000000"/>
                <w:sz w:val="21"/>
              </w:rPr>
              <w:t>2.332.044</w:t>
            </w:r>
          </w:p>
        </w:tc>
      </w:tr>
      <w:tr w:rsidR="00B7683E" w14:paraId="12B7DDB9"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713789BA"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AAB8B72"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22117D64"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4042B3D"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7EFB88B1" w14:textId="77777777" w:rsidR="00B7683E" w:rsidRDefault="00B7683E" w:rsidP="00C6227F">
            <w:pPr>
              <w:keepNext/>
            </w:pPr>
          </w:p>
        </w:tc>
      </w:tr>
      <w:tr w:rsidR="00B7683E" w14:paraId="3CD54327"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32C1B995" w14:textId="77777777" w:rsidR="00B7683E" w:rsidRDefault="00B7683E" w:rsidP="00C6227F">
            <w:pPr>
              <w:keepNext/>
              <w:spacing w:before="48" w:after="30" w:line="210" w:lineRule="exact"/>
            </w:pPr>
            <w:r>
              <w:rPr>
                <w:rFonts w:ascii="Calibri" w:eastAsia="Calibri" w:hAnsi="Calibri" w:cs="Calibri"/>
                <w:color w:val="000000"/>
                <w:sz w:val="21"/>
              </w:rPr>
              <w:t>Αποθέματα</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CF94585"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11ECE898" w14:textId="77777777" w:rsidR="00B7683E" w:rsidRDefault="00B7683E" w:rsidP="00C6227F">
            <w:pPr>
              <w:keepNext/>
              <w:spacing w:before="48" w:after="30"/>
              <w:jc w:val="right"/>
            </w:pPr>
            <w:r>
              <w:rPr>
                <w:rFonts w:ascii="Calibri" w:eastAsia="Calibri" w:hAnsi="Calibri" w:cs="Calibri"/>
                <w:color w:val="000000"/>
                <w:sz w:val="21"/>
              </w:rPr>
              <w:t>435.652</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8A3CA90"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4E9ECAC2" w14:textId="77777777" w:rsidR="00B7683E" w:rsidRDefault="00B7683E" w:rsidP="00C6227F">
            <w:pPr>
              <w:keepNext/>
              <w:spacing w:before="48" w:after="30"/>
              <w:jc w:val="right"/>
            </w:pPr>
            <w:r>
              <w:rPr>
                <w:rFonts w:ascii="Calibri" w:eastAsia="Calibri" w:hAnsi="Calibri" w:cs="Calibri"/>
                <w:color w:val="000000"/>
                <w:sz w:val="21"/>
              </w:rPr>
              <w:t>442.186</w:t>
            </w:r>
          </w:p>
        </w:tc>
      </w:tr>
      <w:tr w:rsidR="00B7683E" w14:paraId="054AA725" w14:textId="77777777" w:rsidTr="00C6227F">
        <w:trPr>
          <w:cantSplit/>
          <w:trHeight w:hRule="exact" w:val="525"/>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5C7DFE5E" w14:textId="77777777" w:rsidR="00B7683E" w:rsidRDefault="00B7683E" w:rsidP="00C6227F">
            <w:pPr>
              <w:keepNext/>
              <w:spacing w:before="48" w:after="30" w:line="210" w:lineRule="exact"/>
            </w:pPr>
            <w:r>
              <w:rPr>
                <w:rFonts w:ascii="Calibri" w:eastAsia="Calibri" w:hAnsi="Calibri" w:cs="Calibri"/>
                <w:color w:val="000000"/>
                <w:sz w:val="21"/>
              </w:rPr>
              <w:t xml:space="preserve">Απαιτήσεις, προπληρωμές και λοιπά </w:t>
            </w:r>
            <w:proofErr w:type="spellStart"/>
            <w:r>
              <w:rPr>
                <w:rFonts w:ascii="Calibri" w:eastAsia="Calibri" w:hAnsi="Calibri" w:cs="Calibri"/>
                <w:color w:val="000000"/>
                <w:sz w:val="21"/>
              </w:rPr>
              <w:t>κυκλοφορούντα</w:t>
            </w:r>
            <w:proofErr w:type="spellEnd"/>
            <w:r>
              <w:rPr>
                <w:rFonts w:ascii="Calibri" w:eastAsia="Calibri" w:hAnsi="Calibri" w:cs="Calibri"/>
                <w:color w:val="000000"/>
                <w:sz w:val="21"/>
              </w:rPr>
              <w:t xml:space="preserve"> περιουσιακά στοιχεία</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89435C3"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18DF5CF9" w14:textId="77777777" w:rsidR="00B7683E" w:rsidRDefault="00B7683E" w:rsidP="00C6227F">
            <w:pPr>
              <w:keepNext/>
              <w:spacing w:before="48" w:after="30"/>
              <w:jc w:val="right"/>
            </w:pPr>
            <w:r>
              <w:rPr>
                <w:rFonts w:ascii="Calibri" w:eastAsia="Calibri" w:hAnsi="Calibri" w:cs="Calibri"/>
                <w:color w:val="000000"/>
                <w:sz w:val="21"/>
              </w:rPr>
              <w:t>416.877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BFE7BD9"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7CE200EE" w14:textId="77777777" w:rsidR="00B7683E" w:rsidRDefault="00B7683E" w:rsidP="00C6227F">
            <w:pPr>
              <w:keepNext/>
              <w:spacing w:before="48" w:after="30"/>
              <w:jc w:val="right"/>
            </w:pPr>
            <w:r>
              <w:rPr>
                <w:rFonts w:ascii="Calibri" w:eastAsia="Calibri" w:hAnsi="Calibri" w:cs="Calibri"/>
                <w:color w:val="000000"/>
                <w:sz w:val="21"/>
              </w:rPr>
              <w:t>385.064</w:t>
            </w:r>
          </w:p>
        </w:tc>
      </w:tr>
      <w:tr w:rsidR="00B7683E" w14:paraId="644A8B96" w14:textId="77777777" w:rsidTr="00C6227F">
        <w:trPr>
          <w:cantSplit/>
          <w:trHeight w:hRule="exact" w:val="525"/>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1BFAF383" w14:textId="77777777" w:rsidR="00B7683E" w:rsidRDefault="00B7683E" w:rsidP="00C6227F">
            <w:pPr>
              <w:keepNext/>
              <w:spacing w:before="48" w:after="30" w:line="210" w:lineRule="exact"/>
            </w:pPr>
            <w:r>
              <w:rPr>
                <w:rFonts w:ascii="Calibri" w:eastAsia="Calibri" w:hAnsi="Calibri" w:cs="Calibri"/>
                <w:color w:val="000000"/>
                <w:sz w:val="21"/>
              </w:rPr>
              <w:t>Ταμειακά διαθέσιμα, ισοδύναμα και προθεσμιακές καταθέσεις σε τράπεζες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55C9D7E"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4D12A764" w14:textId="77777777" w:rsidR="00B7683E" w:rsidRDefault="00B7683E" w:rsidP="00C6227F">
            <w:pPr>
              <w:keepNext/>
              <w:spacing w:before="48" w:after="30"/>
              <w:jc w:val="right"/>
            </w:pPr>
            <w:r>
              <w:rPr>
                <w:rFonts w:ascii="Calibri" w:eastAsia="Calibri" w:hAnsi="Calibri" w:cs="Calibri"/>
                <w:color w:val="000000"/>
                <w:sz w:val="21"/>
              </w:rPr>
              <w:t>448.622</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FAC7F24"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779683C8" w14:textId="77777777" w:rsidR="00B7683E" w:rsidRDefault="00B7683E" w:rsidP="00C6227F">
            <w:pPr>
              <w:keepNext/>
              <w:spacing w:before="48" w:after="30"/>
              <w:jc w:val="right"/>
            </w:pPr>
            <w:r>
              <w:rPr>
                <w:rFonts w:ascii="Calibri" w:eastAsia="Calibri" w:hAnsi="Calibri" w:cs="Calibri"/>
                <w:color w:val="000000"/>
                <w:sz w:val="21"/>
              </w:rPr>
              <w:t>123.283</w:t>
            </w:r>
          </w:p>
        </w:tc>
      </w:tr>
      <w:tr w:rsidR="00B7683E" w14:paraId="427791BD"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1AD9E41E" w14:textId="77777777" w:rsidR="00B7683E" w:rsidRDefault="00B7683E" w:rsidP="00C6227F">
            <w:pPr>
              <w:keepNext/>
              <w:spacing w:before="48" w:after="30" w:line="210" w:lineRule="exact"/>
            </w:pPr>
            <w:r>
              <w:rPr>
                <w:rFonts w:ascii="Calibri" w:eastAsia="Calibri" w:hAnsi="Calibri" w:cs="Calibri"/>
                <w:b/>
                <w:color w:val="000000"/>
                <w:sz w:val="21"/>
              </w:rPr>
              <w:t xml:space="preserve">Σύνολο </w:t>
            </w:r>
            <w:proofErr w:type="spellStart"/>
            <w:r>
              <w:rPr>
                <w:rFonts w:ascii="Calibri" w:eastAsia="Calibri" w:hAnsi="Calibri" w:cs="Calibri"/>
                <w:b/>
                <w:color w:val="000000"/>
                <w:sz w:val="21"/>
              </w:rPr>
              <w:t>κυκλοφορούντων</w:t>
            </w:r>
            <w:proofErr w:type="spellEnd"/>
            <w:r>
              <w:rPr>
                <w:rFonts w:ascii="Calibri" w:eastAsia="Calibri" w:hAnsi="Calibri" w:cs="Calibri"/>
                <w:b/>
                <w:color w:val="000000"/>
                <w:sz w:val="21"/>
              </w:rPr>
              <w:t xml:space="preserve"> περιουσιακών στοιχείων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4111895"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0EE8E320" w14:textId="77777777" w:rsidR="00B7683E" w:rsidRDefault="00B7683E" w:rsidP="00C6227F">
            <w:pPr>
              <w:keepNext/>
              <w:spacing w:before="48" w:after="30"/>
              <w:jc w:val="right"/>
            </w:pPr>
            <w:r>
              <w:rPr>
                <w:rFonts w:ascii="Calibri" w:eastAsia="Calibri" w:hAnsi="Calibri" w:cs="Calibri"/>
                <w:b/>
                <w:color w:val="000000"/>
                <w:sz w:val="21"/>
              </w:rPr>
              <w:t>1.301.151</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75DF1AF"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0A0D7CC0" w14:textId="77777777" w:rsidR="00B7683E" w:rsidRDefault="00B7683E" w:rsidP="00C6227F">
            <w:pPr>
              <w:keepNext/>
              <w:spacing w:before="48" w:after="30"/>
              <w:jc w:val="right"/>
            </w:pPr>
            <w:r>
              <w:rPr>
                <w:rFonts w:ascii="Calibri" w:eastAsia="Calibri" w:hAnsi="Calibri" w:cs="Calibri"/>
                <w:b/>
                <w:color w:val="000000"/>
                <w:sz w:val="21"/>
              </w:rPr>
              <w:t>950.533</w:t>
            </w:r>
          </w:p>
        </w:tc>
      </w:tr>
      <w:tr w:rsidR="00B7683E" w14:paraId="3438EFB7"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001EDE26"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B3D0D27"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302E7799"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1AEF610"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3022703F" w14:textId="77777777" w:rsidR="00B7683E" w:rsidRDefault="00B7683E" w:rsidP="00C6227F">
            <w:pPr>
              <w:keepNext/>
            </w:pPr>
          </w:p>
        </w:tc>
      </w:tr>
      <w:tr w:rsidR="00B7683E" w14:paraId="31748A22" w14:textId="77777777" w:rsidTr="00C6227F">
        <w:trPr>
          <w:cantSplit/>
          <w:trHeight w:hRule="exact" w:val="300"/>
        </w:trPr>
        <w:tc>
          <w:tcPr>
            <w:tcW w:w="5685" w:type="dxa"/>
            <w:tcBorders>
              <w:top w:val="single" w:sz="2" w:space="0" w:color="000000"/>
              <w:left w:val="nil"/>
              <w:bottom w:val="single" w:sz="8" w:space="0" w:color="4F81BD"/>
              <w:right w:val="nil"/>
            </w:tcBorders>
            <w:shd w:val="clear" w:color="auto" w:fill="FFFFFF"/>
            <w:tcMar>
              <w:top w:w="0" w:type="dxa"/>
              <w:left w:w="53" w:type="dxa"/>
              <w:bottom w:w="0" w:type="dxa"/>
              <w:right w:w="53" w:type="dxa"/>
            </w:tcMar>
            <w:vAlign w:val="bottom"/>
          </w:tcPr>
          <w:p w14:paraId="07510D43" w14:textId="77777777" w:rsidR="00B7683E" w:rsidRDefault="00B7683E" w:rsidP="00C6227F">
            <w:pPr>
              <w:keepNext/>
              <w:spacing w:before="48" w:after="30" w:line="210" w:lineRule="exact"/>
            </w:pPr>
            <w:r>
              <w:rPr>
                <w:rFonts w:ascii="Calibri" w:eastAsia="Calibri" w:hAnsi="Calibri" w:cs="Calibri"/>
                <w:b/>
                <w:color w:val="000000"/>
                <w:sz w:val="21"/>
              </w:rPr>
              <w:t>Σύνολο Ενεργητικού</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B766548" w14:textId="77777777" w:rsidR="00B7683E" w:rsidRDefault="00B7683E" w:rsidP="00C6227F">
            <w:pPr>
              <w:keepNext/>
            </w:pPr>
          </w:p>
        </w:tc>
        <w:tc>
          <w:tcPr>
            <w:tcW w:w="1560" w:type="dxa"/>
            <w:tcBorders>
              <w:top w:val="single" w:sz="2" w:space="0" w:color="000000"/>
              <w:left w:val="nil"/>
              <w:bottom w:val="single" w:sz="8" w:space="0" w:color="4F81BD"/>
              <w:right w:val="nil"/>
            </w:tcBorders>
            <w:shd w:val="clear" w:color="auto" w:fill="DDDDDD"/>
            <w:tcMar>
              <w:top w:w="0" w:type="dxa"/>
              <w:left w:w="0" w:type="dxa"/>
              <w:bottom w:w="0" w:type="dxa"/>
              <w:right w:w="53" w:type="dxa"/>
            </w:tcMar>
            <w:vAlign w:val="bottom"/>
          </w:tcPr>
          <w:p w14:paraId="18185FDD" w14:textId="77777777" w:rsidR="00B7683E" w:rsidRDefault="00B7683E" w:rsidP="00C6227F">
            <w:pPr>
              <w:keepNext/>
              <w:spacing w:before="48" w:after="30"/>
              <w:jc w:val="right"/>
            </w:pPr>
            <w:r>
              <w:rPr>
                <w:rFonts w:ascii="Calibri" w:eastAsia="Calibri" w:hAnsi="Calibri" w:cs="Calibri"/>
                <w:b/>
                <w:color w:val="000000"/>
                <w:sz w:val="21"/>
              </w:rPr>
              <w:t>3.593.912</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A22598E" w14:textId="77777777" w:rsidR="00B7683E" w:rsidRDefault="00B7683E" w:rsidP="00C6227F">
            <w:pPr>
              <w:keepNext/>
            </w:pPr>
          </w:p>
        </w:tc>
        <w:tc>
          <w:tcPr>
            <w:tcW w:w="1560" w:type="dxa"/>
            <w:tcBorders>
              <w:top w:val="single" w:sz="2" w:space="0" w:color="000000"/>
              <w:left w:val="nil"/>
              <w:bottom w:val="single" w:sz="8" w:space="0" w:color="4F81BD"/>
              <w:right w:val="nil"/>
            </w:tcBorders>
            <w:shd w:val="clear" w:color="auto" w:fill="FFFFFF"/>
            <w:tcMar>
              <w:top w:w="0" w:type="dxa"/>
              <w:left w:w="0" w:type="dxa"/>
              <w:bottom w:w="0" w:type="dxa"/>
              <w:right w:w="53" w:type="dxa"/>
            </w:tcMar>
            <w:vAlign w:val="bottom"/>
          </w:tcPr>
          <w:p w14:paraId="12D2863D" w14:textId="77777777" w:rsidR="00B7683E" w:rsidRDefault="00B7683E" w:rsidP="00C6227F">
            <w:pPr>
              <w:keepNext/>
              <w:spacing w:before="48" w:after="30"/>
              <w:jc w:val="right"/>
            </w:pPr>
            <w:r>
              <w:rPr>
                <w:rFonts w:ascii="Calibri" w:eastAsia="Calibri" w:hAnsi="Calibri" w:cs="Calibri"/>
                <w:b/>
                <w:color w:val="000000"/>
                <w:sz w:val="21"/>
              </w:rPr>
              <w:t>3.282.577</w:t>
            </w:r>
          </w:p>
        </w:tc>
      </w:tr>
      <w:tr w:rsidR="00B7683E" w14:paraId="57548E6E" w14:textId="77777777" w:rsidTr="00C6227F">
        <w:trPr>
          <w:cantSplit/>
          <w:trHeight w:hRule="exact" w:val="300"/>
        </w:trPr>
        <w:tc>
          <w:tcPr>
            <w:tcW w:w="5685"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5EE40820"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D18A24B" w14:textId="77777777" w:rsidR="00B7683E" w:rsidRDefault="00B7683E" w:rsidP="00C6227F">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6516FBF3"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DCC77EA" w14:textId="77777777" w:rsidR="00B7683E" w:rsidRDefault="00B7683E" w:rsidP="00C6227F">
            <w:pPr>
              <w:keepNext/>
            </w:pPr>
          </w:p>
        </w:tc>
        <w:tc>
          <w:tcPr>
            <w:tcW w:w="1560" w:type="dxa"/>
            <w:tcBorders>
              <w:top w:val="single" w:sz="8" w:space="0" w:color="4F81BD"/>
              <w:left w:val="nil"/>
              <w:bottom w:val="nil"/>
              <w:right w:val="nil"/>
            </w:tcBorders>
            <w:shd w:val="clear" w:color="auto" w:fill="FFFFFF"/>
            <w:tcMar>
              <w:top w:w="0" w:type="dxa"/>
              <w:left w:w="0" w:type="dxa"/>
              <w:bottom w:w="0" w:type="dxa"/>
              <w:right w:w="0" w:type="dxa"/>
            </w:tcMar>
            <w:vAlign w:val="bottom"/>
          </w:tcPr>
          <w:p w14:paraId="68210F4B" w14:textId="77777777" w:rsidR="00B7683E" w:rsidRDefault="00B7683E" w:rsidP="00C6227F">
            <w:pPr>
              <w:keepNext/>
            </w:pPr>
          </w:p>
        </w:tc>
      </w:tr>
      <w:tr w:rsidR="00B7683E" w14:paraId="0B67ED5B" w14:textId="77777777" w:rsidTr="00C6227F">
        <w:trPr>
          <w:cantSplit/>
          <w:trHeight w:hRule="exact" w:val="300"/>
        </w:trPr>
        <w:tc>
          <w:tcPr>
            <w:tcW w:w="5685" w:type="dxa"/>
            <w:tcBorders>
              <w:top w:val="nil"/>
              <w:left w:val="nil"/>
              <w:bottom w:val="single" w:sz="8" w:space="0" w:color="4F81BD"/>
              <w:right w:val="nil"/>
            </w:tcBorders>
            <w:shd w:val="clear" w:color="auto" w:fill="FFFFFF"/>
            <w:tcMar>
              <w:top w:w="0" w:type="dxa"/>
              <w:left w:w="53" w:type="dxa"/>
              <w:bottom w:w="0" w:type="dxa"/>
              <w:right w:w="53" w:type="dxa"/>
            </w:tcMar>
            <w:vAlign w:val="bottom"/>
          </w:tcPr>
          <w:p w14:paraId="61E8F829" w14:textId="77777777" w:rsidR="00B7683E" w:rsidRDefault="00B7683E" w:rsidP="00C6227F">
            <w:pPr>
              <w:keepNext/>
              <w:spacing w:before="53" w:after="30" w:line="240" w:lineRule="exact"/>
            </w:pPr>
            <w:r>
              <w:rPr>
                <w:rFonts w:ascii="Calibri" w:eastAsia="Calibri" w:hAnsi="Calibri" w:cs="Calibri"/>
                <w:b/>
                <w:color w:val="4F81BD"/>
              </w:rPr>
              <w:t>Ίδια Κεφάλαια και Υποχρεώσεις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18533CE" w14:textId="77777777" w:rsidR="00B7683E" w:rsidRDefault="00B7683E" w:rsidP="00C6227F">
            <w:pPr>
              <w:keepNext/>
            </w:pPr>
          </w:p>
        </w:tc>
        <w:tc>
          <w:tcPr>
            <w:tcW w:w="1560" w:type="dxa"/>
            <w:tcBorders>
              <w:top w:val="nil"/>
              <w:left w:val="nil"/>
              <w:bottom w:val="single" w:sz="8" w:space="0" w:color="4F81BD"/>
              <w:right w:val="nil"/>
            </w:tcBorders>
            <w:shd w:val="clear" w:color="auto" w:fill="FFFFFF"/>
            <w:tcMar>
              <w:top w:w="0" w:type="dxa"/>
              <w:left w:w="0" w:type="dxa"/>
              <w:bottom w:w="0" w:type="dxa"/>
              <w:right w:w="0" w:type="dxa"/>
            </w:tcMar>
            <w:vAlign w:val="bottom"/>
          </w:tcPr>
          <w:p w14:paraId="2E2149CB"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E18B00F" w14:textId="77777777" w:rsidR="00B7683E" w:rsidRDefault="00B7683E" w:rsidP="00C6227F">
            <w:pPr>
              <w:keepNext/>
            </w:pPr>
          </w:p>
        </w:tc>
        <w:tc>
          <w:tcPr>
            <w:tcW w:w="1560" w:type="dxa"/>
            <w:tcBorders>
              <w:top w:val="nil"/>
              <w:left w:val="nil"/>
              <w:bottom w:val="single" w:sz="8" w:space="0" w:color="4F81BD"/>
              <w:right w:val="nil"/>
            </w:tcBorders>
            <w:shd w:val="clear" w:color="auto" w:fill="FFFFFF"/>
            <w:tcMar>
              <w:top w:w="0" w:type="dxa"/>
              <w:left w:w="0" w:type="dxa"/>
              <w:bottom w:w="0" w:type="dxa"/>
              <w:right w:w="0" w:type="dxa"/>
            </w:tcMar>
            <w:vAlign w:val="bottom"/>
          </w:tcPr>
          <w:p w14:paraId="24271BF3" w14:textId="77777777" w:rsidR="00B7683E" w:rsidRDefault="00B7683E" w:rsidP="00C6227F">
            <w:pPr>
              <w:keepNext/>
            </w:pPr>
          </w:p>
        </w:tc>
      </w:tr>
      <w:tr w:rsidR="00B7683E" w14:paraId="5E40F854" w14:textId="77777777" w:rsidTr="00C6227F">
        <w:trPr>
          <w:cantSplit/>
          <w:trHeight w:hRule="exact" w:val="525"/>
        </w:trPr>
        <w:tc>
          <w:tcPr>
            <w:tcW w:w="5685" w:type="dxa"/>
            <w:tcBorders>
              <w:top w:val="single" w:sz="8" w:space="0" w:color="4F81BD"/>
              <w:left w:val="nil"/>
              <w:bottom w:val="single" w:sz="2" w:space="0" w:color="000000"/>
              <w:right w:val="nil"/>
            </w:tcBorders>
            <w:shd w:val="clear" w:color="auto" w:fill="FFFFFF"/>
            <w:tcMar>
              <w:top w:w="0" w:type="dxa"/>
              <w:left w:w="53" w:type="dxa"/>
              <w:bottom w:w="0" w:type="dxa"/>
              <w:right w:w="53" w:type="dxa"/>
            </w:tcMar>
            <w:vAlign w:val="bottom"/>
          </w:tcPr>
          <w:p w14:paraId="2D0978C1" w14:textId="77777777" w:rsidR="00B7683E" w:rsidRDefault="00B7683E" w:rsidP="00C6227F">
            <w:pPr>
              <w:keepNext/>
              <w:spacing w:before="33" w:after="30" w:line="210" w:lineRule="exact"/>
            </w:pPr>
            <w:r>
              <w:rPr>
                <w:rFonts w:ascii="Calibri" w:eastAsia="Calibri" w:hAnsi="Calibri" w:cs="Calibri"/>
                <w:color w:val="000000"/>
                <w:sz w:val="21"/>
              </w:rPr>
              <w:t>Σύνολο ιδίων κεφαλαίων και αποθεματικών που αναλογούν σε μετόχους της μητρικής Εταιρίας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F6A3C88" w14:textId="77777777" w:rsidR="00B7683E" w:rsidRDefault="00B7683E" w:rsidP="00C6227F">
            <w:pPr>
              <w:keepNext/>
            </w:pPr>
          </w:p>
        </w:tc>
        <w:tc>
          <w:tcPr>
            <w:tcW w:w="1560" w:type="dxa"/>
            <w:tcBorders>
              <w:top w:val="single" w:sz="8" w:space="0" w:color="4F81BD"/>
              <w:left w:val="nil"/>
              <w:bottom w:val="single" w:sz="2" w:space="0" w:color="000000"/>
              <w:right w:val="nil"/>
            </w:tcBorders>
            <w:shd w:val="clear" w:color="auto" w:fill="DDDDDD"/>
            <w:tcMar>
              <w:top w:w="0" w:type="dxa"/>
              <w:left w:w="0" w:type="dxa"/>
              <w:bottom w:w="0" w:type="dxa"/>
              <w:right w:w="53" w:type="dxa"/>
            </w:tcMar>
            <w:vAlign w:val="bottom"/>
          </w:tcPr>
          <w:p w14:paraId="09A124FF" w14:textId="77777777" w:rsidR="00B7683E" w:rsidRDefault="00B7683E" w:rsidP="00C6227F">
            <w:pPr>
              <w:keepNext/>
              <w:spacing w:before="33" w:after="30"/>
              <w:jc w:val="right"/>
            </w:pPr>
            <w:r>
              <w:rPr>
                <w:rFonts w:ascii="Calibri" w:eastAsia="Calibri" w:hAnsi="Calibri" w:cs="Calibri"/>
                <w:color w:val="000000"/>
                <w:sz w:val="21"/>
              </w:rPr>
              <w:t>2.040.814</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614FA38" w14:textId="77777777" w:rsidR="00B7683E" w:rsidRDefault="00B7683E" w:rsidP="00C6227F">
            <w:pPr>
              <w:keepNext/>
            </w:pPr>
          </w:p>
        </w:tc>
        <w:tc>
          <w:tcPr>
            <w:tcW w:w="1560" w:type="dxa"/>
            <w:tcBorders>
              <w:top w:val="single" w:sz="8" w:space="0" w:color="4F81BD"/>
              <w:left w:val="nil"/>
              <w:bottom w:val="single" w:sz="2" w:space="0" w:color="000000"/>
              <w:right w:val="nil"/>
            </w:tcBorders>
            <w:shd w:val="clear" w:color="auto" w:fill="FFFFFF"/>
            <w:tcMar>
              <w:top w:w="0" w:type="dxa"/>
              <w:left w:w="0" w:type="dxa"/>
              <w:bottom w:w="0" w:type="dxa"/>
              <w:right w:w="53" w:type="dxa"/>
            </w:tcMar>
            <w:vAlign w:val="bottom"/>
          </w:tcPr>
          <w:p w14:paraId="6DCFF6EE" w14:textId="77777777" w:rsidR="00B7683E" w:rsidRDefault="00B7683E" w:rsidP="00C6227F">
            <w:pPr>
              <w:keepNext/>
              <w:spacing w:before="33" w:after="30"/>
              <w:jc w:val="right"/>
            </w:pPr>
            <w:r>
              <w:rPr>
                <w:rFonts w:ascii="Calibri" w:eastAsia="Calibri" w:hAnsi="Calibri" w:cs="Calibri"/>
                <w:color w:val="000000"/>
                <w:sz w:val="21"/>
              </w:rPr>
              <w:t>1.787.064</w:t>
            </w:r>
          </w:p>
        </w:tc>
      </w:tr>
      <w:tr w:rsidR="00B7683E" w14:paraId="2843A229"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7D838FB2" w14:textId="77777777" w:rsidR="00B7683E" w:rsidRDefault="00B7683E" w:rsidP="00C6227F">
            <w:pPr>
              <w:keepNext/>
              <w:spacing w:before="48" w:after="30" w:line="210" w:lineRule="exact"/>
            </w:pPr>
            <w:r>
              <w:rPr>
                <w:rFonts w:ascii="Calibri" w:eastAsia="Calibri" w:hAnsi="Calibri" w:cs="Calibri"/>
                <w:color w:val="000000"/>
                <w:sz w:val="21"/>
              </w:rPr>
              <w:t>Μη ελέγχουσες συμμετοχές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B2C900F"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379F549C" w14:textId="77777777" w:rsidR="00B7683E" w:rsidRDefault="00B7683E" w:rsidP="00C6227F">
            <w:pPr>
              <w:keepNext/>
              <w:spacing w:before="48" w:after="30"/>
              <w:jc w:val="right"/>
            </w:pPr>
            <w:r>
              <w:rPr>
                <w:rFonts w:ascii="Calibri" w:eastAsia="Calibri" w:hAnsi="Calibri" w:cs="Calibri"/>
                <w:color w:val="000000"/>
                <w:sz w:val="21"/>
              </w:rPr>
              <w:t>136.619</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67DB13F"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4F05B027" w14:textId="77777777" w:rsidR="00B7683E" w:rsidRDefault="00B7683E" w:rsidP="00C6227F">
            <w:pPr>
              <w:keepNext/>
              <w:spacing w:before="48" w:after="30"/>
              <w:jc w:val="right"/>
            </w:pPr>
            <w:r>
              <w:rPr>
                <w:rFonts w:ascii="Calibri" w:eastAsia="Calibri" w:hAnsi="Calibri" w:cs="Calibri"/>
                <w:color w:val="000000"/>
                <w:sz w:val="21"/>
              </w:rPr>
              <w:t>37.449</w:t>
            </w:r>
          </w:p>
        </w:tc>
      </w:tr>
      <w:tr w:rsidR="00B7683E" w14:paraId="4742FAC0"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45B0B824" w14:textId="77777777" w:rsidR="00B7683E" w:rsidRDefault="00B7683E" w:rsidP="00C6227F">
            <w:pPr>
              <w:keepNext/>
              <w:spacing w:before="48" w:after="30" w:line="210" w:lineRule="exact"/>
            </w:pPr>
            <w:r>
              <w:rPr>
                <w:rFonts w:ascii="Calibri" w:eastAsia="Calibri" w:hAnsi="Calibri" w:cs="Calibri"/>
                <w:b/>
                <w:color w:val="000000"/>
                <w:sz w:val="21"/>
              </w:rPr>
              <w:t>Σύνολο Ιδίων Κεφαλαίων (α)</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7950E3A"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1C4F960C" w14:textId="77777777" w:rsidR="00B7683E" w:rsidRDefault="00B7683E" w:rsidP="00C6227F">
            <w:pPr>
              <w:keepNext/>
              <w:spacing w:before="48" w:after="30"/>
              <w:jc w:val="right"/>
            </w:pPr>
            <w:r>
              <w:rPr>
                <w:rFonts w:ascii="Calibri" w:eastAsia="Calibri" w:hAnsi="Calibri" w:cs="Calibri"/>
                <w:b/>
                <w:color w:val="000000"/>
                <w:sz w:val="21"/>
              </w:rPr>
              <w:t>2.177.433</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43C0F12"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7F1AEEAA" w14:textId="77777777" w:rsidR="00B7683E" w:rsidRDefault="00B7683E" w:rsidP="00C6227F">
            <w:pPr>
              <w:keepNext/>
              <w:spacing w:before="48" w:after="30"/>
              <w:jc w:val="right"/>
            </w:pPr>
            <w:r>
              <w:rPr>
                <w:rFonts w:ascii="Calibri" w:eastAsia="Calibri" w:hAnsi="Calibri" w:cs="Calibri"/>
                <w:b/>
                <w:color w:val="000000"/>
                <w:sz w:val="21"/>
              </w:rPr>
              <w:t>1.824.513</w:t>
            </w:r>
          </w:p>
        </w:tc>
      </w:tr>
      <w:tr w:rsidR="00B7683E" w14:paraId="41CD50D3"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6F9A6F7D"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2B40327"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1EE9A2A5"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411659E"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2A74116D" w14:textId="77777777" w:rsidR="00B7683E" w:rsidRDefault="00B7683E" w:rsidP="00C6227F">
            <w:pPr>
              <w:keepNext/>
            </w:pPr>
          </w:p>
        </w:tc>
      </w:tr>
      <w:tr w:rsidR="00B7683E" w14:paraId="3D5BC057" w14:textId="77777777" w:rsidTr="00C6227F">
        <w:trPr>
          <w:cantSplit/>
          <w:trHeight w:hRule="exact" w:val="525"/>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7CA27A67" w14:textId="77777777" w:rsidR="00B7683E" w:rsidRDefault="00B7683E" w:rsidP="00C6227F">
            <w:pPr>
              <w:keepNext/>
              <w:spacing w:before="48" w:after="30" w:line="210" w:lineRule="exact"/>
            </w:pPr>
            <w:r>
              <w:rPr>
                <w:rFonts w:ascii="Calibri" w:eastAsia="Calibri" w:hAnsi="Calibri" w:cs="Calibri"/>
                <w:color w:val="000000"/>
                <w:sz w:val="21"/>
              </w:rPr>
              <w:t>Μακροπρόθεσμες δανειακές υποχρεώσεις και υποχρεώσεις μισθώσεων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03EB3C3"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0082FA83" w14:textId="77777777" w:rsidR="00B7683E" w:rsidRDefault="00B7683E" w:rsidP="00C6227F">
            <w:pPr>
              <w:keepNext/>
              <w:spacing w:before="48" w:after="30"/>
              <w:jc w:val="right"/>
            </w:pPr>
            <w:r>
              <w:rPr>
                <w:rFonts w:ascii="Calibri" w:eastAsia="Calibri" w:hAnsi="Calibri" w:cs="Calibri"/>
                <w:color w:val="000000"/>
                <w:sz w:val="21"/>
              </w:rPr>
              <w:t>664.084</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BD12FAF"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631F2859" w14:textId="77777777" w:rsidR="00B7683E" w:rsidRDefault="00B7683E" w:rsidP="00C6227F">
            <w:pPr>
              <w:keepNext/>
              <w:spacing w:before="48" w:after="30"/>
              <w:jc w:val="right"/>
            </w:pPr>
            <w:r>
              <w:rPr>
                <w:rFonts w:ascii="Calibri" w:eastAsia="Calibri" w:hAnsi="Calibri" w:cs="Calibri"/>
                <w:color w:val="000000"/>
                <w:sz w:val="21"/>
              </w:rPr>
              <w:t>662.196</w:t>
            </w:r>
          </w:p>
        </w:tc>
      </w:tr>
      <w:tr w:rsidR="00B7683E" w14:paraId="4466DF24"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03EE9390" w14:textId="77777777" w:rsidR="00B7683E" w:rsidRDefault="00B7683E" w:rsidP="00C6227F">
            <w:pPr>
              <w:keepNext/>
              <w:spacing w:before="48" w:after="30" w:line="210" w:lineRule="exact"/>
            </w:pPr>
            <w:r>
              <w:rPr>
                <w:rFonts w:ascii="Calibri" w:eastAsia="Calibri" w:hAnsi="Calibri" w:cs="Calibri"/>
                <w:color w:val="000000"/>
                <w:sz w:val="21"/>
              </w:rPr>
              <w:t>Λοιπές μακροπρόθεσμες υποχρεώσεις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29FB980"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749C5A8F" w14:textId="77777777" w:rsidR="00B7683E" w:rsidRDefault="00B7683E" w:rsidP="00C6227F">
            <w:pPr>
              <w:keepNext/>
              <w:spacing w:before="48" w:after="30"/>
              <w:jc w:val="right"/>
            </w:pPr>
            <w:r>
              <w:rPr>
                <w:rFonts w:ascii="Calibri" w:eastAsia="Calibri" w:hAnsi="Calibri" w:cs="Calibri"/>
                <w:color w:val="000000"/>
                <w:sz w:val="21"/>
              </w:rPr>
              <w:t>255.343</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D4B11EB"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33FB227D" w14:textId="77777777" w:rsidR="00B7683E" w:rsidRDefault="00B7683E" w:rsidP="00C6227F">
            <w:pPr>
              <w:keepNext/>
              <w:spacing w:before="48" w:after="30"/>
              <w:jc w:val="right"/>
            </w:pPr>
            <w:r>
              <w:rPr>
                <w:rFonts w:ascii="Calibri" w:eastAsia="Calibri" w:hAnsi="Calibri" w:cs="Calibri"/>
                <w:color w:val="000000"/>
                <w:sz w:val="21"/>
              </w:rPr>
              <w:t>258.336</w:t>
            </w:r>
          </w:p>
        </w:tc>
      </w:tr>
      <w:tr w:rsidR="00B7683E" w14:paraId="6A170449"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398B37BA" w14:textId="77777777" w:rsidR="00B7683E" w:rsidRDefault="00B7683E" w:rsidP="00C6227F">
            <w:pPr>
              <w:keepNext/>
              <w:spacing w:before="48" w:after="30" w:line="210" w:lineRule="exact"/>
            </w:pPr>
            <w:r>
              <w:rPr>
                <w:rFonts w:ascii="Calibri" w:eastAsia="Calibri" w:hAnsi="Calibri" w:cs="Calibri"/>
                <w:b/>
                <w:color w:val="000000"/>
                <w:sz w:val="21"/>
              </w:rPr>
              <w:t>Σύνολο μακροπροθέσμων υποχρεώσεων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CE5B7A2"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03C28C42" w14:textId="77777777" w:rsidR="00B7683E" w:rsidRDefault="00B7683E" w:rsidP="00C6227F">
            <w:pPr>
              <w:keepNext/>
              <w:spacing w:before="48" w:after="30"/>
              <w:jc w:val="right"/>
            </w:pPr>
            <w:r>
              <w:rPr>
                <w:rFonts w:ascii="Calibri" w:eastAsia="Calibri" w:hAnsi="Calibri" w:cs="Calibri"/>
                <w:b/>
                <w:color w:val="000000"/>
                <w:sz w:val="21"/>
              </w:rPr>
              <w:t>919.427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98B819D"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57F8425E" w14:textId="77777777" w:rsidR="00B7683E" w:rsidRDefault="00B7683E" w:rsidP="00C6227F">
            <w:pPr>
              <w:keepNext/>
              <w:spacing w:before="48" w:after="30"/>
              <w:jc w:val="right"/>
            </w:pPr>
            <w:r>
              <w:rPr>
                <w:rFonts w:ascii="Calibri" w:eastAsia="Calibri" w:hAnsi="Calibri" w:cs="Calibri"/>
                <w:b/>
                <w:color w:val="000000"/>
                <w:sz w:val="21"/>
              </w:rPr>
              <w:t>920.532</w:t>
            </w:r>
          </w:p>
        </w:tc>
      </w:tr>
      <w:tr w:rsidR="00B7683E" w14:paraId="1411E82C"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100C5331"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3E03D24"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0C966CB7"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1D56BC5"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73941C63" w14:textId="77777777" w:rsidR="00B7683E" w:rsidRDefault="00B7683E" w:rsidP="00C6227F">
            <w:pPr>
              <w:keepNext/>
            </w:pPr>
          </w:p>
        </w:tc>
      </w:tr>
      <w:tr w:rsidR="00B7683E" w14:paraId="6D973808" w14:textId="77777777" w:rsidTr="00C6227F">
        <w:trPr>
          <w:cantSplit/>
          <w:trHeight w:hRule="exact" w:val="525"/>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0E04A140" w14:textId="77777777" w:rsidR="00B7683E" w:rsidRDefault="00B7683E" w:rsidP="00C6227F">
            <w:pPr>
              <w:keepNext/>
              <w:spacing w:before="48" w:after="30" w:line="210" w:lineRule="exact"/>
            </w:pPr>
            <w:r>
              <w:rPr>
                <w:rFonts w:ascii="Calibri" w:eastAsia="Calibri" w:hAnsi="Calibri" w:cs="Calibri"/>
                <w:color w:val="000000"/>
                <w:sz w:val="21"/>
              </w:rPr>
              <w:t>Βραχυπρόθεσμες δανειακές υποχρεώσεις και υποχρεώσεις μισθώσεων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62AACFBE"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4DF08E67" w14:textId="77777777" w:rsidR="00B7683E" w:rsidRDefault="00B7683E" w:rsidP="00C6227F">
            <w:pPr>
              <w:keepNext/>
              <w:spacing w:before="48" w:after="30"/>
              <w:jc w:val="right"/>
            </w:pPr>
            <w:r>
              <w:rPr>
                <w:rFonts w:ascii="Calibri" w:eastAsia="Calibri" w:hAnsi="Calibri" w:cs="Calibri"/>
                <w:color w:val="000000"/>
                <w:sz w:val="21"/>
              </w:rPr>
              <w:t>64.195</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093F237"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66BFF7ED" w14:textId="77777777" w:rsidR="00B7683E" w:rsidRDefault="00B7683E" w:rsidP="00C6227F">
            <w:pPr>
              <w:keepNext/>
              <w:spacing w:before="48" w:after="30"/>
              <w:jc w:val="right"/>
            </w:pPr>
            <w:r>
              <w:rPr>
                <w:rFonts w:ascii="Calibri" w:eastAsia="Calibri" w:hAnsi="Calibri" w:cs="Calibri"/>
                <w:color w:val="000000"/>
                <w:sz w:val="21"/>
              </w:rPr>
              <w:t>83.135</w:t>
            </w:r>
          </w:p>
        </w:tc>
      </w:tr>
      <w:tr w:rsidR="00B7683E" w14:paraId="65CBCF26"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5D4D6B30" w14:textId="77777777" w:rsidR="00B7683E" w:rsidRDefault="00B7683E" w:rsidP="00C6227F">
            <w:pPr>
              <w:keepNext/>
              <w:spacing w:before="48" w:after="30" w:line="210" w:lineRule="exact"/>
            </w:pPr>
            <w:r>
              <w:rPr>
                <w:rFonts w:ascii="Calibri" w:eastAsia="Calibri" w:hAnsi="Calibri" w:cs="Calibri"/>
                <w:color w:val="000000"/>
                <w:sz w:val="21"/>
              </w:rPr>
              <w:t>Λοιπές βραχυπρόθεσμες υποχρεώσεις</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E15FA02"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2C251C4F" w14:textId="77777777" w:rsidR="00B7683E" w:rsidRDefault="00B7683E" w:rsidP="00C6227F">
            <w:pPr>
              <w:keepNext/>
              <w:spacing w:before="48" w:after="30"/>
              <w:jc w:val="right"/>
            </w:pPr>
            <w:r>
              <w:rPr>
                <w:rFonts w:ascii="Calibri" w:eastAsia="Calibri" w:hAnsi="Calibri" w:cs="Calibri"/>
                <w:color w:val="000000"/>
                <w:sz w:val="21"/>
              </w:rPr>
              <w:t>432.857</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6BBC6A9"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0CC11192" w14:textId="77777777" w:rsidR="00B7683E" w:rsidRDefault="00B7683E" w:rsidP="00C6227F">
            <w:pPr>
              <w:keepNext/>
              <w:spacing w:before="48" w:after="30"/>
              <w:jc w:val="right"/>
            </w:pPr>
            <w:r>
              <w:rPr>
                <w:rFonts w:ascii="Calibri" w:eastAsia="Calibri" w:hAnsi="Calibri" w:cs="Calibri"/>
                <w:color w:val="000000"/>
                <w:sz w:val="21"/>
              </w:rPr>
              <w:t>454.397</w:t>
            </w:r>
          </w:p>
        </w:tc>
      </w:tr>
      <w:tr w:rsidR="00B7683E" w14:paraId="6448CA3F"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56D6DF16" w14:textId="77777777" w:rsidR="00B7683E" w:rsidRDefault="00B7683E" w:rsidP="00C6227F">
            <w:pPr>
              <w:keepNext/>
              <w:spacing w:before="48" w:after="30" w:line="210" w:lineRule="exact"/>
            </w:pPr>
            <w:r>
              <w:rPr>
                <w:rFonts w:ascii="Calibri" w:eastAsia="Calibri" w:hAnsi="Calibri" w:cs="Calibri"/>
                <w:b/>
                <w:color w:val="000000"/>
                <w:sz w:val="21"/>
              </w:rPr>
              <w:t>Σύνολο βραχυπροθέσμων υποχρεώσεων</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C39399E"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0A642816" w14:textId="77777777" w:rsidR="00B7683E" w:rsidRDefault="00B7683E" w:rsidP="00C6227F">
            <w:pPr>
              <w:keepNext/>
              <w:spacing w:before="48" w:after="30"/>
              <w:jc w:val="right"/>
            </w:pPr>
            <w:r>
              <w:rPr>
                <w:rFonts w:ascii="Calibri" w:eastAsia="Calibri" w:hAnsi="Calibri" w:cs="Calibri"/>
                <w:b/>
                <w:color w:val="000000"/>
                <w:sz w:val="21"/>
              </w:rPr>
              <w:t>497.052</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3F62849F"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41869D2E" w14:textId="77777777" w:rsidR="00B7683E" w:rsidRDefault="00B7683E" w:rsidP="00C6227F">
            <w:pPr>
              <w:keepNext/>
              <w:spacing w:before="48" w:after="30"/>
              <w:jc w:val="right"/>
            </w:pPr>
            <w:r>
              <w:rPr>
                <w:rFonts w:ascii="Calibri" w:eastAsia="Calibri" w:hAnsi="Calibri" w:cs="Calibri"/>
                <w:b/>
                <w:color w:val="000000"/>
                <w:sz w:val="21"/>
              </w:rPr>
              <w:t>537.532</w:t>
            </w:r>
          </w:p>
        </w:tc>
      </w:tr>
      <w:tr w:rsidR="00B7683E" w14:paraId="703D1A93"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5783B93D"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36637A4"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337190A8"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26C73D19"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447FA72C" w14:textId="77777777" w:rsidR="00B7683E" w:rsidRDefault="00B7683E" w:rsidP="00C6227F">
            <w:pPr>
              <w:keepNext/>
            </w:pPr>
          </w:p>
        </w:tc>
      </w:tr>
      <w:tr w:rsidR="00B7683E" w14:paraId="7DB3146B"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53" w:type="dxa"/>
              <w:bottom w:w="0" w:type="dxa"/>
              <w:right w:w="53" w:type="dxa"/>
            </w:tcMar>
            <w:vAlign w:val="bottom"/>
          </w:tcPr>
          <w:p w14:paraId="73316033" w14:textId="77777777" w:rsidR="00B7683E" w:rsidRDefault="00B7683E" w:rsidP="00C6227F">
            <w:pPr>
              <w:keepNext/>
              <w:spacing w:before="48" w:after="30" w:line="210" w:lineRule="exact"/>
            </w:pPr>
            <w:r>
              <w:rPr>
                <w:rFonts w:ascii="Calibri" w:eastAsia="Calibri" w:hAnsi="Calibri" w:cs="Calibri"/>
                <w:b/>
                <w:color w:val="000000"/>
                <w:sz w:val="21"/>
              </w:rPr>
              <w:t>Σύνολο υποχρεώσεων (β)</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48448CD2"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DDDDDD"/>
            <w:tcMar>
              <w:top w:w="0" w:type="dxa"/>
              <w:left w:w="0" w:type="dxa"/>
              <w:bottom w:w="0" w:type="dxa"/>
              <w:right w:w="53" w:type="dxa"/>
            </w:tcMar>
            <w:vAlign w:val="bottom"/>
          </w:tcPr>
          <w:p w14:paraId="08DB3DB8" w14:textId="77777777" w:rsidR="00B7683E" w:rsidRDefault="00B7683E" w:rsidP="00C6227F">
            <w:pPr>
              <w:keepNext/>
              <w:spacing w:before="48" w:after="30"/>
              <w:jc w:val="right"/>
            </w:pPr>
            <w:r>
              <w:rPr>
                <w:rFonts w:ascii="Calibri" w:eastAsia="Calibri" w:hAnsi="Calibri" w:cs="Calibri"/>
                <w:b/>
                <w:color w:val="000000"/>
                <w:sz w:val="21"/>
              </w:rPr>
              <w:t>1.416.479</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5DDB5EC2"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53" w:type="dxa"/>
            </w:tcMar>
            <w:vAlign w:val="bottom"/>
          </w:tcPr>
          <w:p w14:paraId="43CF2B0B" w14:textId="77777777" w:rsidR="00B7683E" w:rsidRDefault="00B7683E" w:rsidP="00C6227F">
            <w:pPr>
              <w:keepNext/>
              <w:spacing w:before="48" w:after="30"/>
              <w:jc w:val="right"/>
            </w:pPr>
            <w:r>
              <w:rPr>
                <w:rFonts w:ascii="Calibri" w:eastAsia="Calibri" w:hAnsi="Calibri" w:cs="Calibri"/>
                <w:b/>
                <w:color w:val="000000"/>
                <w:sz w:val="21"/>
              </w:rPr>
              <w:t>1.458.064</w:t>
            </w:r>
          </w:p>
        </w:tc>
      </w:tr>
      <w:tr w:rsidR="00B7683E" w14:paraId="3AE96D0B" w14:textId="77777777" w:rsidTr="00C6227F">
        <w:trPr>
          <w:cantSplit/>
          <w:trHeight w:hRule="exact" w:val="300"/>
        </w:trPr>
        <w:tc>
          <w:tcPr>
            <w:tcW w:w="5685"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5A233B64"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14AA422C"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62B95977" w14:textId="77777777" w:rsidR="00B7683E" w:rsidRDefault="00B7683E" w:rsidP="00C6227F">
            <w:pPr>
              <w:keepNext/>
            </w:pP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7BAA0F01" w14:textId="77777777" w:rsidR="00B7683E" w:rsidRDefault="00B7683E" w:rsidP="00C6227F">
            <w:pPr>
              <w:keepNext/>
            </w:pPr>
          </w:p>
        </w:tc>
        <w:tc>
          <w:tcPr>
            <w:tcW w:w="1560" w:type="dxa"/>
            <w:tcBorders>
              <w:top w:val="single" w:sz="2" w:space="0" w:color="000000"/>
              <w:left w:val="nil"/>
              <w:bottom w:val="single" w:sz="2" w:space="0" w:color="000000"/>
              <w:right w:val="nil"/>
            </w:tcBorders>
            <w:shd w:val="clear" w:color="auto" w:fill="FFFFFF"/>
            <w:tcMar>
              <w:top w:w="0" w:type="dxa"/>
              <w:left w:w="0" w:type="dxa"/>
              <w:bottom w:w="0" w:type="dxa"/>
              <w:right w:w="0" w:type="dxa"/>
            </w:tcMar>
            <w:vAlign w:val="bottom"/>
          </w:tcPr>
          <w:p w14:paraId="460EA554" w14:textId="77777777" w:rsidR="00B7683E" w:rsidRDefault="00B7683E" w:rsidP="00C6227F">
            <w:pPr>
              <w:keepNext/>
            </w:pPr>
          </w:p>
        </w:tc>
      </w:tr>
      <w:tr w:rsidR="00B7683E" w14:paraId="265B5E71" w14:textId="77777777" w:rsidTr="00C6227F">
        <w:trPr>
          <w:cantSplit/>
          <w:trHeight w:hRule="exact" w:val="300"/>
        </w:trPr>
        <w:tc>
          <w:tcPr>
            <w:tcW w:w="5685" w:type="dxa"/>
            <w:tcBorders>
              <w:top w:val="single" w:sz="2" w:space="0" w:color="000000"/>
              <w:left w:val="nil"/>
              <w:bottom w:val="single" w:sz="8" w:space="0" w:color="4F81BD"/>
              <w:right w:val="nil"/>
            </w:tcBorders>
            <w:shd w:val="clear" w:color="auto" w:fill="FFFFFF"/>
            <w:tcMar>
              <w:top w:w="0" w:type="dxa"/>
              <w:left w:w="53" w:type="dxa"/>
              <w:bottom w:w="0" w:type="dxa"/>
              <w:right w:w="53" w:type="dxa"/>
            </w:tcMar>
            <w:vAlign w:val="bottom"/>
          </w:tcPr>
          <w:p w14:paraId="28091D8F" w14:textId="77777777" w:rsidR="00B7683E" w:rsidRDefault="00B7683E" w:rsidP="00C6227F">
            <w:pPr>
              <w:spacing w:before="48" w:after="30" w:line="210" w:lineRule="exact"/>
            </w:pPr>
            <w:r>
              <w:rPr>
                <w:rFonts w:ascii="Calibri" w:eastAsia="Calibri" w:hAnsi="Calibri" w:cs="Calibri"/>
                <w:b/>
                <w:color w:val="000000"/>
                <w:sz w:val="21"/>
              </w:rPr>
              <w:t>Σύνολο Ιδίων Κεφαλαίων και Υποχρεώσεων (α)+(β)</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0BFB345" w14:textId="77777777" w:rsidR="00B7683E" w:rsidRDefault="00B7683E" w:rsidP="00C6227F"/>
        </w:tc>
        <w:tc>
          <w:tcPr>
            <w:tcW w:w="1560" w:type="dxa"/>
            <w:tcBorders>
              <w:top w:val="single" w:sz="2" w:space="0" w:color="000000"/>
              <w:left w:val="nil"/>
              <w:bottom w:val="single" w:sz="8" w:space="0" w:color="4F81BD"/>
              <w:right w:val="nil"/>
            </w:tcBorders>
            <w:shd w:val="clear" w:color="auto" w:fill="DDDDDD"/>
            <w:tcMar>
              <w:top w:w="0" w:type="dxa"/>
              <w:left w:w="0" w:type="dxa"/>
              <w:bottom w:w="0" w:type="dxa"/>
              <w:right w:w="53" w:type="dxa"/>
            </w:tcMar>
            <w:vAlign w:val="bottom"/>
          </w:tcPr>
          <w:p w14:paraId="554D1A02" w14:textId="77777777" w:rsidR="00B7683E" w:rsidRDefault="00B7683E" w:rsidP="00C6227F">
            <w:pPr>
              <w:spacing w:before="48" w:after="30"/>
              <w:jc w:val="right"/>
            </w:pPr>
            <w:r>
              <w:rPr>
                <w:rFonts w:ascii="Calibri" w:eastAsia="Calibri" w:hAnsi="Calibri" w:cs="Calibri"/>
                <w:b/>
                <w:color w:val="000000"/>
                <w:sz w:val="21"/>
              </w:rPr>
              <w:t>3.593.912</w:t>
            </w:r>
          </w:p>
        </w:tc>
        <w:tc>
          <w:tcPr>
            <w:tcW w:w="90" w:type="dxa"/>
            <w:tcBorders>
              <w:top w:val="nil"/>
              <w:left w:val="nil"/>
              <w:bottom w:val="nil"/>
              <w:right w:val="nil"/>
            </w:tcBorders>
            <w:shd w:val="clear" w:color="auto" w:fill="FFFFFF"/>
            <w:tcMar>
              <w:top w:w="0" w:type="dxa"/>
              <w:left w:w="0" w:type="dxa"/>
              <w:bottom w:w="0" w:type="dxa"/>
              <w:right w:w="0" w:type="dxa"/>
            </w:tcMar>
            <w:vAlign w:val="bottom"/>
          </w:tcPr>
          <w:p w14:paraId="09EBA48F" w14:textId="77777777" w:rsidR="00B7683E" w:rsidRDefault="00B7683E" w:rsidP="00C6227F"/>
        </w:tc>
        <w:tc>
          <w:tcPr>
            <w:tcW w:w="1560" w:type="dxa"/>
            <w:tcBorders>
              <w:top w:val="single" w:sz="2" w:space="0" w:color="000000"/>
              <w:left w:val="nil"/>
              <w:bottom w:val="single" w:sz="8" w:space="0" w:color="4F81BD"/>
              <w:right w:val="nil"/>
            </w:tcBorders>
            <w:shd w:val="clear" w:color="auto" w:fill="FFFFFF"/>
            <w:tcMar>
              <w:top w:w="0" w:type="dxa"/>
              <w:left w:w="0" w:type="dxa"/>
              <w:bottom w:w="0" w:type="dxa"/>
              <w:right w:w="53" w:type="dxa"/>
            </w:tcMar>
            <w:vAlign w:val="bottom"/>
          </w:tcPr>
          <w:p w14:paraId="3014BB1F" w14:textId="77777777" w:rsidR="00B7683E" w:rsidRDefault="00B7683E" w:rsidP="00C6227F">
            <w:pPr>
              <w:spacing w:before="48" w:after="30"/>
              <w:jc w:val="right"/>
            </w:pPr>
            <w:r>
              <w:rPr>
                <w:rFonts w:ascii="Calibri" w:eastAsia="Calibri" w:hAnsi="Calibri" w:cs="Calibri"/>
                <w:b/>
                <w:color w:val="000000"/>
                <w:sz w:val="21"/>
              </w:rPr>
              <w:t>3.282.577</w:t>
            </w:r>
          </w:p>
        </w:tc>
      </w:tr>
    </w:tbl>
    <w:p w14:paraId="1A42E826" w14:textId="77777777" w:rsidR="00B7683E" w:rsidRDefault="00B7683E" w:rsidP="00B7683E">
      <w:pPr>
        <w:spacing w:line="288" w:lineRule="auto"/>
        <w:rPr>
          <w:rFonts w:ascii="Arial" w:eastAsia="Arial" w:hAnsi="Arial" w:cs="Arial"/>
        </w:rPr>
      </w:pPr>
    </w:p>
    <w:p w14:paraId="13D0BE24" w14:textId="77777777" w:rsidR="00B7683E" w:rsidRDefault="00B7683E" w:rsidP="00B7683E">
      <w:pPr>
        <w:spacing w:line="288" w:lineRule="auto"/>
        <w:rPr>
          <w:rFonts w:ascii="Arial" w:eastAsia="Arial" w:hAnsi="Arial" w:cs="Arial"/>
        </w:rPr>
      </w:pPr>
    </w:p>
    <w:p w14:paraId="4A1B37BB" w14:textId="77777777" w:rsidR="00B7683E" w:rsidRDefault="00B7683E" w:rsidP="00B7683E">
      <w:pPr>
        <w:spacing w:line="314" w:lineRule="exact"/>
        <w:jc w:val="both"/>
        <w:outlineLvl w:val="0"/>
        <w:rPr>
          <w:rFonts w:ascii="Calibri Light" w:eastAsia="Calibri Light" w:hAnsi="Calibri Light" w:cs="Calibri Light"/>
          <w:sz w:val="21"/>
        </w:rPr>
      </w:pPr>
      <w:r>
        <w:rPr>
          <w:rFonts w:ascii="Calibri" w:eastAsia="Calibri" w:hAnsi="Calibri" w:cs="Calibri"/>
          <w:b/>
          <w:color w:val="21286C"/>
          <w:sz w:val="28"/>
        </w:rPr>
        <w:t xml:space="preserve">Εναλλακτικοί Δείκτες Επιδόσεων </w:t>
      </w:r>
    </w:p>
    <w:p w14:paraId="1135D3CF" w14:textId="77777777" w:rsidR="00B7683E" w:rsidRDefault="00B7683E" w:rsidP="00B7683E">
      <w:pPr>
        <w:spacing w:line="224" w:lineRule="exact"/>
        <w:jc w:val="both"/>
        <w:rPr>
          <w:rFonts w:ascii="Calibri Light" w:eastAsia="Calibri Light" w:hAnsi="Calibri Light" w:cs="Calibri Light"/>
          <w:sz w:val="21"/>
        </w:rPr>
      </w:pPr>
      <w:r>
        <w:rPr>
          <w:rFonts w:ascii="Calibri" w:eastAsia="Calibri" w:hAnsi="Calibri" w:cs="Calibri"/>
          <w:sz w:val="20"/>
        </w:rPr>
        <w:t xml:space="preserve">Για πληροφορίες σχετικά με τους Εναλλακτικούς Δείκτες Επιδόσεων που παρουσιάστηκαν παραπάνω, επισκεφτείτε την </w:t>
      </w:r>
      <w:r w:rsidRPr="00B7683E">
        <w:rPr>
          <w:rFonts w:ascii="Calibri" w:eastAsia="Calibri" w:hAnsi="Calibri" w:cs="Calibri"/>
          <w:bCs/>
          <w:color w:val="4F81BD"/>
          <w:sz w:val="20"/>
          <w:szCs w:val="20"/>
        </w:rPr>
        <w:t>Ενιαία Ετήσια Έκθεση Απολογισμού 2024 του Ομίλου</w:t>
      </w:r>
      <w:r w:rsidRPr="00B7683E">
        <w:rPr>
          <w:rFonts w:ascii="Calibri" w:eastAsia="Calibri" w:hAnsi="Calibri" w:cs="Calibri"/>
          <w:bCs/>
          <w:color w:val="4F81BD"/>
          <w:sz w:val="16"/>
          <w:szCs w:val="16"/>
        </w:rPr>
        <w:t xml:space="preserve"> </w:t>
      </w:r>
      <w:r w:rsidRPr="00B7683E">
        <w:rPr>
          <w:rFonts w:ascii="Calibri" w:eastAsia="Calibri" w:hAnsi="Calibri" w:cs="Calibri"/>
          <w:bCs/>
          <w:color w:val="4F81BD"/>
          <w:sz w:val="20"/>
          <w:szCs w:val="20"/>
        </w:rPr>
        <w:t>ΤΙΤΑΝ</w:t>
      </w:r>
      <w:r w:rsidRPr="00B7683E">
        <w:rPr>
          <w:rFonts w:ascii="Calibri" w:eastAsia="Calibri" w:hAnsi="Calibri" w:cs="Calibri"/>
          <w:sz w:val="16"/>
          <w:szCs w:val="20"/>
        </w:rPr>
        <w:t xml:space="preserve"> </w:t>
      </w:r>
      <w:r>
        <w:rPr>
          <w:rFonts w:ascii="Calibri" w:eastAsia="Calibri" w:hAnsi="Calibri" w:cs="Calibri"/>
          <w:sz w:val="20"/>
        </w:rPr>
        <w:t>(Ενότητα “</w:t>
      </w:r>
      <w:proofErr w:type="spellStart"/>
      <w:r>
        <w:rPr>
          <w:rFonts w:ascii="Calibri" w:eastAsia="Calibri" w:hAnsi="Calibri" w:cs="Calibri"/>
          <w:sz w:val="20"/>
        </w:rPr>
        <w:t>Glossary</w:t>
      </w:r>
      <w:proofErr w:type="spellEnd"/>
      <w:r>
        <w:rPr>
          <w:rFonts w:ascii="Calibri" w:eastAsia="Calibri" w:hAnsi="Calibri" w:cs="Calibri"/>
          <w:sz w:val="20"/>
        </w:rPr>
        <w:t>”, σελ. 323).</w:t>
      </w:r>
    </w:p>
    <w:p w14:paraId="4BCCEC34" w14:textId="77777777" w:rsidR="00B7683E" w:rsidRPr="00B7683E" w:rsidRDefault="00B7683E" w:rsidP="00AA4C96">
      <w:pPr>
        <w:pStyle w:val="Copy"/>
        <w:jc w:val="both"/>
        <w:rPr>
          <w:rFonts w:eastAsia="Times New Roman"/>
          <w:color w:val="21286C"/>
          <w:sz w:val="18"/>
          <w:szCs w:val="18"/>
        </w:rPr>
      </w:pPr>
    </w:p>
    <w:p w14:paraId="42434D21" w14:textId="77777777" w:rsidR="00FC37B1" w:rsidRDefault="00FC37B1" w:rsidP="00AA4C96">
      <w:pPr>
        <w:pStyle w:val="Copy"/>
        <w:jc w:val="both"/>
        <w:rPr>
          <w:rFonts w:eastAsia="Times New Roman"/>
          <w:color w:val="21286C"/>
          <w:sz w:val="18"/>
          <w:szCs w:val="18"/>
        </w:rPr>
      </w:pPr>
    </w:p>
    <w:p w14:paraId="246F83C8" w14:textId="77777777" w:rsidR="0036049F" w:rsidRPr="004B3C14" w:rsidRDefault="0036049F" w:rsidP="00AA4C96">
      <w:pPr>
        <w:pStyle w:val="Copy"/>
        <w:jc w:val="both"/>
        <w:rPr>
          <w:rFonts w:eastAsia="Times New Roman"/>
          <w:color w:val="21286C"/>
          <w:sz w:val="18"/>
          <w:szCs w:val="18"/>
        </w:rPr>
      </w:pPr>
    </w:p>
    <w:p w14:paraId="491CFE35" w14:textId="77777777" w:rsidR="00FC37B1" w:rsidRPr="00B132B2" w:rsidRDefault="00FC37B1" w:rsidP="00FC37B1">
      <w:pPr>
        <w:pStyle w:val="C"/>
        <w:spacing w:line="240" w:lineRule="auto"/>
        <w:jc w:val="both"/>
        <w:rPr>
          <w:rFonts w:cs="Calibri"/>
          <w:color w:val="21286C"/>
        </w:rPr>
      </w:pPr>
      <w:r w:rsidRPr="00B132B2">
        <w:rPr>
          <w:rFonts w:cs="Calibri"/>
          <w:noProof/>
          <w:color w:val="21286C"/>
        </w:rPr>
        <w:lastRenderedPageBreak/>
        <mc:AlternateContent>
          <mc:Choice Requires="wps">
            <w:drawing>
              <wp:anchor distT="0" distB="0" distL="114300" distR="114300" simplePos="0" relativeHeight="251658244" behindDoc="0" locked="0" layoutInCell="1" allowOverlap="1" wp14:anchorId="4386AF10" wp14:editId="20F6C5B1">
                <wp:simplePos x="0" y="0"/>
                <wp:positionH relativeFrom="column">
                  <wp:posOffset>1362</wp:posOffset>
                </wp:positionH>
                <wp:positionV relativeFrom="paragraph">
                  <wp:posOffset>234332</wp:posOffset>
                </wp:positionV>
                <wp:extent cx="6104121" cy="0"/>
                <wp:effectExtent l="0" t="0" r="17780" b="12700"/>
                <wp:wrapNone/>
                <wp:docPr id="25" name="Straight Connector 25"/>
                <wp:cNvGraphicFramePr/>
                <a:graphic xmlns:a="http://schemas.openxmlformats.org/drawingml/2006/main">
                  <a:graphicData uri="http://schemas.microsoft.com/office/word/2010/wordprocessingShape">
                    <wps:wsp>
                      <wps:cNvCnPr/>
                      <wps:spPr>
                        <a:xfrm>
                          <a:off x="0" y="0"/>
                          <a:ext cx="6104121" cy="0"/>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513D8A6" id="Straight Connector 25"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8.45pt" to="480.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" strokecolor="#00183d" strokeweight=".25pt"/>
            </w:pict>
          </mc:Fallback>
        </mc:AlternateContent>
      </w:r>
      <w:r w:rsidRPr="00B132B2">
        <w:rPr>
          <w:rFonts w:cs="Calibri"/>
          <w:noProof/>
          <w:color w:val="21286C"/>
        </w:rPr>
        <w:t>Οικονομικό Ημερολόγιο</w:t>
      </w:r>
    </w:p>
    <w:tbl>
      <w:tblPr>
        <w:tblStyle w:val="GridTable1Light-Accent6"/>
        <w:tblW w:w="9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340"/>
        <w:gridCol w:w="7570"/>
      </w:tblGrid>
      <w:tr w:rsidR="004F6F44" w:rsidRPr="00922F79" w14:paraId="799F0E34" w14:textId="77777777" w:rsidTr="001353F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32" w:type="dxa"/>
            <w:tcBorders>
              <w:bottom w:val="none" w:sz="0" w:space="0" w:color="auto"/>
            </w:tcBorders>
            <w:noWrap/>
          </w:tcPr>
          <w:p w14:paraId="564C24A9" w14:textId="03358BAB" w:rsidR="004F6F44" w:rsidRDefault="004F6F44" w:rsidP="004F6F44">
            <w:pPr>
              <w:jc w:val="both"/>
              <w:rPr>
                <w:rFonts w:ascii="Calibri" w:hAnsi="Calibri" w:cs="Calibri"/>
                <w:color w:val="21286C"/>
                <w:sz w:val="22"/>
                <w:szCs w:val="22"/>
                <w:lang w:val="el-GR"/>
              </w:rPr>
            </w:pPr>
            <w:r>
              <w:rPr>
                <w:rFonts w:ascii="Calibri" w:hAnsi="Calibri" w:cs="Calibri"/>
                <w:color w:val="21286C"/>
                <w:sz w:val="22"/>
                <w:szCs w:val="22"/>
              </w:rPr>
              <w:t xml:space="preserve">30 </w:t>
            </w:r>
            <w:r>
              <w:rPr>
                <w:rFonts w:ascii="Calibri" w:hAnsi="Calibri" w:cs="Calibri"/>
                <w:color w:val="21286C"/>
                <w:sz w:val="22"/>
                <w:szCs w:val="22"/>
                <w:lang w:val="el-GR"/>
              </w:rPr>
              <w:t>Ιουνίου 2025</w:t>
            </w:r>
          </w:p>
        </w:tc>
        <w:tc>
          <w:tcPr>
            <w:tcW w:w="7562" w:type="dxa"/>
            <w:tcBorders>
              <w:bottom w:val="none" w:sz="0" w:space="0" w:color="auto"/>
            </w:tcBorders>
            <w:noWrap/>
          </w:tcPr>
          <w:p w14:paraId="422752C4" w14:textId="6AFC7E64" w:rsidR="004F6F44" w:rsidRPr="004B5E31" w:rsidRDefault="004F6F44" w:rsidP="004F6F44">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21286C"/>
                <w:sz w:val="21"/>
                <w:szCs w:val="21"/>
                <w:lang w:val="el-GR"/>
              </w:rPr>
            </w:pPr>
            <w:r w:rsidRPr="004B5E31">
              <w:rPr>
                <w:rFonts w:ascii="Calibri Light" w:hAnsi="Calibri Light" w:cs="Calibri Light"/>
                <w:b w:val="0"/>
                <w:bCs w:val="0"/>
                <w:color w:val="21286C"/>
                <w:sz w:val="21"/>
                <w:szCs w:val="21"/>
              </w:rPr>
              <w:t>Απ</w:t>
            </w:r>
            <w:proofErr w:type="spellStart"/>
            <w:r w:rsidRPr="004B5E31">
              <w:rPr>
                <w:rFonts w:ascii="Calibri Light" w:hAnsi="Calibri Light" w:cs="Calibri Light"/>
                <w:b w:val="0"/>
                <w:bCs w:val="0"/>
                <w:color w:val="21286C"/>
                <w:sz w:val="21"/>
                <w:szCs w:val="21"/>
              </w:rPr>
              <w:t>οκο</w:t>
            </w:r>
            <w:proofErr w:type="spellEnd"/>
            <w:r w:rsidRPr="004B5E31">
              <w:rPr>
                <w:rFonts w:ascii="Calibri Light" w:hAnsi="Calibri Light" w:cs="Calibri Light"/>
                <w:b w:val="0"/>
                <w:bCs w:val="0"/>
                <w:color w:val="21286C"/>
                <w:sz w:val="21"/>
                <w:szCs w:val="21"/>
              </w:rPr>
              <w:t xml:space="preserve">πή </w:t>
            </w:r>
            <w:proofErr w:type="spellStart"/>
            <w:r w:rsidRPr="004B5E31">
              <w:rPr>
                <w:rFonts w:ascii="Calibri Light" w:hAnsi="Calibri Light" w:cs="Calibri Light"/>
                <w:b w:val="0"/>
                <w:bCs w:val="0"/>
                <w:color w:val="21286C"/>
                <w:sz w:val="21"/>
                <w:szCs w:val="21"/>
              </w:rPr>
              <w:t>μερίσμ</w:t>
            </w:r>
            <w:proofErr w:type="spellEnd"/>
            <w:r w:rsidRPr="004B5E31">
              <w:rPr>
                <w:rFonts w:ascii="Calibri Light" w:hAnsi="Calibri Light" w:cs="Calibri Light"/>
                <w:b w:val="0"/>
                <w:bCs w:val="0"/>
                <w:color w:val="21286C"/>
                <w:sz w:val="21"/>
                <w:szCs w:val="21"/>
              </w:rPr>
              <w:t>ατος</w:t>
            </w:r>
          </w:p>
        </w:tc>
      </w:tr>
      <w:tr w:rsidR="004F6F44" w:rsidRPr="00601E63" w14:paraId="622770E5" w14:textId="77777777" w:rsidTr="001353F3">
        <w:trPr>
          <w:trHeight w:val="510"/>
        </w:trPr>
        <w:tc>
          <w:tcPr>
            <w:cnfStyle w:val="001000000000" w:firstRow="0" w:lastRow="0" w:firstColumn="1" w:lastColumn="0" w:oddVBand="0" w:evenVBand="0" w:oddHBand="0" w:evenHBand="0" w:firstRowFirstColumn="0" w:firstRowLastColumn="0" w:lastRowFirstColumn="0" w:lastRowLastColumn="0"/>
            <w:tcW w:w="2332" w:type="dxa"/>
            <w:noWrap/>
            <w:hideMark/>
          </w:tcPr>
          <w:p w14:paraId="65F0DB65" w14:textId="0477A9EC" w:rsidR="004F6F44" w:rsidRPr="00601E63" w:rsidRDefault="004F6F44" w:rsidP="004F6F44">
            <w:pPr>
              <w:jc w:val="both"/>
              <w:rPr>
                <w:rFonts w:ascii="Calibri" w:hAnsi="Calibri"/>
                <w:color w:val="21286C"/>
                <w:sz w:val="21"/>
                <w:szCs w:val="21"/>
              </w:rPr>
            </w:pPr>
            <w:r>
              <w:rPr>
                <w:rFonts w:ascii="Calibri" w:hAnsi="Calibri" w:cs="Calibri"/>
                <w:color w:val="21286C"/>
                <w:sz w:val="22"/>
                <w:szCs w:val="22"/>
                <w:lang w:val="el-GR"/>
              </w:rPr>
              <w:t>1 Ιουλίου 2025</w:t>
            </w:r>
          </w:p>
        </w:tc>
        <w:tc>
          <w:tcPr>
            <w:tcW w:w="7562" w:type="dxa"/>
            <w:noWrap/>
            <w:hideMark/>
          </w:tcPr>
          <w:p w14:paraId="641DB14B" w14:textId="0E794AEA" w:rsidR="004F6F44" w:rsidRPr="00601E63" w:rsidRDefault="004F6F44" w:rsidP="004F6F44">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21286C"/>
                <w:sz w:val="21"/>
                <w:szCs w:val="21"/>
              </w:rPr>
            </w:pPr>
            <w:proofErr w:type="spellStart"/>
            <w:r w:rsidRPr="00C520ED">
              <w:rPr>
                <w:rFonts w:ascii="Calibri Light" w:hAnsi="Calibri Light" w:cs="Calibri Light"/>
                <w:color w:val="21286C"/>
                <w:sz w:val="21"/>
                <w:szCs w:val="21"/>
              </w:rPr>
              <w:t>Προσδιορισμός</w:t>
            </w:r>
            <w:proofErr w:type="spellEnd"/>
            <w:r w:rsidRPr="00C520ED">
              <w:rPr>
                <w:rFonts w:ascii="Calibri Light" w:hAnsi="Calibri Light" w:cs="Calibri Light"/>
                <w:color w:val="21286C"/>
                <w:sz w:val="21"/>
                <w:szCs w:val="21"/>
              </w:rPr>
              <w:t xml:space="preserve"> </w:t>
            </w:r>
            <w:proofErr w:type="spellStart"/>
            <w:r w:rsidRPr="00C520ED">
              <w:rPr>
                <w:rFonts w:ascii="Calibri Light" w:hAnsi="Calibri Light" w:cs="Calibri Light"/>
                <w:color w:val="21286C"/>
                <w:sz w:val="21"/>
                <w:szCs w:val="21"/>
              </w:rPr>
              <w:t>δικ</w:t>
            </w:r>
            <w:proofErr w:type="spellEnd"/>
            <w:r w:rsidRPr="00C520ED">
              <w:rPr>
                <w:rFonts w:ascii="Calibri Light" w:hAnsi="Calibri Light" w:cs="Calibri Light"/>
                <w:color w:val="21286C"/>
                <w:sz w:val="21"/>
                <w:szCs w:val="21"/>
              </w:rPr>
              <w:t xml:space="preserve">αιούχων </w:t>
            </w:r>
            <w:proofErr w:type="spellStart"/>
            <w:r w:rsidRPr="00C520ED">
              <w:rPr>
                <w:rFonts w:ascii="Calibri Light" w:hAnsi="Calibri Light" w:cs="Calibri Light"/>
                <w:color w:val="21286C"/>
                <w:sz w:val="21"/>
                <w:szCs w:val="21"/>
              </w:rPr>
              <w:t>μερίσμ</w:t>
            </w:r>
            <w:proofErr w:type="spellEnd"/>
            <w:r w:rsidRPr="00C520ED">
              <w:rPr>
                <w:rFonts w:ascii="Calibri Light" w:hAnsi="Calibri Light" w:cs="Calibri Light"/>
                <w:color w:val="21286C"/>
                <w:sz w:val="21"/>
                <w:szCs w:val="21"/>
              </w:rPr>
              <w:t>ατος</w:t>
            </w:r>
          </w:p>
        </w:tc>
      </w:tr>
      <w:tr w:rsidR="004F6F44" w:rsidRPr="008E65CA" w14:paraId="413EF2B4" w14:textId="77777777" w:rsidTr="001353F3">
        <w:trPr>
          <w:trHeight w:val="510"/>
        </w:trPr>
        <w:tc>
          <w:tcPr>
            <w:cnfStyle w:val="001000000000" w:firstRow="0" w:lastRow="0" w:firstColumn="1" w:lastColumn="0" w:oddVBand="0" w:evenVBand="0" w:oddHBand="0" w:evenHBand="0" w:firstRowFirstColumn="0" w:firstRowLastColumn="0" w:lastRowFirstColumn="0" w:lastRowLastColumn="0"/>
            <w:tcW w:w="2332" w:type="dxa"/>
            <w:noWrap/>
            <w:hideMark/>
          </w:tcPr>
          <w:p w14:paraId="1E22FB8D" w14:textId="316EB4B8" w:rsidR="004F6F44" w:rsidRPr="00601E63" w:rsidRDefault="004F6F44" w:rsidP="004F6F44">
            <w:pPr>
              <w:jc w:val="both"/>
              <w:rPr>
                <w:rFonts w:ascii="Calibri" w:hAnsi="Calibri"/>
                <w:color w:val="21286C"/>
                <w:sz w:val="21"/>
                <w:szCs w:val="21"/>
              </w:rPr>
            </w:pPr>
            <w:r>
              <w:rPr>
                <w:rFonts w:ascii="Calibri" w:hAnsi="Calibri" w:cs="Calibri"/>
                <w:color w:val="21286C"/>
                <w:sz w:val="22"/>
                <w:szCs w:val="22"/>
                <w:lang w:val="el-GR"/>
              </w:rPr>
              <w:t>3 Ιουλίου 2025</w:t>
            </w:r>
          </w:p>
        </w:tc>
        <w:tc>
          <w:tcPr>
            <w:tcW w:w="7562" w:type="dxa"/>
            <w:noWrap/>
            <w:hideMark/>
          </w:tcPr>
          <w:p w14:paraId="3F191B73" w14:textId="4F9C5C05" w:rsidR="004F6F44" w:rsidRPr="00654895" w:rsidRDefault="004F6F44" w:rsidP="004F6F44">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21286C"/>
                <w:sz w:val="21"/>
                <w:szCs w:val="21"/>
                <w:lang w:val="el-GR"/>
              </w:rPr>
            </w:pPr>
            <w:r w:rsidRPr="00C520ED">
              <w:rPr>
                <w:rFonts w:ascii="Calibri Light" w:hAnsi="Calibri Light" w:cs="Calibri Light"/>
                <w:color w:val="21286C"/>
                <w:sz w:val="21"/>
                <w:szCs w:val="21"/>
              </w:rPr>
              <w:t>Καταβ</w:t>
            </w:r>
            <w:proofErr w:type="spellStart"/>
            <w:r w:rsidRPr="00C520ED">
              <w:rPr>
                <w:rFonts w:ascii="Calibri Light" w:hAnsi="Calibri Light" w:cs="Calibri Light"/>
                <w:color w:val="21286C"/>
                <w:sz w:val="21"/>
                <w:szCs w:val="21"/>
              </w:rPr>
              <w:t>ολή</w:t>
            </w:r>
            <w:proofErr w:type="spellEnd"/>
            <w:r w:rsidRPr="00C520ED">
              <w:rPr>
                <w:rFonts w:ascii="Calibri Light" w:hAnsi="Calibri Light" w:cs="Calibri Light"/>
                <w:color w:val="21286C"/>
                <w:sz w:val="21"/>
                <w:szCs w:val="21"/>
              </w:rPr>
              <w:t xml:space="preserve"> </w:t>
            </w:r>
            <w:proofErr w:type="spellStart"/>
            <w:r w:rsidRPr="00C520ED">
              <w:rPr>
                <w:rFonts w:ascii="Calibri Light" w:hAnsi="Calibri Light" w:cs="Calibri Light"/>
                <w:color w:val="21286C"/>
                <w:sz w:val="21"/>
                <w:szCs w:val="21"/>
              </w:rPr>
              <w:t>μερίσμ</w:t>
            </w:r>
            <w:proofErr w:type="spellEnd"/>
            <w:r w:rsidRPr="00C520ED">
              <w:rPr>
                <w:rFonts w:ascii="Calibri Light" w:hAnsi="Calibri Light" w:cs="Calibri Light"/>
                <w:color w:val="21286C"/>
                <w:sz w:val="21"/>
                <w:szCs w:val="21"/>
              </w:rPr>
              <w:t>ατος</w:t>
            </w:r>
          </w:p>
        </w:tc>
      </w:tr>
      <w:tr w:rsidR="00FA23A8" w:rsidRPr="008E65CA" w14:paraId="3DB6A2B4" w14:textId="77777777" w:rsidTr="001353F3">
        <w:trPr>
          <w:trHeight w:val="510"/>
        </w:trPr>
        <w:tc>
          <w:tcPr>
            <w:cnfStyle w:val="001000000000" w:firstRow="0" w:lastRow="0" w:firstColumn="1" w:lastColumn="0" w:oddVBand="0" w:evenVBand="0" w:oddHBand="0" w:evenHBand="0" w:firstRowFirstColumn="0" w:firstRowLastColumn="0" w:lastRowFirstColumn="0" w:lastRowLastColumn="0"/>
            <w:tcW w:w="2332" w:type="dxa"/>
            <w:noWrap/>
          </w:tcPr>
          <w:p w14:paraId="26CB5077" w14:textId="3D2933BE" w:rsidR="00FA23A8" w:rsidRDefault="00FA23A8" w:rsidP="00FA23A8">
            <w:pPr>
              <w:jc w:val="both"/>
              <w:rPr>
                <w:rFonts w:ascii="Calibri" w:hAnsi="Calibri" w:cs="Calibri"/>
                <w:color w:val="21286C"/>
                <w:sz w:val="22"/>
                <w:szCs w:val="22"/>
              </w:rPr>
            </w:pPr>
            <w:r w:rsidRPr="00601E63">
              <w:rPr>
                <w:rFonts w:ascii="Calibri" w:hAnsi="Calibri" w:cs="Calibri"/>
                <w:color w:val="21286C"/>
                <w:sz w:val="22"/>
                <w:szCs w:val="22"/>
              </w:rPr>
              <w:t xml:space="preserve">31 </w:t>
            </w:r>
            <w:proofErr w:type="spellStart"/>
            <w:r w:rsidRPr="00604864">
              <w:rPr>
                <w:rFonts w:ascii="Calibri" w:hAnsi="Calibri" w:cs="Calibri"/>
                <w:color w:val="21286C"/>
                <w:sz w:val="22"/>
                <w:szCs w:val="22"/>
              </w:rPr>
              <w:t>Ιουλίου</w:t>
            </w:r>
            <w:proofErr w:type="spellEnd"/>
            <w:r w:rsidRPr="00604864">
              <w:rPr>
                <w:rFonts w:ascii="Calibri" w:hAnsi="Calibri" w:cs="Calibri"/>
                <w:color w:val="21286C"/>
                <w:sz w:val="22"/>
                <w:szCs w:val="22"/>
              </w:rPr>
              <w:t xml:space="preserve"> </w:t>
            </w:r>
            <w:r w:rsidRPr="00601E63">
              <w:rPr>
                <w:rFonts w:ascii="Calibri" w:hAnsi="Calibri" w:cs="Calibri"/>
                <w:color w:val="21286C"/>
                <w:sz w:val="22"/>
                <w:szCs w:val="22"/>
              </w:rPr>
              <w:t>202</w:t>
            </w:r>
            <w:r>
              <w:rPr>
                <w:rFonts w:ascii="Calibri" w:hAnsi="Calibri" w:cs="Calibri"/>
                <w:color w:val="21286C"/>
                <w:sz w:val="22"/>
                <w:szCs w:val="22"/>
                <w:lang w:val="el-GR"/>
              </w:rPr>
              <w:t>5</w:t>
            </w:r>
          </w:p>
        </w:tc>
        <w:tc>
          <w:tcPr>
            <w:tcW w:w="7562" w:type="dxa"/>
            <w:noWrap/>
          </w:tcPr>
          <w:p w14:paraId="60DA9C9A" w14:textId="70B2E5C6" w:rsidR="00FA23A8" w:rsidRPr="00C520ED" w:rsidRDefault="00FA23A8" w:rsidP="00FA23A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21286C"/>
                <w:sz w:val="21"/>
                <w:szCs w:val="21"/>
              </w:rPr>
            </w:pPr>
            <w:proofErr w:type="spellStart"/>
            <w:r w:rsidRPr="00290442">
              <w:rPr>
                <w:rFonts w:ascii="Calibri Light" w:hAnsi="Calibri Light" w:cs="Calibri Light"/>
                <w:color w:val="21286C"/>
                <w:sz w:val="21"/>
                <w:szCs w:val="21"/>
              </w:rPr>
              <w:t>Αν</w:t>
            </w:r>
            <w:proofErr w:type="spellEnd"/>
            <w:r w:rsidRPr="00290442">
              <w:rPr>
                <w:rFonts w:ascii="Calibri Light" w:hAnsi="Calibri Light" w:cs="Calibri Light"/>
                <w:color w:val="21286C"/>
                <w:sz w:val="21"/>
                <w:szCs w:val="21"/>
              </w:rPr>
              <w:t>ακοίνωση απ</w:t>
            </w:r>
            <w:proofErr w:type="spellStart"/>
            <w:r w:rsidRPr="00290442">
              <w:rPr>
                <w:rFonts w:ascii="Calibri Light" w:hAnsi="Calibri Light" w:cs="Calibri Light"/>
                <w:color w:val="21286C"/>
                <w:sz w:val="21"/>
                <w:szCs w:val="21"/>
              </w:rPr>
              <w:t>οτελεσμάτων</w:t>
            </w:r>
            <w:proofErr w:type="spellEnd"/>
            <w:r w:rsidRPr="00290442">
              <w:rPr>
                <w:rFonts w:ascii="Calibri Light" w:hAnsi="Calibri Light" w:cs="Calibri Light"/>
                <w:color w:val="21286C"/>
                <w:sz w:val="21"/>
                <w:szCs w:val="21"/>
              </w:rPr>
              <w:t xml:space="preserve"> Α’ </w:t>
            </w:r>
            <w:proofErr w:type="spellStart"/>
            <w:r w:rsidRPr="00290442">
              <w:rPr>
                <w:rFonts w:ascii="Calibri Light" w:hAnsi="Calibri Light" w:cs="Calibri Light"/>
                <w:color w:val="21286C"/>
                <w:sz w:val="21"/>
                <w:szCs w:val="21"/>
              </w:rPr>
              <w:t>εξ</w:t>
            </w:r>
            <w:proofErr w:type="spellEnd"/>
            <w:r w:rsidRPr="00290442">
              <w:rPr>
                <w:rFonts w:ascii="Calibri Light" w:hAnsi="Calibri Light" w:cs="Calibri Light"/>
                <w:color w:val="21286C"/>
                <w:sz w:val="21"/>
                <w:szCs w:val="21"/>
              </w:rPr>
              <w:t>αμήνου 202</w:t>
            </w:r>
            <w:r>
              <w:rPr>
                <w:rFonts w:ascii="Calibri Light" w:hAnsi="Calibri Light" w:cs="Calibri Light"/>
                <w:color w:val="21286C"/>
                <w:sz w:val="21"/>
                <w:szCs w:val="21"/>
                <w:lang w:val="el-GR"/>
              </w:rPr>
              <w:t>5</w:t>
            </w:r>
          </w:p>
        </w:tc>
      </w:tr>
      <w:tr w:rsidR="00FA23A8" w:rsidRPr="008E65CA" w14:paraId="36F3D0EE" w14:textId="77777777" w:rsidTr="001353F3">
        <w:trPr>
          <w:trHeight w:val="510"/>
        </w:trPr>
        <w:tc>
          <w:tcPr>
            <w:cnfStyle w:val="001000000000" w:firstRow="0" w:lastRow="0" w:firstColumn="1" w:lastColumn="0" w:oddVBand="0" w:evenVBand="0" w:oddHBand="0" w:evenHBand="0" w:firstRowFirstColumn="0" w:firstRowLastColumn="0" w:lastRowFirstColumn="0" w:lastRowLastColumn="0"/>
            <w:tcW w:w="2332" w:type="dxa"/>
            <w:noWrap/>
          </w:tcPr>
          <w:p w14:paraId="3D6FD507" w14:textId="42A30EC1" w:rsidR="00FA23A8" w:rsidRPr="00601E63" w:rsidRDefault="00FA23A8" w:rsidP="00FA23A8">
            <w:pPr>
              <w:jc w:val="both"/>
              <w:rPr>
                <w:rFonts w:ascii="Calibri" w:hAnsi="Calibri" w:cs="Calibri"/>
                <w:color w:val="21286C"/>
                <w:sz w:val="22"/>
                <w:szCs w:val="22"/>
              </w:rPr>
            </w:pPr>
            <w:r>
              <w:rPr>
                <w:rFonts w:ascii="Calibri" w:hAnsi="Calibri" w:cs="Calibri"/>
                <w:color w:val="21286C"/>
                <w:sz w:val="22"/>
                <w:szCs w:val="22"/>
                <w:lang w:val="el-GR"/>
              </w:rPr>
              <w:t>6</w:t>
            </w:r>
            <w:r w:rsidRPr="00601E63">
              <w:rPr>
                <w:rFonts w:ascii="Calibri" w:hAnsi="Calibri" w:cs="Calibri"/>
                <w:color w:val="21286C"/>
                <w:sz w:val="22"/>
                <w:szCs w:val="22"/>
              </w:rPr>
              <w:t xml:space="preserve"> </w:t>
            </w:r>
            <w:proofErr w:type="spellStart"/>
            <w:r w:rsidRPr="00C36393">
              <w:rPr>
                <w:rFonts w:ascii="Calibri" w:hAnsi="Calibri" w:cs="Calibri"/>
                <w:color w:val="21286C"/>
                <w:sz w:val="22"/>
                <w:szCs w:val="22"/>
              </w:rPr>
              <w:t>Νοεμ</w:t>
            </w:r>
            <w:proofErr w:type="spellEnd"/>
            <w:r w:rsidRPr="00C36393">
              <w:rPr>
                <w:rFonts w:ascii="Calibri" w:hAnsi="Calibri" w:cs="Calibri"/>
                <w:color w:val="21286C"/>
                <w:sz w:val="22"/>
                <w:szCs w:val="22"/>
              </w:rPr>
              <w:t xml:space="preserve">βρίου </w:t>
            </w:r>
            <w:r w:rsidRPr="00601E63">
              <w:rPr>
                <w:rFonts w:ascii="Calibri" w:hAnsi="Calibri" w:cs="Calibri"/>
                <w:color w:val="21286C"/>
                <w:sz w:val="22"/>
                <w:szCs w:val="22"/>
              </w:rPr>
              <w:t>202</w:t>
            </w:r>
            <w:r>
              <w:rPr>
                <w:rFonts w:ascii="Calibri" w:hAnsi="Calibri" w:cs="Calibri"/>
                <w:color w:val="21286C"/>
                <w:sz w:val="22"/>
                <w:szCs w:val="22"/>
                <w:lang w:val="el-GR"/>
              </w:rPr>
              <w:t>5</w:t>
            </w:r>
          </w:p>
        </w:tc>
        <w:tc>
          <w:tcPr>
            <w:tcW w:w="7562" w:type="dxa"/>
            <w:noWrap/>
          </w:tcPr>
          <w:p w14:paraId="0479E938" w14:textId="77777777" w:rsidR="00FA23A8" w:rsidRDefault="00FA23A8" w:rsidP="00FA23A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21286C"/>
                <w:sz w:val="21"/>
                <w:szCs w:val="21"/>
                <w:lang w:val="el-GR"/>
              </w:rPr>
            </w:pPr>
            <w:r w:rsidRPr="00654895">
              <w:rPr>
                <w:rFonts w:ascii="Calibri Light" w:hAnsi="Calibri Light" w:cs="Calibri Light"/>
                <w:color w:val="21286C"/>
                <w:sz w:val="21"/>
                <w:szCs w:val="21"/>
                <w:lang w:val="el-GR"/>
              </w:rPr>
              <w:t>Ανακοίνωση αποτελεσμάτων Γ’ Τριμήνου και Εννεαμήνου 202</w:t>
            </w:r>
            <w:r>
              <w:rPr>
                <w:rFonts w:ascii="Calibri Light" w:hAnsi="Calibri Light" w:cs="Calibri Light"/>
                <w:color w:val="21286C"/>
                <w:sz w:val="21"/>
                <w:szCs w:val="21"/>
                <w:lang w:val="el-GR"/>
              </w:rPr>
              <w:t>5</w:t>
            </w:r>
          </w:p>
          <w:p w14:paraId="064C44B0" w14:textId="77777777" w:rsidR="00FA23A8" w:rsidRPr="009F59CA" w:rsidRDefault="00FA23A8" w:rsidP="00FA23A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21286C"/>
                <w:sz w:val="21"/>
                <w:szCs w:val="21"/>
                <w:lang w:val="el-GR"/>
              </w:rPr>
            </w:pPr>
          </w:p>
        </w:tc>
      </w:tr>
    </w:tbl>
    <w:p w14:paraId="62E6721C" w14:textId="77777777" w:rsidR="0000515F" w:rsidRDefault="0000515F" w:rsidP="0000515F">
      <w:pPr>
        <w:pStyle w:val="Copy-bullets"/>
        <w:numPr>
          <w:ilvl w:val="0"/>
          <w:numId w:val="0"/>
        </w:numPr>
        <w:ind w:left="288"/>
        <w:jc w:val="both"/>
        <w:rPr>
          <w:color w:val="21286C"/>
          <w:lang w:val="el-GR"/>
        </w:rPr>
      </w:pPr>
    </w:p>
    <w:p w14:paraId="26F1BAC2" w14:textId="5188D558" w:rsidR="00FC37B1" w:rsidRPr="00654895" w:rsidRDefault="00FC37B1" w:rsidP="00FC37B1">
      <w:pPr>
        <w:pStyle w:val="Copy-bullets"/>
        <w:numPr>
          <w:ilvl w:val="0"/>
          <w:numId w:val="3"/>
        </w:numPr>
        <w:jc w:val="both"/>
        <w:rPr>
          <w:color w:val="21286C"/>
          <w:lang w:val="el-GR"/>
        </w:rPr>
      </w:pPr>
      <w:r w:rsidRPr="00654895">
        <w:rPr>
          <w:color w:val="21286C"/>
          <w:lang w:val="el-GR"/>
        </w:rPr>
        <w:t xml:space="preserve">Το παρόν δελτίο τύπου είναι διαθέσιμο στον διαδικτυακό τόπο της </w:t>
      </w:r>
      <w:r w:rsidRPr="00654895">
        <w:rPr>
          <w:color w:val="21286C"/>
        </w:rPr>
        <w:t>Titan</w:t>
      </w:r>
      <w:r w:rsidR="00F010B7" w:rsidRPr="00F010B7">
        <w:rPr>
          <w:color w:val="21286C"/>
          <w:lang w:val="el-GR"/>
        </w:rPr>
        <w:t xml:space="preserve"> </w:t>
      </w:r>
      <w:r w:rsidRPr="00654895">
        <w:rPr>
          <w:color w:val="21286C"/>
        </w:rPr>
        <w:t>SA</w:t>
      </w:r>
      <w:r w:rsidRPr="00654895">
        <w:rPr>
          <w:color w:val="21286C"/>
          <w:lang w:val="el-GR"/>
        </w:rPr>
        <w:t xml:space="preserve"> μέσω του συνδέσμου </w:t>
      </w:r>
      <w:hyperlink r:id="rId15" w:history="1">
        <w:r w:rsidRPr="00B906C6">
          <w:rPr>
            <w:color w:val="21286C"/>
          </w:rPr>
          <w:t>https</w:t>
        </w:r>
        <w:r w:rsidRPr="00654895">
          <w:rPr>
            <w:color w:val="21286C"/>
            <w:lang w:val="el-GR"/>
          </w:rPr>
          <w:t>://</w:t>
        </w:r>
        <w:proofErr w:type="spellStart"/>
        <w:r w:rsidRPr="00B906C6">
          <w:rPr>
            <w:color w:val="21286C"/>
          </w:rPr>
          <w:t>ir</w:t>
        </w:r>
        <w:proofErr w:type="spellEnd"/>
        <w:r w:rsidRPr="00654895">
          <w:rPr>
            <w:color w:val="21286C"/>
            <w:lang w:val="el-GR"/>
          </w:rPr>
          <w:t>.</w:t>
        </w:r>
        <w:r w:rsidRPr="00B906C6">
          <w:rPr>
            <w:color w:val="21286C"/>
          </w:rPr>
          <w:t>titan</w:t>
        </w:r>
        <w:r w:rsidRPr="00654895">
          <w:rPr>
            <w:color w:val="21286C"/>
            <w:lang w:val="el-GR"/>
          </w:rPr>
          <w:t>-</w:t>
        </w:r>
        <w:r w:rsidRPr="00B906C6">
          <w:rPr>
            <w:color w:val="21286C"/>
          </w:rPr>
          <w:t>cement</w:t>
        </w:r>
        <w:r w:rsidRPr="00654895">
          <w:rPr>
            <w:color w:val="21286C"/>
            <w:lang w:val="el-GR"/>
          </w:rPr>
          <w:t>.</w:t>
        </w:r>
        <w:r w:rsidRPr="00B906C6">
          <w:rPr>
            <w:color w:val="21286C"/>
          </w:rPr>
          <w:t>com</w:t>
        </w:r>
      </w:hyperlink>
      <w:r w:rsidRPr="00654895">
        <w:rPr>
          <w:color w:val="21286C"/>
          <w:lang w:val="el-GR"/>
        </w:rPr>
        <w:t xml:space="preserve"> </w:t>
      </w:r>
    </w:p>
    <w:p w14:paraId="22967660" w14:textId="77777777" w:rsidR="00FC37B1" w:rsidRPr="00EE214A" w:rsidRDefault="00FC37B1" w:rsidP="00FC37B1">
      <w:pPr>
        <w:pStyle w:val="Copy-bullets"/>
        <w:numPr>
          <w:ilvl w:val="0"/>
          <w:numId w:val="3"/>
        </w:numPr>
        <w:jc w:val="both"/>
        <w:rPr>
          <w:color w:val="21286C"/>
          <w:lang w:val="el-GR"/>
        </w:rPr>
      </w:pPr>
      <w:r w:rsidRPr="00EE214A">
        <w:rPr>
          <w:color w:val="21286C"/>
          <w:lang w:val="el-GR"/>
        </w:rPr>
        <w:t>Για περισσότερες πληροφορίες επικοινωνήστε με το τμήμα Επενδυτικών Σχέσεων +30 210 2591 257</w:t>
      </w:r>
    </w:p>
    <w:p w14:paraId="014808CF" w14:textId="1A1C572B" w:rsidR="00FC37B1" w:rsidRPr="00031BAB" w:rsidRDefault="00FC37B1" w:rsidP="00FC37B1">
      <w:pPr>
        <w:pStyle w:val="Copy-bullets"/>
        <w:numPr>
          <w:ilvl w:val="0"/>
          <w:numId w:val="3"/>
        </w:numPr>
        <w:rPr>
          <w:color w:val="21286C"/>
          <w:lang w:val="el-GR"/>
        </w:rPr>
      </w:pPr>
      <w:r w:rsidRPr="00031BAB">
        <w:rPr>
          <w:color w:val="21286C"/>
          <w:lang w:val="el-GR"/>
        </w:rPr>
        <w:t xml:space="preserve">Στις 15:00 </w:t>
      </w:r>
      <w:r w:rsidRPr="00031BAB">
        <w:rPr>
          <w:color w:val="21286C"/>
        </w:rPr>
        <w:t>CE</w:t>
      </w:r>
      <w:r>
        <w:rPr>
          <w:color w:val="21286C"/>
        </w:rPr>
        <w:t>S</w:t>
      </w:r>
      <w:r w:rsidRPr="00031BAB">
        <w:rPr>
          <w:color w:val="21286C"/>
        </w:rPr>
        <w:t>T</w:t>
      </w:r>
      <w:r w:rsidRPr="00031BAB">
        <w:rPr>
          <w:color w:val="21286C"/>
          <w:lang w:val="el-GR"/>
        </w:rPr>
        <w:t xml:space="preserve"> θα λάβει χώρα η ενημέρωση αναλυτών και επενδυτών μέσω τηλεδιάσκεψης: </w:t>
      </w:r>
      <w:hyperlink r:id="rId16" w:history="1">
        <w:r w:rsidR="007825B1" w:rsidRPr="00533AF4">
          <w:rPr>
            <w:rStyle w:val="Hyperlink"/>
            <w:rFonts w:ascii="Calibri Light" w:hAnsi="Calibri Light"/>
          </w:rPr>
          <w:t>https</w:t>
        </w:r>
        <w:r w:rsidR="007825B1" w:rsidRPr="007825B1">
          <w:rPr>
            <w:rStyle w:val="Hyperlink"/>
            <w:rFonts w:ascii="Calibri Light" w:hAnsi="Calibri Light"/>
            <w:lang w:val="el-GR"/>
          </w:rPr>
          <w:t>://87399.</w:t>
        </w:r>
        <w:proofErr w:type="spellStart"/>
        <w:r w:rsidR="007825B1" w:rsidRPr="00533AF4">
          <w:rPr>
            <w:rStyle w:val="Hyperlink"/>
            <w:rFonts w:ascii="Calibri Light" w:hAnsi="Calibri Light"/>
          </w:rPr>
          <w:t>themediaframe</w:t>
        </w:r>
        <w:proofErr w:type="spellEnd"/>
        <w:r w:rsidR="007825B1" w:rsidRPr="007825B1">
          <w:rPr>
            <w:rStyle w:val="Hyperlink"/>
            <w:rFonts w:ascii="Calibri Light" w:hAnsi="Calibri Light"/>
            <w:lang w:val="el-GR"/>
          </w:rPr>
          <w:t>.</w:t>
        </w:r>
        <w:proofErr w:type="spellStart"/>
        <w:r w:rsidR="007825B1" w:rsidRPr="00533AF4">
          <w:rPr>
            <w:rStyle w:val="Hyperlink"/>
            <w:rFonts w:ascii="Calibri Light" w:hAnsi="Calibri Light"/>
          </w:rPr>
          <w:t>eu</w:t>
        </w:r>
        <w:proofErr w:type="spellEnd"/>
        <w:r w:rsidR="007825B1" w:rsidRPr="007825B1">
          <w:rPr>
            <w:rStyle w:val="Hyperlink"/>
            <w:rFonts w:ascii="Calibri Light" w:hAnsi="Calibri Light"/>
            <w:lang w:val="el-GR"/>
          </w:rPr>
          <w:t>/</w:t>
        </w:r>
        <w:r w:rsidR="007825B1" w:rsidRPr="00533AF4">
          <w:rPr>
            <w:rStyle w:val="Hyperlink"/>
            <w:rFonts w:ascii="Calibri Light" w:hAnsi="Calibri Light"/>
          </w:rPr>
          <w:t>links</w:t>
        </w:r>
        <w:r w:rsidR="007825B1" w:rsidRPr="007825B1">
          <w:rPr>
            <w:rStyle w:val="Hyperlink"/>
            <w:rFonts w:ascii="Calibri Light" w:hAnsi="Calibri Light"/>
            <w:lang w:val="el-GR"/>
          </w:rPr>
          <w:t>/</w:t>
        </w:r>
        <w:r w:rsidR="007825B1" w:rsidRPr="00533AF4">
          <w:rPr>
            <w:rStyle w:val="Hyperlink"/>
            <w:rFonts w:ascii="Calibri Light" w:hAnsi="Calibri Light"/>
          </w:rPr>
          <w:t>titan</w:t>
        </w:r>
        <w:r w:rsidR="007825B1" w:rsidRPr="007825B1">
          <w:rPr>
            <w:rStyle w:val="Hyperlink"/>
            <w:rFonts w:ascii="Calibri Light" w:hAnsi="Calibri Light"/>
            <w:lang w:val="el-GR"/>
          </w:rPr>
          <w:t>250508.</w:t>
        </w:r>
        <w:r w:rsidR="007825B1" w:rsidRPr="00533AF4">
          <w:rPr>
            <w:rStyle w:val="Hyperlink"/>
            <w:rFonts w:ascii="Calibri Light" w:hAnsi="Calibri Light"/>
          </w:rPr>
          <w:t>html</w:t>
        </w:r>
      </w:hyperlink>
    </w:p>
    <w:p w14:paraId="6CF0EA20" w14:textId="77777777" w:rsidR="001353F3" w:rsidRPr="007825B1" w:rsidRDefault="001353F3" w:rsidP="00AA4C96">
      <w:pPr>
        <w:pStyle w:val="Copy"/>
        <w:jc w:val="both"/>
        <w:rPr>
          <w:rFonts w:eastAsia="Times New Roman"/>
          <w:color w:val="21286C"/>
          <w:sz w:val="18"/>
          <w:szCs w:val="18"/>
        </w:rPr>
      </w:pPr>
    </w:p>
    <w:p w14:paraId="0AE1F5D7" w14:textId="77777777" w:rsidR="00C26F12" w:rsidRPr="007825B1" w:rsidRDefault="00C26F12" w:rsidP="00AA4C96">
      <w:pPr>
        <w:pStyle w:val="Copy"/>
        <w:jc w:val="both"/>
        <w:rPr>
          <w:rFonts w:eastAsia="Times New Roman"/>
          <w:color w:val="21286C"/>
          <w:sz w:val="18"/>
          <w:szCs w:val="18"/>
        </w:rPr>
      </w:pPr>
    </w:p>
    <w:p w14:paraId="6E4B9867" w14:textId="77777777" w:rsidR="00C26F12" w:rsidRPr="008719DE" w:rsidRDefault="00C26F12" w:rsidP="00C26F12">
      <w:pPr>
        <w:pStyle w:val="Copy-bullets"/>
        <w:numPr>
          <w:ilvl w:val="0"/>
          <w:numId w:val="0"/>
        </w:numPr>
        <w:jc w:val="both"/>
        <w:rPr>
          <w:rFonts w:ascii="Calibri" w:hAnsi="Calibri" w:cs="Calibri"/>
          <w:b/>
          <w:bCs/>
          <w:color w:val="21286C"/>
          <w:sz w:val="22"/>
          <w:szCs w:val="22"/>
          <w:lang w:val="el-GR"/>
        </w:rPr>
      </w:pPr>
      <w:r w:rsidRPr="00851D4F">
        <w:rPr>
          <w:rFonts w:eastAsia="Times New Roman" w:cs="Calibri Light"/>
          <w:color w:val="21286C"/>
          <w:sz w:val="16"/>
          <w:szCs w:val="16"/>
          <w:u w:val="single"/>
          <w:lang w:val="el-GR"/>
        </w:rPr>
        <w:t>ΔΗΛΩΣΗ ΑΠΟΠΟΙΗΣΗΣ ΕΥΘΥΝΗΣ</w:t>
      </w:r>
      <w:r w:rsidRPr="00851D4F">
        <w:rPr>
          <w:rFonts w:eastAsia="Times New Roman" w:cs="Calibri Light"/>
          <w:color w:val="21286C"/>
          <w:sz w:val="16"/>
          <w:szCs w:val="16"/>
          <w:lang w:val="el-GR"/>
        </w:rPr>
        <w:t>: Η παρούσα έκθεση μπορεί να περιλαμβάνει δηλώσεις για μελλοντικές εκτιμήσεις. Οι δηλώσεις για μελλοντικές εκτιμήσεις αφορούν ή βασίζονται στις τρέχουσες προθέσεις, πεποιθήσεις ή προσδοκίες της διοίκησης της επιχείρησης σχετικά με, μεταξύ άλλων, τα αποτελέσματα των επιχειρηματικών δραστηριοτήτων του Ομίλου ΤΙΤΑΝ στο μέλλον, την οικονομική κατάσταση, τη ρευστότητα, τις προοπτικές, την ανάπτυξη, τις στρατηγικές ή τις εξελίξεις του κλάδου όπου δραστηριοποιούμαστε. Από τη φύση τους, οι δηλώσεις για μελλοντικές εκτιμήσεις υπόκεινται σε κινδύνους, αβεβαιότητες και παραδοχές που μπορεί να καταλήξουν σε πραγματικά αποτελέσματα ή μελλοντικές καταστάσεις που διαφέρουν ουσιωδώς από εκείνες που εκφράζουν ρητά ή άρρητα οι παρούσες δηλώσεις. Οι εν λόγω κίνδυνοι, αβεβαιότητες και παραδοχές ενδέχεται να επηρεάσουν αρνητικά την έκβαση και τις οικονομικές συνέπειες των σχεδίων ή των γεγονότων που περιγράφονται στις δηλώσεις. Οι δηλώσεις για μελλοντικές εκτιμήσεις που περιλαμβάνονται στην παρούσα έκθεση σχετικά με τάσεις ή τρέχουσες δραστηριότητες δεν πρέπει να εκλαμβάνονται ωσάν να επρόκειτο να παραμείνουν ως έχουν στο μέλλον. Δεν αναλαμβάνουμε καμία υποχρέωση να ενημερώσουμε ή να αναθεωρήσουμε καμία δήλωση για μελλοντικές εκτιμήσεις, είτε κατόπιν νέων στοιχείων, είτε βάσει μελλοντικών γεγονότων, είτε για οποιονδήποτε άλλο λόγο. Δεν θα πρέπει κανείς να αποδίδει υπερβάλλουσα αξιοπιστία σε τέτοιες μελλοντικές εκτιμήσεις οι οποίες άλλωστε ισχύουν μόνον κατά την χρονική στιγμή της παρούσας έκθεσης. Τα στοιχεία που περιλαμβάνονται στην παρούσα έκθεση υπόκεινται σε αλλαγές χωρίς προειδοποίηση. Ουδεμία διαβεβαίωση ή εγγύηση παρέχεται, ρητά ή άρρητα, ως προς το δίκαιο χαρακτήρα, την ακρίβεια, το ευλογοφανές ή την πληρότητα των στοιχείων που περιλαμβάνονται εδώ και ουδείς θα έπρεπε να βασίζεται σε αυτά. Στους περισσότερους πίνακες της παρούσας έκθεσης, τα ποσά εκφράζονται σε εκατομμύρια € για λόγους διαφάνειας. Ενδέχεται να υπάρχουν διαφορές με τους πίνακες της συνοπτικής ενημέρωσης λόγω στρογγυλοποίησης των ποσών. Η συνοπτική ενημέρωση καταρτίστηκε στην Αγγλική γλώσσα και μεταφράστηκε στην Γαλλική και Ελληνική γλώσσα. Σε περίπτωση διαφοροποιήσεων μεταξύ των δύο κειμένων, υπερισχύει το κείμενο στην Αγγλική εκδοχή.</w:t>
      </w:r>
      <w:r w:rsidRPr="00851D4F">
        <w:rPr>
          <w:rFonts w:eastAsia="Times New Roman" w:cs="Calibri Light"/>
          <w:color w:val="21286C"/>
          <w:sz w:val="16"/>
          <w:szCs w:val="16"/>
          <w:u w:val="single"/>
          <w:lang w:val="el-GR"/>
        </w:rPr>
        <w:t xml:space="preserve"> </w:t>
      </w:r>
    </w:p>
    <w:p w14:paraId="6522AA17" w14:textId="77777777" w:rsidR="00C26F12" w:rsidRPr="0072484B" w:rsidRDefault="00C26F12" w:rsidP="00C26F12">
      <w:pPr>
        <w:pStyle w:val="Copy"/>
        <w:jc w:val="both"/>
        <w:rPr>
          <w:rFonts w:eastAsia="Times New Roman"/>
          <w:color w:val="21286C"/>
          <w:sz w:val="18"/>
          <w:szCs w:val="18"/>
        </w:rPr>
      </w:pPr>
      <w:r w:rsidRPr="00B906C6">
        <w:rPr>
          <w:rFonts w:ascii="Calibri" w:hAnsi="Calibri" w:cs="Calibri"/>
          <w:b/>
          <w:bCs/>
          <w:noProof/>
          <w:color w:val="21286C"/>
          <w:sz w:val="22"/>
          <w:szCs w:val="22"/>
        </w:rPr>
        <mc:AlternateContent>
          <mc:Choice Requires="wps">
            <w:drawing>
              <wp:anchor distT="0" distB="0" distL="114300" distR="114300" simplePos="0" relativeHeight="251658246" behindDoc="0" locked="0" layoutInCell="1" allowOverlap="1" wp14:anchorId="7DE42C2A" wp14:editId="357F321B">
                <wp:simplePos x="0" y="0"/>
                <wp:positionH relativeFrom="column">
                  <wp:posOffset>-47629</wp:posOffset>
                </wp:positionH>
                <wp:positionV relativeFrom="paragraph">
                  <wp:posOffset>1579580</wp:posOffset>
                </wp:positionV>
                <wp:extent cx="6118075" cy="12735"/>
                <wp:effectExtent l="0" t="0" r="16510" b="12700"/>
                <wp:wrapNone/>
                <wp:docPr id="18" name="Straight Connector 18"/>
                <wp:cNvGraphicFramePr/>
                <a:graphic xmlns:a="http://schemas.openxmlformats.org/drawingml/2006/main">
                  <a:graphicData uri="http://schemas.microsoft.com/office/word/2010/wordprocessingShape">
                    <wps:wsp>
                      <wps:cNvCnPr/>
                      <wps:spPr>
                        <a:xfrm>
                          <a:off x="0" y="0"/>
                          <a:ext cx="6118075" cy="12735"/>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FF3B6DF" id="Straight Connector 1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4.4pt" to="478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" strokecolor="#00183d" strokeweight=".25pt"/>
            </w:pict>
          </mc:Fallback>
        </mc:AlternateContent>
      </w:r>
      <w:r w:rsidRPr="005C50C4">
        <w:rPr>
          <w:rFonts w:ascii="Calibri" w:hAnsi="Calibri" w:cs="Calibri"/>
          <w:b/>
          <w:bCs/>
          <w:color w:val="21286C"/>
          <w:szCs w:val="21"/>
        </w:rPr>
        <w:t xml:space="preserve"> </w:t>
      </w:r>
      <w:r w:rsidRPr="00851D4F">
        <w:rPr>
          <w:rFonts w:ascii="Calibri" w:hAnsi="Calibri" w:cs="Calibri"/>
          <w:b/>
          <w:bCs/>
          <w:noProof/>
          <w:color w:val="21286C"/>
          <w:sz w:val="20"/>
        </w:rPr>
        <mc:AlternateContent>
          <mc:Choice Requires="wps">
            <w:drawing>
              <wp:anchor distT="0" distB="0" distL="114300" distR="114300" simplePos="0" relativeHeight="251658245" behindDoc="0" locked="0" layoutInCell="1" allowOverlap="1" wp14:anchorId="6BB2108B" wp14:editId="2931A36D">
                <wp:simplePos x="0" y="0"/>
                <wp:positionH relativeFrom="column">
                  <wp:posOffset>5080</wp:posOffset>
                </wp:positionH>
                <wp:positionV relativeFrom="paragraph">
                  <wp:posOffset>7158</wp:posOffset>
                </wp:positionV>
                <wp:extent cx="6112247"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112247" cy="0"/>
                        </a:xfrm>
                        <a:prstGeom prst="line">
                          <a:avLst/>
                        </a:prstGeom>
                        <a:ln w="3175">
                          <a:solidFill>
                            <a:srgbClr val="0018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57A4BCF" id="Straight Connector 1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" strokecolor="#00183d" strokeweight=".25pt"/>
            </w:pict>
          </mc:Fallback>
        </mc:AlternateContent>
      </w:r>
      <w:r w:rsidRPr="005C50C4">
        <w:rPr>
          <w:rFonts w:ascii="Calibri" w:hAnsi="Calibri" w:cs="Calibri"/>
          <w:b/>
          <w:bCs/>
          <w:color w:val="21286C"/>
          <w:szCs w:val="21"/>
        </w:rPr>
        <w:t xml:space="preserve">Σχετικά με </w:t>
      </w:r>
      <w:r>
        <w:rPr>
          <w:rFonts w:ascii="Calibri" w:hAnsi="Calibri" w:cs="Calibri"/>
          <w:b/>
          <w:bCs/>
          <w:color w:val="21286C"/>
          <w:szCs w:val="21"/>
        </w:rPr>
        <w:t>τον Όμιλο ΤΙΤΑΝ</w:t>
      </w:r>
      <w:r w:rsidRPr="00CC32F7">
        <w:rPr>
          <w:rFonts w:ascii="Calibri" w:hAnsi="Calibri" w:cs="Calibri"/>
          <w:b/>
          <w:bCs/>
          <w:color w:val="21286C"/>
          <w:szCs w:val="21"/>
        </w:rPr>
        <w:tab/>
      </w:r>
      <w:r w:rsidRPr="00CC32F7">
        <w:rPr>
          <w:rFonts w:cs="Calibri Light"/>
          <w:b/>
          <w:bCs/>
          <w:color w:val="21286C"/>
          <w:sz w:val="24"/>
          <w:szCs w:val="24"/>
        </w:rPr>
        <w:br/>
      </w:r>
      <w:r w:rsidRPr="0072484B">
        <w:rPr>
          <w:rFonts w:cs="Calibri Light"/>
          <w:color w:val="21286C"/>
          <w:sz w:val="18"/>
          <w:szCs w:val="18"/>
        </w:rPr>
        <w:t xml:space="preserve">Ο Όμιλος ΤΙΤΑΝ είναι μια διεθνής εταιρία στον κλάδο των δομικών υλικών για κατασκευές και υποδομές που προσφέρει καινοτόμες λύσεις για έναν καλύτερο κόσμο. Με το μεγαλύτερο μέρος της δραστηριότητάς του στις αναπτυγμένες αγορές, ο Όμιλος απασχολεί περισσότερους από 5.700 εργαζόμενους παγκοσμίως και έχει παρουσία σε πάνω από 25 χώρες, με ηγετική θέση στις ΗΠΑ, την Ευρώπη, περιλαμβανομένης της Ελλάδας, τα Βαλκάνια και την Ανατολική Μεσόγειο. Ο Όμιλος έχει επίσης κοινοπραξίες στη Βραζιλία και την Ινδία. Με 120 χρόνια ιστορίας, ο Όμιλος διατηρεί μια οικογενειακή κουλτούρα που προάγει το επιχειρηματικό πνεύμα, ενώ εργάζεται μεθοδικά με τους πελάτες του για να ανταποκριθεί στις σύγχρονες ανάγκες της κοινωνίας, προωθώντας παράλληλα τη βιώσιμη ανάπτυξη με υπευθυνότητα και ακεραιότητα. Ο Τιτάνας έχει θέσει στόχο για μηδενικές εκπομπές άνθρακα έως το 2050, με τους στόχους του για μείωση του </w:t>
      </w:r>
      <w:r w:rsidRPr="0072484B">
        <w:rPr>
          <w:rFonts w:cs="Calibri Light"/>
          <w:color w:val="21286C"/>
          <w:sz w:val="18"/>
          <w:szCs w:val="18"/>
          <w:lang w:val="en-US"/>
        </w:rPr>
        <w:t>CO</w:t>
      </w:r>
      <w:r w:rsidRPr="0072484B">
        <w:rPr>
          <w:rFonts w:cs="Calibri Light"/>
          <w:color w:val="21286C"/>
          <w:sz w:val="18"/>
          <w:szCs w:val="18"/>
          <w:vertAlign w:val="subscript"/>
        </w:rPr>
        <w:t>2</w:t>
      </w:r>
      <w:r w:rsidRPr="0072484B">
        <w:rPr>
          <w:rFonts w:cs="Calibri Light"/>
          <w:color w:val="21286C"/>
          <w:sz w:val="18"/>
          <w:szCs w:val="18"/>
        </w:rPr>
        <w:t xml:space="preserve">, να έχουν επικυρωθεί επιστημονικά από την πρωτοβουλία </w:t>
      </w:r>
      <w:r w:rsidRPr="0072484B">
        <w:rPr>
          <w:rFonts w:cs="Calibri Light"/>
          <w:color w:val="21286C"/>
          <w:sz w:val="18"/>
          <w:szCs w:val="18"/>
          <w:lang w:val="en-US"/>
        </w:rPr>
        <w:t>Science</w:t>
      </w:r>
      <w:r w:rsidRPr="0072484B">
        <w:rPr>
          <w:rFonts w:cs="Calibri Light"/>
          <w:color w:val="21286C"/>
          <w:sz w:val="18"/>
          <w:szCs w:val="18"/>
        </w:rPr>
        <w:t xml:space="preserve"> </w:t>
      </w:r>
      <w:r w:rsidRPr="0072484B">
        <w:rPr>
          <w:rFonts w:cs="Calibri Light"/>
          <w:color w:val="21286C"/>
          <w:sz w:val="18"/>
          <w:szCs w:val="18"/>
          <w:lang w:val="en-US"/>
        </w:rPr>
        <w:t>Based</w:t>
      </w:r>
      <w:r w:rsidRPr="0072484B">
        <w:rPr>
          <w:rFonts w:cs="Calibri Light"/>
          <w:color w:val="21286C"/>
          <w:sz w:val="18"/>
          <w:szCs w:val="18"/>
        </w:rPr>
        <w:t xml:space="preserve"> </w:t>
      </w:r>
      <w:r w:rsidRPr="0072484B">
        <w:rPr>
          <w:rFonts w:cs="Calibri Light"/>
          <w:color w:val="21286C"/>
          <w:sz w:val="18"/>
          <w:szCs w:val="18"/>
          <w:lang w:val="en-US"/>
        </w:rPr>
        <w:t>Targets</w:t>
      </w:r>
      <w:r w:rsidRPr="0072484B">
        <w:rPr>
          <w:rFonts w:cs="Calibri Light"/>
          <w:color w:val="21286C"/>
          <w:sz w:val="18"/>
          <w:szCs w:val="18"/>
        </w:rPr>
        <w:t xml:space="preserve"> (</w:t>
      </w:r>
      <w:r w:rsidRPr="0072484B">
        <w:rPr>
          <w:rFonts w:cs="Calibri Light"/>
          <w:color w:val="21286C"/>
          <w:sz w:val="18"/>
          <w:szCs w:val="18"/>
          <w:lang w:val="en-US"/>
        </w:rPr>
        <w:t>SBTi</w:t>
      </w:r>
      <w:r w:rsidRPr="0072484B">
        <w:rPr>
          <w:rFonts w:cs="Calibri Light"/>
          <w:color w:val="21286C"/>
          <w:sz w:val="18"/>
          <w:szCs w:val="18"/>
        </w:rPr>
        <w:t xml:space="preserve">). Ο Όμιλος είναι εισηγμένος στο </w:t>
      </w:r>
      <w:r w:rsidRPr="0072484B">
        <w:rPr>
          <w:rFonts w:cs="Calibri Light"/>
          <w:color w:val="21286C"/>
          <w:sz w:val="18"/>
          <w:szCs w:val="18"/>
          <w:lang w:val="en-US"/>
        </w:rPr>
        <w:t>Euronext</w:t>
      </w:r>
      <w:r w:rsidRPr="0072484B">
        <w:rPr>
          <w:rFonts w:cs="Calibri Light"/>
          <w:color w:val="21286C"/>
          <w:sz w:val="18"/>
          <w:szCs w:val="18"/>
        </w:rPr>
        <w:t xml:space="preserve"> και στο Χρηματιστήριο Αθηνών. Για περισσότερες πληροφορίες, επισκεφθείτε την ιστοσελίδα μας στη διεύθυνση </w:t>
      </w:r>
      <w:hyperlink r:id="rId17" w:history="1">
        <w:r w:rsidRPr="0072484B">
          <w:rPr>
            <w:rStyle w:val="Hyperlink"/>
            <w:rFonts w:ascii="Calibri Light" w:hAnsi="Calibri Light" w:cs="Calibri Light"/>
            <w:sz w:val="18"/>
            <w:szCs w:val="18"/>
            <w:lang w:val="en-US"/>
          </w:rPr>
          <w:t>www</w:t>
        </w:r>
        <w:r w:rsidRPr="0072484B">
          <w:rPr>
            <w:rStyle w:val="Hyperlink"/>
            <w:rFonts w:ascii="Calibri Light" w:hAnsi="Calibri Light" w:cs="Calibri Light"/>
            <w:sz w:val="18"/>
            <w:szCs w:val="18"/>
          </w:rPr>
          <w:t>.</w:t>
        </w:r>
        <w:r w:rsidRPr="0072484B">
          <w:rPr>
            <w:rStyle w:val="Hyperlink"/>
            <w:rFonts w:ascii="Calibri Light" w:hAnsi="Calibri Light" w:cs="Calibri Light"/>
            <w:sz w:val="18"/>
            <w:szCs w:val="18"/>
            <w:lang w:val="en-US"/>
          </w:rPr>
          <w:t>titan</w:t>
        </w:r>
        <w:r w:rsidRPr="0072484B">
          <w:rPr>
            <w:rStyle w:val="Hyperlink"/>
            <w:rFonts w:ascii="Calibri Light" w:hAnsi="Calibri Light" w:cs="Calibri Light"/>
            <w:sz w:val="18"/>
            <w:szCs w:val="18"/>
          </w:rPr>
          <w:t>-</w:t>
        </w:r>
        <w:r w:rsidRPr="0072484B">
          <w:rPr>
            <w:rStyle w:val="Hyperlink"/>
            <w:rFonts w:ascii="Calibri Light" w:hAnsi="Calibri Light" w:cs="Calibri Light"/>
            <w:sz w:val="18"/>
            <w:szCs w:val="18"/>
            <w:lang w:val="en-US"/>
          </w:rPr>
          <w:t>cement</w:t>
        </w:r>
        <w:r w:rsidRPr="0072484B">
          <w:rPr>
            <w:rStyle w:val="Hyperlink"/>
            <w:rFonts w:ascii="Calibri Light" w:hAnsi="Calibri Light" w:cs="Calibri Light"/>
            <w:sz w:val="18"/>
            <w:szCs w:val="18"/>
          </w:rPr>
          <w:t>.</w:t>
        </w:r>
        <w:r w:rsidRPr="0072484B">
          <w:rPr>
            <w:rStyle w:val="Hyperlink"/>
            <w:rFonts w:ascii="Calibri Light" w:hAnsi="Calibri Light" w:cs="Calibri Light"/>
            <w:sz w:val="18"/>
            <w:szCs w:val="18"/>
            <w:lang w:val="en-US"/>
          </w:rPr>
          <w:t>com</w:t>
        </w:r>
      </w:hyperlink>
      <w:r w:rsidRPr="0072484B">
        <w:rPr>
          <w:rFonts w:cs="Calibri Light"/>
          <w:color w:val="21286C"/>
          <w:sz w:val="18"/>
          <w:szCs w:val="18"/>
        </w:rPr>
        <w:t>.</w:t>
      </w:r>
    </w:p>
    <w:p w14:paraId="19CDE599" w14:textId="77777777" w:rsidR="006F6B80" w:rsidRDefault="006F6B80" w:rsidP="00AA4C96">
      <w:pPr>
        <w:pStyle w:val="NoSpacing"/>
      </w:pPr>
    </w:p>
    <w:sectPr w:rsidR="006F6B80" w:rsidSect="00CF2F9C">
      <w:headerReference w:type="even" r:id="rId18"/>
      <w:headerReference w:type="default" r:id="rId19"/>
      <w:footerReference w:type="even" r:id="rId20"/>
      <w:footerReference w:type="default" r:id="rId21"/>
      <w:pgSz w:w="11906" w:h="16838"/>
      <w:pgMar w:top="1701" w:right="1134" w:bottom="568" w:left="1134" w:header="431"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C120" w14:textId="77777777" w:rsidR="002D4C93" w:rsidRDefault="002D4C93">
      <w:r>
        <w:separator/>
      </w:r>
    </w:p>
  </w:endnote>
  <w:endnote w:type="continuationSeparator" w:id="0">
    <w:p w14:paraId="67B20109" w14:textId="77777777" w:rsidR="002D4C93" w:rsidRDefault="002D4C93">
      <w:r>
        <w:continuationSeparator/>
      </w:r>
    </w:p>
  </w:endnote>
  <w:endnote w:type="continuationNotice" w:id="1">
    <w:p w14:paraId="2050E814" w14:textId="77777777" w:rsidR="002D4C93" w:rsidRDefault="002D4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277642"/>
      <w:docPartObj>
        <w:docPartGallery w:val="Page Numbers (Bottom of Page)"/>
        <w:docPartUnique/>
      </w:docPartObj>
    </w:sdtPr>
    <w:sdtContent>
      <w:p w14:paraId="5E67DCDC" w14:textId="77777777" w:rsidR="002B6A79" w:rsidRDefault="00AA4C96" w:rsidP="00C622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0D2AA" w14:textId="77777777" w:rsidR="002B6A79" w:rsidRDefault="002B6A79" w:rsidP="00C6227F">
    <w:pPr>
      <w:pStyle w:val="Footer"/>
      <w:ind w:right="360"/>
    </w:pPr>
  </w:p>
  <w:p w14:paraId="3BEEAF6E" w14:textId="77777777" w:rsidR="002B6A79" w:rsidRDefault="002B6A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B0FC" w14:textId="77777777" w:rsidR="002B6A79" w:rsidRPr="0074662F" w:rsidRDefault="00AA4C96" w:rsidP="00C6227F">
    <w:pPr>
      <w:pStyle w:val="Header"/>
      <w:spacing w:line="276" w:lineRule="auto"/>
      <w:jc w:val="right"/>
      <w:rPr>
        <w:rStyle w:val="PageNumber"/>
        <w:rFonts w:ascii="Calibri Light" w:hAnsi="Calibri Light" w:cs="Calibri Light"/>
        <w:color w:val="FFFFFF" w:themeColor="background1"/>
        <w:sz w:val="16"/>
        <w:szCs w:val="16"/>
      </w:rPr>
    </w:pPr>
    <w:r>
      <w:rPr>
        <w:rStyle w:val="PageNumber"/>
        <w:rFonts w:ascii="Calibri Light" w:hAnsi="Calibri Light"/>
        <w:color w:val="FFFFFF" w:themeColor="background1"/>
        <w:sz w:val="16"/>
      </w:rPr>
      <w:t xml:space="preserve">Σελίδα </w:t>
    </w:r>
    <w:r w:rsidRPr="00BB3FAE">
      <w:rPr>
        <w:rStyle w:val="PageNumber"/>
        <w:rFonts w:ascii="Calibri Light" w:hAnsi="Calibri Light" w:cs="Calibri Light"/>
        <w:color w:val="FFFFFF" w:themeColor="background1"/>
        <w:sz w:val="16"/>
        <w:szCs w:val="16"/>
      </w:rPr>
      <w:fldChar w:fldCharType="begin"/>
    </w:r>
    <w:r w:rsidRPr="0074662F">
      <w:rPr>
        <w:rStyle w:val="PageNumber"/>
        <w:rFonts w:ascii="Calibri Light" w:hAnsi="Calibri Light" w:cs="Calibri Light"/>
        <w:color w:val="FFFFFF" w:themeColor="background1"/>
        <w:sz w:val="16"/>
        <w:szCs w:val="16"/>
      </w:rPr>
      <w:instrText xml:space="preserve"> PAGE </w:instrText>
    </w:r>
    <w:r w:rsidRPr="00BB3FAE">
      <w:rPr>
        <w:rStyle w:val="PageNumber"/>
        <w:rFonts w:ascii="Calibri Light" w:hAnsi="Calibri Light" w:cs="Calibri Light"/>
        <w:color w:val="FFFFFF" w:themeColor="background1"/>
        <w:sz w:val="16"/>
        <w:szCs w:val="16"/>
      </w:rPr>
      <w:fldChar w:fldCharType="separate"/>
    </w:r>
    <w:r w:rsidR="00FB45A0">
      <w:rPr>
        <w:rStyle w:val="PageNumber"/>
        <w:rFonts w:ascii="Calibri Light" w:hAnsi="Calibri Light" w:cs="Calibri Light"/>
        <w:noProof/>
        <w:color w:val="FFFFFF" w:themeColor="background1"/>
        <w:sz w:val="16"/>
        <w:szCs w:val="16"/>
      </w:rPr>
      <w:t>6</w:t>
    </w:r>
    <w:r w:rsidRPr="00BB3FAE">
      <w:rPr>
        <w:rStyle w:val="PageNumber"/>
        <w:rFonts w:ascii="Calibri Light" w:hAnsi="Calibri Light" w:cs="Calibri Light"/>
        <w:color w:val="FFFFFF" w:themeColor="background1"/>
        <w:sz w:val="16"/>
        <w:szCs w:val="16"/>
      </w:rPr>
      <w:fldChar w:fldCharType="end"/>
    </w:r>
    <w:r>
      <w:rPr>
        <w:rStyle w:val="PageNumber"/>
        <w:rFonts w:ascii="Calibri Light" w:hAnsi="Calibri Light"/>
        <w:color w:val="FFFFFF" w:themeColor="background1"/>
        <w:sz w:val="16"/>
      </w:rPr>
      <w:t>/</w:t>
    </w:r>
    <w:r w:rsidRPr="00BB3FAE">
      <w:rPr>
        <w:rStyle w:val="PageNumber"/>
        <w:rFonts w:ascii="Calibri Light" w:hAnsi="Calibri Light" w:cs="Calibri Light"/>
        <w:color w:val="FFFFFF" w:themeColor="background1"/>
        <w:sz w:val="16"/>
        <w:szCs w:val="16"/>
      </w:rPr>
      <w:fldChar w:fldCharType="begin"/>
    </w:r>
    <w:r w:rsidRPr="0074662F">
      <w:rPr>
        <w:rStyle w:val="PageNumber"/>
        <w:rFonts w:ascii="Calibri Light" w:hAnsi="Calibri Light" w:cs="Calibri Light"/>
        <w:color w:val="FFFFFF" w:themeColor="background1"/>
        <w:sz w:val="16"/>
        <w:szCs w:val="16"/>
      </w:rPr>
      <w:instrText xml:space="preserve"> NUMPAGES  \* MERGEFORMAT </w:instrText>
    </w:r>
    <w:r w:rsidRPr="00BB3FAE">
      <w:rPr>
        <w:rStyle w:val="PageNumber"/>
        <w:rFonts w:ascii="Calibri Light" w:hAnsi="Calibri Light" w:cs="Calibri Light"/>
        <w:color w:val="FFFFFF" w:themeColor="background1"/>
        <w:sz w:val="16"/>
        <w:szCs w:val="16"/>
      </w:rPr>
      <w:fldChar w:fldCharType="separate"/>
    </w:r>
    <w:r w:rsidR="00FB45A0">
      <w:rPr>
        <w:rStyle w:val="PageNumber"/>
        <w:rFonts w:ascii="Calibri Light" w:hAnsi="Calibri Light" w:cs="Calibri Light"/>
        <w:noProof/>
        <w:color w:val="FFFFFF" w:themeColor="background1"/>
        <w:sz w:val="16"/>
        <w:szCs w:val="16"/>
      </w:rPr>
      <w:t>6</w:t>
    </w:r>
    <w:r w:rsidRPr="00BB3FAE">
      <w:rPr>
        <w:rStyle w:val="PageNumber"/>
        <w:rFonts w:ascii="Calibri Light" w:hAnsi="Calibri Light" w:cs="Calibri Light"/>
        <w:color w:val="FFFFFF" w:themeColor="background1"/>
        <w:sz w:val="16"/>
        <w:szCs w:val="16"/>
      </w:rPr>
      <w:fldChar w:fldCharType="end"/>
    </w:r>
  </w:p>
  <w:p w14:paraId="0F0367DA" w14:textId="77777777" w:rsidR="002B6A79" w:rsidRPr="00B906C6" w:rsidRDefault="00AA4C96" w:rsidP="00C6227F">
    <w:pPr>
      <w:pStyle w:val="C"/>
      <w:jc w:val="right"/>
      <w:rPr>
        <w:color w:val="21286C"/>
        <w:sz w:val="16"/>
        <w:szCs w:val="16"/>
      </w:rPr>
    </w:pPr>
    <w:r>
      <w:rPr>
        <w:rFonts w:ascii="Calibri Light" w:hAnsi="Calibri Light"/>
        <w:b w:val="0"/>
        <w:color w:val="21286C"/>
        <w:sz w:val="16"/>
      </w:rPr>
      <w:t xml:space="preserve">   Σελίδα </w:t>
    </w:r>
    <w:r w:rsidRPr="00B906C6">
      <w:rPr>
        <w:rFonts w:ascii="Calibri Light" w:hAnsi="Calibri Light" w:cs="Calibri Light"/>
        <w:b w:val="0"/>
        <w:bCs w:val="0"/>
        <w:color w:val="21286C"/>
        <w:sz w:val="16"/>
        <w:szCs w:val="16"/>
      </w:rPr>
      <w:fldChar w:fldCharType="begin"/>
    </w:r>
    <w:r w:rsidRPr="00B906C6">
      <w:rPr>
        <w:rFonts w:ascii="Calibri Light" w:hAnsi="Calibri Light" w:cs="Calibri Light"/>
        <w:b w:val="0"/>
        <w:bCs w:val="0"/>
        <w:color w:val="21286C"/>
        <w:sz w:val="16"/>
        <w:szCs w:val="16"/>
      </w:rPr>
      <w:instrText xml:space="preserve"> PAGE  \* MERGEFORMAT </w:instrText>
    </w:r>
    <w:r w:rsidRPr="00B906C6">
      <w:rPr>
        <w:rFonts w:ascii="Calibri Light" w:hAnsi="Calibri Light" w:cs="Calibri Light"/>
        <w:b w:val="0"/>
        <w:bCs w:val="0"/>
        <w:color w:val="21286C"/>
        <w:sz w:val="16"/>
        <w:szCs w:val="16"/>
      </w:rPr>
      <w:fldChar w:fldCharType="separate"/>
    </w:r>
    <w:r w:rsidR="00FB45A0">
      <w:rPr>
        <w:rFonts w:ascii="Calibri Light" w:hAnsi="Calibri Light" w:cs="Calibri Light"/>
        <w:b w:val="0"/>
        <w:bCs w:val="0"/>
        <w:noProof/>
        <w:color w:val="21286C"/>
        <w:sz w:val="16"/>
        <w:szCs w:val="16"/>
      </w:rPr>
      <w:t>6</w:t>
    </w:r>
    <w:r w:rsidRPr="00B906C6">
      <w:rPr>
        <w:rFonts w:ascii="Calibri Light" w:hAnsi="Calibri Light" w:cs="Calibri Light"/>
        <w:b w:val="0"/>
        <w:bCs w:val="0"/>
        <w:color w:val="21286C"/>
        <w:sz w:val="16"/>
        <w:szCs w:val="16"/>
      </w:rPr>
      <w:fldChar w:fldCharType="end"/>
    </w:r>
    <w:r>
      <w:rPr>
        <w:rFonts w:ascii="Calibri Light" w:hAnsi="Calibri Light"/>
        <w:b w:val="0"/>
        <w:color w:val="21286C"/>
        <w:sz w:val="16"/>
      </w:rPr>
      <w:t>/</w:t>
    </w:r>
    <w:r w:rsidRPr="00B906C6">
      <w:rPr>
        <w:rFonts w:ascii="Calibri Light" w:hAnsi="Calibri Light" w:cs="Calibri Light"/>
        <w:b w:val="0"/>
        <w:bCs w:val="0"/>
        <w:color w:val="21286C"/>
        <w:sz w:val="16"/>
        <w:szCs w:val="16"/>
      </w:rPr>
      <w:fldChar w:fldCharType="begin"/>
    </w:r>
    <w:r w:rsidRPr="00B906C6">
      <w:rPr>
        <w:rFonts w:ascii="Calibri Light" w:hAnsi="Calibri Light" w:cs="Calibri Light"/>
        <w:b w:val="0"/>
        <w:bCs w:val="0"/>
        <w:color w:val="21286C"/>
        <w:sz w:val="16"/>
        <w:szCs w:val="16"/>
      </w:rPr>
      <w:instrText xml:space="preserve"> NUMPAGES  \* MERGEFORMAT </w:instrText>
    </w:r>
    <w:r w:rsidRPr="00B906C6">
      <w:rPr>
        <w:rFonts w:ascii="Calibri Light" w:hAnsi="Calibri Light" w:cs="Calibri Light"/>
        <w:b w:val="0"/>
        <w:bCs w:val="0"/>
        <w:color w:val="21286C"/>
        <w:sz w:val="16"/>
        <w:szCs w:val="16"/>
      </w:rPr>
      <w:fldChar w:fldCharType="separate"/>
    </w:r>
    <w:r w:rsidR="00FB45A0">
      <w:rPr>
        <w:rFonts w:ascii="Calibri Light" w:hAnsi="Calibri Light" w:cs="Calibri Light"/>
        <w:b w:val="0"/>
        <w:bCs w:val="0"/>
        <w:noProof/>
        <w:color w:val="21286C"/>
        <w:sz w:val="16"/>
        <w:szCs w:val="16"/>
      </w:rPr>
      <w:t>6</w:t>
    </w:r>
    <w:r w:rsidRPr="00B906C6">
      <w:rPr>
        <w:rFonts w:ascii="Calibri Light" w:hAnsi="Calibri Light" w:cs="Calibri Light"/>
        <w:b w:val="0"/>
        <w:bCs w:val="0"/>
        <w:color w:val="21286C"/>
        <w:sz w:val="16"/>
        <w:szCs w:val="16"/>
      </w:rPr>
      <w:fldChar w:fldCharType="end"/>
    </w:r>
  </w:p>
  <w:p w14:paraId="10B3C16F" w14:textId="77777777" w:rsidR="002B6A79" w:rsidRDefault="002B6A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CEFA" w14:textId="77777777" w:rsidR="002D4C93" w:rsidRDefault="002D4C93">
      <w:r>
        <w:separator/>
      </w:r>
    </w:p>
  </w:footnote>
  <w:footnote w:type="continuationSeparator" w:id="0">
    <w:p w14:paraId="5446CBB2" w14:textId="77777777" w:rsidR="002D4C93" w:rsidRDefault="002D4C93">
      <w:r>
        <w:continuationSeparator/>
      </w:r>
    </w:p>
  </w:footnote>
  <w:footnote w:type="continuationNotice" w:id="1">
    <w:p w14:paraId="3A0DE076" w14:textId="77777777" w:rsidR="002D4C93" w:rsidRDefault="002D4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8540061"/>
      <w:docPartObj>
        <w:docPartGallery w:val="Page Numbers (Top of Page)"/>
        <w:docPartUnique/>
      </w:docPartObj>
    </w:sdtPr>
    <w:sdtContent>
      <w:p w14:paraId="03D28017" w14:textId="77777777" w:rsidR="002B6A79" w:rsidRDefault="00AA4C96" w:rsidP="00C622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3D88A9CE" w14:textId="77777777" w:rsidR="002B6A79" w:rsidRDefault="002B6A79" w:rsidP="00C6227F">
    <w:pPr>
      <w:pStyle w:val="Header"/>
      <w:ind w:right="360"/>
    </w:pPr>
  </w:p>
  <w:p w14:paraId="3EE70732" w14:textId="77777777" w:rsidR="002B6A79" w:rsidRDefault="002B6A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Light" w:hAnsi="Calibri Light" w:cs="Calibri Light"/>
        <w:color w:val="21286C"/>
        <w:sz w:val="32"/>
        <w:szCs w:val="32"/>
      </w:rPr>
      <w:id w:val="1266503990"/>
      <w:docPartObj>
        <w:docPartGallery w:val="Page Numbers (Top of Page)"/>
        <w:docPartUnique/>
      </w:docPartObj>
    </w:sdtPr>
    <w:sdtEndPr>
      <w:rPr>
        <w:rStyle w:val="PageNumber"/>
        <w:sz w:val="16"/>
        <w:szCs w:val="16"/>
      </w:rPr>
    </w:sdtEndPr>
    <w:sdtContent>
      <w:sdt>
        <w:sdtPr>
          <w:rPr>
            <w:rStyle w:val="PageNumber"/>
            <w:rFonts w:ascii="Calibri Light" w:hAnsi="Calibri Light" w:cs="Calibri Light"/>
            <w:color w:val="21286C"/>
            <w:sz w:val="32"/>
            <w:szCs w:val="32"/>
          </w:rPr>
          <w:id w:val="-495584396"/>
          <w:docPartObj>
            <w:docPartGallery w:val="Page Numbers (Top of Page)"/>
            <w:docPartUnique/>
          </w:docPartObj>
        </w:sdtPr>
        <w:sdtEndPr>
          <w:rPr>
            <w:rStyle w:val="PageNumber"/>
            <w:sz w:val="21"/>
            <w:szCs w:val="21"/>
          </w:rPr>
        </w:sdtEndPr>
        <w:sdtContent>
          <w:p w14:paraId="24C27B82" w14:textId="77777777" w:rsidR="002B6A79" w:rsidRPr="00061614" w:rsidRDefault="00AA4C96" w:rsidP="00C6227F">
            <w:pPr>
              <w:pStyle w:val="Header"/>
              <w:framePr w:w="3665" w:wrap="none" w:vAnchor="text" w:hAnchor="page" w:x="7104" w:y="193"/>
              <w:spacing w:line="276" w:lineRule="auto"/>
              <w:jc w:val="right"/>
              <w:rPr>
                <w:rStyle w:val="PageNumber"/>
                <w:rFonts w:ascii="Calibri Light" w:hAnsi="Calibri Light" w:cs="Calibri Light"/>
                <w:color w:val="21286C"/>
                <w:sz w:val="32"/>
                <w:szCs w:val="32"/>
              </w:rPr>
            </w:pPr>
            <w:r>
              <w:rPr>
                <w:rStyle w:val="PageNumber"/>
                <w:rFonts w:ascii="Calibri Light" w:hAnsi="Calibri Light"/>
                <w:color w:val="21286C"/>
                <w:sz w:val="32"/>
              </w:rPr>
              <w:t>Δελτίο Τύπου</w:t>
            </w:r>
          </w:p>
          <w:p w14:paraId="7B4ED01B" w14:textId="77777777" w:rsidR="00594719" w:rsidRPr="00936993" w:rsidRDefault="00594719" w:rsidP="00594719">
            <w:pPr>
              <w:pStyle w:val="Header"/>
              <w:framePr w:w="3665" w:wrap="none" w:vAnchor="text" w:hAnchor="page" w:x="7104" w:y="193"/>
              <w:spacing w:line="276" w:lineRule="auto"/>
              <w:jc w:val="right"/>
              <w:rPr>
                <w:rStyle w:val="PageNumber"/>
                <w:rFonts w:ascii="Calibri Light" w:hAnsi="Calibri Light" w:cs="Calibri Light"/>
                <w:color w:val="21286C"/>
                <w:sz w:val="21"/>
                <w:szCs w:val="21"/>
              </w:rPr>
            </w:pPr>
            <w:r>
              <w:rPr>
                <w:rStyle w:val="PageNumber"/>
                <w:rFonts w:ascii="Calibri Light" w:hAnsi="Calibri Light" w:cs="Calibri Light"/>
                <w:color w:val="21286C"/>
                <w:sz w:val="21"/>
                <w:szCs w:val="21"/>
              </w:rPr>
              <w:t>Ρυθμιζόμενη Πληροφόρηση</w:t>
            </w:r>
          </w:p>
          <w:p w14:paraId="7797C13C" w14:textId="77777777" w:rsidR="002B6A79" w:rsidRPr="00061614" w:rsidRDefault="002B6A79" w:rsidP="00C6227F">
            <w:pPr>
              <w:pStyle w:val="Header"/>
              <w:framePr w:w="3665" w:wrap="none" w:vAnchor="text" w:hAnchor="page" w:x="7104" w:y="193"/>
              <w:spacing w:line="276" w:lineRule="auto"/>
              <w:jc w:val="right"/>
              <w:rPr>
                <w:rStyle w:val="PageNumber"/>
                <w:rFonts w:ascii="Calibri Light" w:hAnsi="Calibri Light" w:cs="Calibri Light"/>
                <w:color w:val="21286C"/>
              </w:rPr>
            </w:pPr>
          </w:p>
          <w:p w14:paraId="13DD123C" w14:textId="77777777" w:rsidR="002B6A79" w:rsidRPr="00061614" w:rsidRDefault="002B6A79" w:rsidP="00C6227F">
            <w:pPr>
              <w:pStyle w:val="Header"/>
              <w:framePr w:w="3665" w:wrap="none" w:vAnchor="text" w:hAnchor="page" w:x="7104" w:y="193"/>
              <w:spacing w:line="276" w:lineRule="auto"/>
              <w:jc w:val="right"/>
              <w:rPr>
                <w:rStyle w:val="PageNumber"/>
                <w:rFonts w:ascii="Calibri Light" w:hAnsi="Calibri Light" w:cs="Calibri Light"/>
                <w:color w:val="21286C"/>
              </w:rPr>
            </w:pPr>
          </w:p>
          <w:p w14:paraId="23114FF4" w14:textId="77777777" w:rsidR="002B6A79" w:rsidRPr="00061614" w:rsidRDefault="002B6A79" w:rsidP="00C6227F">
            <w:pPr>
              <w:pStyle w:val="Header"/>
              <w:framePr w:w="3665" w:wrap="none" w:vAnchor="text" w:hAnchor="page" w:x="7104" w:y="193"/>
              <w:spacing w:line="276" w:lineRule="auto"/>
              <w:jc w:val="right"/>
              <w:rPr>
                <w:rStyle w:val="PageNumber"/>
                <w:rFonts w:ascii="Calibri Light" w:hAnsi="Calibri Light" w:cs="Calibri Light"/>
                <w:color w:val="21286C"/>
              </w:rPr>
            </w:pPr>
          </w:p>
          <w:p w14:paraId="6A351A68" w14:textId="77777777" w:rsidR="002B6A79" w:rsidRPr="00061614" w:rsidRDefault="00000000" w:rsidP="00C6227F">
            <w:pPr>
              <w:pStyle w:val="Header"/>
              <w:framePr w:w="3665" w:wrap="none" w:vAnchor="text" w:hAnchor="page" w:x="7104" w:y="193"/>
              <w:spacing w:line="276" w:lineRule="auto"/>
              <w:jc w:val="right"/>
              <w:rPr>
                <w:rStyle w:val="PageNumber"/>
                <w:rFonts w:ascii="Calibri Light" w:eastAsia="Times New Roman" w:hAnsi="Calibri Light" w:cs="Calibri Light"/>
                <w:color w:val="21286C"/>
                <w:sz w:val="21"/>
                <w:szCs w:val="21"/>
              </w:rPr>
            </w:pPr>
          </w:p>
        </w:sdtContent>
      </w:sdt>
      <w:p w14:paraId="1242EEA9" w14:textId="77777777" w:rsidR="002B6A79" w:rsidRPr="00061614" w:rsidRDefault="00000000" w:rsidP="00C6227F">
        <w:pPr>
          <w:pStyle w:val="Header"/>
          <w:framePr w:w="3665" w:wrap="none" w:vAnchor="text" w:hAnchor="page" w:x="7104" w:y="193"/>
          <w:spacing w:line="276" w:lineRule="auto"/>
          <w:jc w:val="right"/>
          <w:rPr>
            <w:rStyle w:val="PageNumber"/>
            <w:rFonts w:ascii="Calibri Light" w:hAnsi="Calibri Light" w:cs="Calibri Light"/>
            <w:color w:val="21286C"/>
            <w:sz w:val="16"/>
            <w:szCs w:val="16"/>
          </w:rPr>
        </w:pPr>
      </w:p>
    </w:sdtContent>
  </w:sdt>
  <w:p w14:paraId="2CCA8BEF" w14:textId="77777777" w:rsidR="002B6A79" w:rsidRPr="00061614" w:rsidRDefault="00AA4C96" w:rsidP="00C6227F">
    <w:pPr>
      <w:pStyle w:val="Header"/>
      <w:tabs>
        <w:tab w:val="clear" w:pos="4153"/>
        <w:tab w:val="clear" w:pos="8306"/>
        <w:tab w:val="left" w:pos="2053"/>
        <w:tab w:val="left" w:pos="7086"/>
      </w:tabs>
      <w:ind w:left="-851" w:right="288"/>
      <w:jc w:val="both"/>
      <w:rPr>
        <w:color w:val="21286C"/>
      </w:rPr>
    </w:pPr>
    <w:r>
      <w:rPr>
        <w:noProof/>
        <w:color w:val="21286C"/>
        <w:lang w:val="en-US" w:eastAsia="en-US" w:bidi="ar-SA"/>
      </w:rPr>
      <w:drawing>
        <wp:inline distT="0" distB="0" distL="0" distR="0" wp14:anchorId="7D3815A7" wp14:editId="6BA39D87">
          <wp:extent cx="1984363" cy="820058"/>
          <wp:effectExtent l="0" t="0" r="0" b="0"/>
          <wp:docPr id="639595380" name="Picture 1" descr="A logo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76752" name="Picture 1" descr="A logo with blue and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4363" cy="820058"/>
                  </a:xfrm>
                  <a:prstGeom prst="rect">
                    <a:avLst/>
                  </a:prstGeom>
                </pic:spPr>
              </pic:pic>
            </a:graphicData>
          </a:graphic>
        </wp:inline>
      </w:drawing>
    </w:r>
    <w:r>
      <w:rPr>
        <w:color w:val="21286C"/>
      </w:rPr>
      <w:t xml:space="preserve"> </w:t>
    </w:r>
    <w:r>
      <w:tab/>
    </w:r>
    <w:r>
      <w:tab/>
    </w:r>
    <w:r>
      <w:rPr>
        <w:color w:val="21286C"/>
      </w:rPr>
      <w:t xml:space="preserve"> </w:t>
    </w:r>
  </w:p>
  <w:p w14:paraId="71670EB0" w14:textId="77777777" w:rsidR="002B6A79" w:rsidRDefault="002B6A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3BC9"/>
    <w:multiLevelType w:val="hybridMultilevel"/>
    <w:tmpl w:val="F894FF84"/>
    <w:lvl w:ilvl="0" w:tplc="22127008">
      <w:start w:val="1"/>
      <w:numFmt w:val="bullet"/>
      <w:pStyle w:val="Copy-bullets"/>
      <w:lvlText w:val=""/>
      <w:lvlJc w:val="left"/>
      <w:pPr>
        <w:ind w:left="288" w:hanging="288"/>
      </w:pPr>
      <w:rPr>
        <w:rFonts w:ascii="Symbol" w:hAnsi="Symbol" w:hint="default"/>
        <w:b w:val="0"/>
        <w:i w:val="0"/>
        <w:sz w:val="16"/>
        <w14:numSpacing w14:val="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30572"/>
    <w:multiLevelType w:val="hybridMultilevel"/>
    <w:tmpl w:val="CF2E93A4"/>
    <w:lvl w:ilvl="0" w:tplc="5D503896">
      <w:numFmt w:val="bullet"/>
      <w:lvlText w:val=""/>
      <w:lvlJc w:val="left"/>
      <w:pPr>
        <w:ind w:left="973" w:hanging="360"/>
      </w:pPr>
      <w:rPr>
        <w:rFonts w:ascii="Symbol" w:eastAsia="Symbol" w:hAnsi="Symbol" w:cs="Symbol" w:hint="default"/>
        <w:color w:val="21286C"/>
        <w:w w:val="100"/>
        <w:sz w:val="22"/>
        <w:szCs w:val="22"/>
        <w:lang w:val="el-GR" w:eastAsia="el-GR" w:bidi="el-GR"/>
      </w:rPr>
    </w:lvl>
    <w:lvl w:ilvl="1" w:tplc="6A7EC516">
      <w:numFmt w:val="bullet"/>
      <w:lvlText w:val="•"/>
      <w:lvlJc w:val="left"/>
      <w:pPr>
        <w:ind w:left="1910" w:hanging="360"/>
      </w:pPr>
      <w:rPr>
        <w:rFonts w:hint="default"/>
        <w:lang w:val="el-GR" w:eastAsia="el-GR" w:bidi="el-GR"/>
      </w:rPr>
    </w:lvl>
    <w:lvl w:ilvl="2" w:tplc="6B868180">
      <w:numFmt w:val="bullet"/>
      <w:lvlText w:val="•"/>
      <w:lvlJc w:val="left"/>
      <w:pPr>
        <w:ind w:left="2841" w:hanging="360"/>
      </w:pPr>
      <w:rPr>
        <w:rFonts w:hint="default"/>
        <w:lang w:val="el-GR" w:eastAsia="el-GR" w:bidi="el-GR"/>
      </w:rPr>
    </w:lvl>
    <w:lvl w:ilvl="3" w:tplc="791C8E46">
      <w:numFmt w:val="bullet"/>
      <w:lvlText w:val="•"/>
      <w:lvlJc w:val="left"/>
      <w:pPr>
        <w:ind w:left="3771" w:hanging="360"/>
      </w:pPr>
      <w:rPr>
        <w:rFonts w:hint="default"/>
        <w:lang w:val="el-GR" w:eastAsia="el-GR" w:bidi="el-GR"/>
      </w:rPr>
    </w:lvl>
    <w:lvl w:ilvl="4" w:tplc="7E5E83E8">
      <w:numFmt w:val="bullet"/>
      <w:lvlText w:val="•"/>
      <w:lvlJc w:val="left"/>
      <w:pPr>
        <w:ind w:left="4702" w:hanging="360"/>
      </w:pPr>
      <w:rPr>
        <w:rFonts w:hint="default"/>
        <w:lang w:val="el-GR" w:eastAsia="el-GR" w:bidi="el-GR"/>
      </w:rPr>
    </w:lvl>
    <w:lvl w:ilvl="5" w:tplc="F32A58D6">
      <w:numFmt w:val="bullet"/>
      <w:lvlText w:val="•"/>
      <w:lvlJc w:val="left"/>
      <w:pPr>
        <w:ind w:left="5633" w:hanging="360"/>
      </w:pPr>
      <w:rPr>
        <w:rFonts w:hint="default"/>
        <w:lang w:val="el-GR" w:eastAsia="el-GR" w:bidi="el-GR"/>
      </w:rPr>
    </w:lvl>
    <w:lvl w:ilvl="6" w:tplc="740A0858">
      <w:numFmt w:val="bullet"/>
      <w:lvlText w:val="•"/>
      <w:lvlJc w:val="left"/>
      <w:pPr>
        <w:ind w:left="6563" w:hanging="360"/>
      </w:pPr>
      <w:rPr>
        <w:rFonts w:hint="default"/>
        <w:lang w:val="el-GR" w:eastAsia="el-GR" w:bidi="el-GR"/>
      </w:rPr>
    </w:lvl>
    <w:lvl w:ilvl="7" w:tplc="82F8FAD4">
      <w:numFmt w:val="bullet"/>
      <w:lvlText w:val="•"/>
      <w:lvlJc w:val="left"/>
      <w:pPr>
        <w:ind w:left="7494" w:hanging="360"/>
      </w:pPr>
      <w:rPr>
        <w:rFonts w:hint="default"/>
        <w:lang w:val="el-GR" w:eastAsia="el-GR" w:bidi="el-GR"/>
      </w:rPr>
    </w:lvl>
    <w:lvl w:ilvl="8" w:tplc="649AFD7A">
      <w:numFmt w:val="bullet"/>
      <w:lvlText w:val="•"/>
      <w:lvlJc w:val="left"/>
      <w:pPr>
        <w:ind w:left="8425" w:hanging="360"/>
      </w:pPr>
      <w:rPr>
        <w:rFonts w:hint="default"/>
        <w:lang w:val="el-GR" w:eastAsia="el-GR" w:bidi="el-GR"/>
      </w:rPr>
    </w:lvl>
  </w:abstractNum>
  <w:abstractNum w:abstractNumId="2" w15:restartNumberingAfterBreak="0">
    <w:nsid w:val="5BFD37B6"/>
    <w:multiLevelType w:val="hybridMultilevel"/>
    <w:tmpl w:val="A9885546"/>
    <w:lvl w:ilvl="0" w:tplc="F46C7888">
      <w:start w:val="1"/>
      <w:numFmt w:val="bullet"/>
      <w:lvlText w:val="−"/>
      <w:lvlJc w:val="left"/>
      <w:pPr>
        <w:ind w:left="288" w:hanging="288"/>
      </w:pPr>
      <w:rPr>
        <w:rFonts w:ascii="Calibri" w:hAnsi="Calibri" w:hint="default"/>
        <w:b w:val="0"/>
        <w:i w:val="0"/>
        <w:sz w:val="16"/>
        <w14:numSpacing w14:val="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1000541">
    <w:abstractNumId w:val="1"/>
  </w:num>
  <w:num w:numId="2" w16cid:durableId="1942640588">
    <w:abstractNumId w:val="0"/>
  </w:num>
  <w:num w:numId="3" w16cid:durableId="1877307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96"/>
    <w:rsid w:val="0000515F"/>
    <w:rsid w:val="00006648"/>
    <w:rsid w:val="00010632"/>
    <w:rsid w:val="0001204D"/>
    <w:rsid w:val="00013D63"/>
    <w:rsid w:val="00015151"/>
    <w:rsid w:val="00015BCF"/>
    <w:rsid w:val="00015E75"/>
    <w:rsid w:val="00023946"/>
    <w:rsid w:val="00025F2D"/>
    <w:rsid w:val="00032F43"/>
    <w:rsid w:val="000345F0"/>
    <w:rsid w:val="0003757C"/>
    <w:rsid w:val="000435A6"/>
    <w:rsid w:val="0006363D"/>
    <w:rsid w:val="00065984"/>
    <w:rsid w:val="00074DF4"/>
    <w:rsid w:val="000770F6"/>
    <w:rsid w:val="00083748"/>
    <w:rsid w:val="00083FED"/>
    <w:rsid w:val="000A0405"/>
    <w:rsid w:val="000A39C1"/>
    <w:rsid w:val="000A4091"/>
    <w:rsid w:val="000C08FA"/>
    <w:rsid w:val="000C0B6A"/>
    <w:rsid w:val="000C178E"/>
    <w:rsid w:val="000C229B"/>
    <w:rsid w:val="000C2FA6"/>
    <w:rsid w:val="000C4568"/>
    <w:rsid w:val="000C6E72"/>
    <w:rsid w:val="000C788A"/>
    <w:rsid w:val="000D0BD2"/>
    <w:rsid w:val="000D6040"/>
    <w:rsid w:val="000F21F4"/>
    <w:rsid w:val="000F564D"/>
    <w:rsid w:val="00111910"/>
    <w:rsid w:val="00111A80"/>
    <w:rsid w:val="001129F7"/>
    <w:rsid w:val="0011327F"/>
    <w:rsid w:val="00117AD1"/>
    <w:rsid w:val="00120B0D"/>
    <w:rsid w:val="00120D04"/>
    <w:rsid w:val="0012225E"/>
    <w:rsid w:val="00125D2F"/>
    <w:rsid w:val="001353F3"/>
    <w:rsid w:val="0013757D"/>
    <w:rsid w:val="00161A81"/>
    <w:rsid w:val="00161CB0"/>
    <w:rsid w:val="00164353"/>
    <w:rsid w:val="00173FC8"/>
    <w:rsid w:val="00174F6E"/>
    <w:rsid w:val="0017554B"/>
    <w:rsid w:val="00175D1F"/>
    <w:rsid w:val="0018120D"/>
    <w:rsid w:val="001877C1"/>
    <w:rsid w:val="001951BD"/>
    <w:rsid w:val="001A1FB2"/>
    <w:rsid w:val="001B1E55"/>
    <w:rsid w:val="001B37A9"/>
    <w:rsid w:val="001B4E91"/>
    <w:rsid w:val="001B5CBC"/>
    <w:rsid w:val="001C0462"/>
    <w:rsid w:val="001C0E38"/>
    <w:rsid w:val="001C7A47"/>
    <w:rsid w:val="001D1241"/>
    <w:rsid w:val="001D2CD7"/>
    <w:rsid w:val="001D7FCF"/>
    <w:rsid w:val="001E5152"/>
    <w:rsid w:val="001E5B29"/>
    <w:rsid w:val="001F1B4A"/>
    <w:rsid w:val="00200ECC"/>
    <w:rsid w:val="0020334D"/>
    <w:rsid w:val="0020412F"/>
    <w:rsid w:val="00204E7D"/>
    <w:rsid w:val="00207D5D"/>
    <w:rsid w:val="00212BE4"/>
    <w:rsid w:val="002148CB"/>
    <w:rsid w:val="0021510A"/>
    <w:rsid w:val="00215A3D"/>
    <w:rsid w:val="0021744D"/>
    <w:rsid w:val="0022252F"/>
    <w:rsid w:val="002238E8"/>
    <w:rsid w:val="00230712"/>
    <w:rsid w:val="002422BB"/>
    <w:rsid w:val="002434BA"/>
    <w:rsid w:val="002522A3"/>
    <w:rsid w:val="00254115"/>
    <w:rsid w:val="002606A0"/>
    <w:rsid w:val="00261DB7"/>
    <w:rsid w:val="00267730"/>
    <w:rsid w:val="00273FF0"/>
    <w:rsid w:val="002758EB"/>
    <w:rsid w:val="00290C73"/>
    <w:rsid w:val="00292CA6"/>
    <w:rsid w:val="00294936"/>
    <w:rsid w:val="002A1BF8"/>
    <w:rsid w:val="002A5019"/>
    <w:rsid w:val="002A51F8"/>
    <w:rsid w:val="002B267E"/>
    <w:rsid w:val="002B6A79"/>
    <w:rsid w:val="002C175A"/>
    <w:rsid w:val="002C1CDD"/>
    <w:rsid w:val="002D25AB"/>
    <w:rsid w:val="002D4C93"/>
    <w:rsid w:val="002D551F"/>
    <w:rsid w:val="002D5D47"/>
    <w:rsid w:val="002E326A"/>
    <w:rsid w:val="002F00E2"/>
    <w:rsid w:val="002F23D6"/>
    <w:rsid w:val="0030305C"/>
    <w:rsid w:val="00303AB1"/>
    <w:rsid w:val="00304C0F"/>
    <w:rsid w:val="00313490"/>
    <w:rsid w:val="00316C0D"/>
    <w:rsid w:val="00320B5F"/>
    <w:rsid w:val="003263E1"/>
    <w:rsid w:val="00330DFC"/>
    <w:rsid w:val="00331743"/>
    <w:rsid w:val="00333CC4"/>
    <w:rsid w:val="0034245B"/>
    <w:rsid w:val="00342D94"/>
    <w:rsid w:val="003458F5"/>
    <w:rsid w:val="00347C13"/>
    <w:rsid w:val="0035310F"/>
    <w:rsid w:val="003556D5"/>
    <w:rsid w:val="00356000"/>
    <w:rsid w:val="003560DB"/>
    <w:rsid w:val="00356682"/>
    <w:rsid w:val="00357306"/>
    <w:rsid w:val="0036049F"/>
    <w:rsid w:val="00362D38"/>
    <w:rsid w:val="00364E07"/>
    <w:rsid w:val="00367BA6"/>
    <w:rsid w:val="00371988"/>
    <w:rsid w:val="00372C54"/>
    <w:rsid w:val="00375184"/>
    <w:rsid w:val="0038311A"/>
    <w:rsid w:val="0038463C"/>
    <w:rsid w:val="00386219"/>
    <w:rsid w:val="00387E2A"/>
    <w:rsid w:val="00397402"/>
    <w:rsid w:val="003A3A38"/>
    <w:rsid w:val="003B61DE"/>
    <w:rsid w:val="003C5230"/>
    <w:rsid w:val="003D4DCE"/>
    <w:rsid w:val="003E21B6"/>
    <w:rsid w:val="003E60F2"/>
    <w:rsid w:val="003F06B9"/>
    <w:rsid w:val="003F32CE"/>
    <w:rsid w:val="003F4E7A"/>
    <w:rsid w:val="00407FE8"/>
    <w:rsid w:val="004122B7"/>
    <w:rsid w:val="00412D81"/>
    <w:rsid w:val="004154C3"/>
    <w:rsid w:val="004158C3"/>
    <w:rsid w:val="00415923"/>
    <w:rsid w:val="004202BB"/>
    <w:rsid w:val="004206B9"/>
    <w:rsid w:val="004222E0"/>
    <w:rsid w:val="00422935"/>
    <w:rsid w:val="00423D95"/>
    <w:rsid w:val="00436DF1"/>
    <w:rsid w:val="00450BE8"/>
    <w:rsid w:val="00453040"/>
    <w:rsid w:val="00453213"/>
    <w:rsid w:val="0045417E"/>
    <w:rsid w:val="004606C0"/>
    <w:rsid w:val="00460E67"/>
    <w:rsid w:val="00463DC5"/>
    <w:rsid w:val="004650E5"/>
    <w:rsid w:val="004656D2"/>
    <w:rsid w:val="00471BDE"/>
    <w:rsid w:val="00474534"/>
    <w:rsid w:val="00482B6F"/>
    <w:rsid w:val="004833C3"/>
    <w:rsid w:val="00487286"/>
    <w:rsid w:val="004873F8"/>
    <w:rsid w:val="004923B7"/>
    <w:rsid w:val="004926F9"/>
    <w:rsid w:val="004939B2"/>
    <w:rsid w:val="00494ADB"/>
    <w:rsid w:val="0049684D"/>
    <w:rsid w:val="004A4227"/>
    <w:rsid w:val="004B23D5"/>
    <w:rsid w:val="004B3C14"/>
    <w:rsid w:val="004B3F10"/>
    <w:rsid w:val="004B4C84"/>
    <w:rsid w:val="004B5E31"/>
    <w:rsid w:val="004D10FE"/>
    <w:rsid w:val="004D11ED"/>
    <w:rsid w:val="004D259C"/>
    <w:rsid w:val="004D6D81"/>
    <w:rsid w:val="004F6F44"/>
    <w:rsid w:val="00507E4D"/>
    <w:rsid w:val="00513DDB"/>
    <w:rsid w:val="0051744D"/>
    <w:rsid w:val="0051789F"/>
    <w:rsid w:val="00524C1D"/>
    <w:rsid w:val="005277E1"/>
    <w:rsid w:val="0054391E"/>
    <w:rsid w:val="00544358"/>
    <w:rsid w:val="0054719A"/>
    <w:rsid w:val="005503EE"/>
    <w:rsid w:val="0055430A"/>
    <w:rsid w:val="00563AFF"/>
    <w:rsid w:val="00567ADE"/>
    <w:rsid w:val="005705B7"/>
    <w:rsid w:val="00573B3A"/>
    <w:rsid w:val="00583DD7"/>
    <w:rsid w:val="005911EE"/>
    <w:rsid w:val="005917F0"/>
    <w:rsid w:val="00594719"/>
    <w:rsid w:val="0059612A"/>
    <w:rsid w:val="00596EF3"/>
    <w:rsid w:val="00597814"/>
    <w:rsid w:val="00597CB3"/>
    <w:rsid w:val="005A02CB"/>
    <w:rsid w:val="005A10B4"/>
    <w:rsid w:val="005A18A2"/>
    <w:rsid w:val="005A2F6A"/>
    <w:rsid w:val="005A79E0"/>
    <w:rsid w:val="005B3043"/>
    <w:rsid w:val="005C13AD"/>
    <w:rsid w:val="005C393B"/>
    <w:rsid w:val="005C3BF3"/>
    <w:rsid w:val="005C6E02"/>
    <w:rsid w:val="005D2EB1"/>
    <w:rsid w:val="005D32F3"/>
    <w:rsid w:val="005D78ED"/>
    <w:rsid w:val="005E3F69"/>
    <w:rsid w:val="005F07AB"/>
    <w:rsid w:val="005F303D"/>
    <w:rsid w:val="005F342F"/>
    <w:rsid w:val="005F4DC5"/>
    <w:rsid w:val="0060154A"/>
    <w:rsid w:val="006016B5"/>
    <w:rsid w:val="0060288B"/>
    <w:rsid w:val="00606BAB"/>
    <w:rsid w:val="00607E50"/>
    <w:rsid w:val="00613C7B"/>
    <w:rsid w:val="00614F17"/>
    <w:rsid w:val="00617512"/>
    <w:rsid w:val="006177F9"/>
    <w:rsid w:val="00620AA5"/>
    <w:rsid w:val="00625255"/>
    <w:rsid w:val="00627037"/>
    <w:rsid w:val="00643678"/>
    <w:rsid w:val="00643857"/>
    <w:rsid w:val="006449AF"/>
    <w:rsid w:val="00647311"/>
    <w:rsid w:val="00650397"/>
    <w:rsid w:val="006504E7"/>
    <w:rsid w:val="00651549"/>
    <w:rsid w:val="00653B0C"/>
    <w:rsid w:val="00653DAF"/>
    <w:rsid w:val="006565C8"/>
    <w:rsid w:val="006574B5"/>
    <w:rsid w:val="00657B69"/>
    <w:rsid w:val="00665FC5"/>
    <w:rsid w:val="00666939"/>
    <w:rsid w:val="00672D0A"/>
    <w:rsid w:val="00675956"/>
    <w:rsid w:val="00680112"/>
    <w:rsid w:val="006804A1"/>
    <w:rsid w:val="00681BCC"/>
    <w:rsid w:val="00681E99"/>
    <w:rsid w:val="0068320E"/>
    <w:rsid w:val="0068500F"/>
    <w:rsid w:val="006864B8"/>
    <w:rsid w:val="00687B87"/>
    <w:rsid w:val="00687E75"/>
    <w:rsid w:val="006944BE"/>
    <w:rsid w:val="006A0E8B"/>
    <w:rsid w:val="006A5377"/>
    <w:rsid w:val="006A70ED"/>
    <w:rsid w:val="006B0BB9"/>
    <w:rsid w:val="006B2D01"/>
    <w:rsid w:val="006B6DE5"/>
    <w:rsid w:val="006C6A7A"/>
    <w:rsid w:val="006C731E"/>
    <w:rsid w:val="006D29E3"/>
    <w:rsid w:val="006D32A1"/>
    <w:rsid w:val="006D4E80"/>
    <w:rsid w:val="006D7099"/>
    <w:rsid w:val="006E642A"/>
    <w:rsid w:val="006E7103"/>
    <w:rsid w:val="006F37DE"/>
    <w:rsid w:val="006F383A"/>
    <w:rsid w:val="006F46AF"/>
    <w:rsid w:val="006F68C0"/>
    <w:rsid w:val="006F6B80"/>
    <w:rsid w:val="006F6FC9"/>
    <w:rsid w:val="006F7406"/>
    <w:rsid w:val="00711C38"/>
    <w:rsid w:val="0071300C"/>
    <w:rsid w:val="00714CE9"/>
    <w:rsid w:val="007150A9"/>
    <w:rsid w:val="007169A6"/>
    <w:rsid w:val="00731860"/>
    <w:rsid w:val="0073189F"/>
    <w:rsid w:val="0073264E"/>
    <w:rsid w:val="007343DC"/>
    <w:rsid w:val="00734733"/>
    <w:rsid w:val="00737B17"/>
    <w:rsid w:val="007432B4"/>
    <w:rsid w:val="00754B83"/>
    <w:rsid w:val="00761499"/>
    <w:rsid w:val="00761E9A"/>
    <w:rsid w:val="0076559B"/>
    <w:rsid w:val="00780397"/>
    <w:rsid w:val="007803AE"/>
    <w:rsid w:val="00781FD3"/>
    <w:rsid w:val="007823FE"/>
    <w:rsid w:val="007825B1"/>
    <w:rsid w:val="00785D4D"/>
    <w:rsid w:val="00792EE0"/>
    <w:rsid w:val="0079311C"/>
    <w:rsid w:val="00797BE6"/>
    <w:rsid w:val="007A00A8"/>
    <w:rsid w:val="007A3823"/>
    <w:rsid w:val="007A6575"/>
    <w:rsid w:val="007B1B5F"/>
    <w:rsid w:val="007B3AED"/>
    <w:rsid w:val="007B3EDE"/>
    <w:rsid w:val="007B6E52"/>
    <w:rsid w:val="007C018B"/>
    <w:rsid w:val="007C33C7"/>
    <w:rsid w:val="007C6568"/>
    <w:rsid w:val="007D52EA"/>
    <w:rsid w:val="007D627C"/>
    <w:rsid w:val="007D64A0"/>
    <w:rsid w:val="007D7F7A"/>
    <w:rsid w:val="007E5AC2"/>
    <w:rsid w:val="00802C07"/>
    <w:rsid w:val="00802FFF"/>
    <w:rsid w:val="008048D0"/>
    <w:rsid w:val="00805210"/>
    <w:rsid w:val="00810B1D"/>
    <w:rsid w:val="0083084B"/>
    <w:rsid w:val="008339C2"/>
    <w:rsid w:val="0083411F"/>
    <w:rsid w:val="00837814"/>
    <w:rsid w:val="00845982"/>
    <w:rsid w:val="008464CE"/>
    <w:rsid w:val="00852D27"/>
    <w:rsid w:val="00855A4C"/>
    <w:rsid w:val="00873C68"/>
    <w:rsid w:val="008813F0"/>
    <w:rsid w:val="00882C81"/>
    <w:rsid w:val="008839FB"/>
    <w:rsid w:val="008A2694"/>
    <w:rsid w:val="008A2920"/>
    <w:rsid w:val="008A36C2"/>
    <w:rsid w:val="008A4FE8"/>
    <w:rsid w:val="008B26E2"/>
    <w:rsid w:val="008B7668"/>
    <w:rsid w:val="008C3153"/>
    <w:rsid w:val="008C62FA"/>
    <w:rsid w:val="008C7FF8"/>
    <w:rsid w:val="008D2844"/>
    <w:rsid w:val="008D6614"/>
    <w:rsid w:val="008D7D75"/>
    <w:rsid w:val="008E001A"/>
    <w:rsid w:val="008E28BE"/>
    <w:rsid w:val="008E36D7"/>
    <w:rsid w:val="008E74A6"/>
    <w:rsid w:val="008F0AFE"/>
    <w:rsid w:val="008F0EB4"/>
    <w:rsid w:val="008F66E8"/>
    <w:rsid w:val="009006E5"/>
    <w:rsid w:val="00900822"/>
    <w:rsid w:val="00903496"/>
    <w:rsid w:val="0090355E"/>
    <w:rsid w:val="009069F9"/>
    <w:rsid w:val="00913BB6"/>
    <w:rsid w:val="00913E5E"/>
    <w:rsid w:val="009143CE"/>
    <w:rsid w:val="00927D31"/>
    <w:rsid w:val="00931B40"/>
    <w:rsid w:val="009342BF"/>
    <w:rsid w:val="00934A16"/>
    <w:rsid w:val="0093747F"/>
    <w:rsid w:val="009404CC"/>
    <w:rsid w:val="00946613"/>
    <w:rsid w:val="00951DBE"/>
    <w:rsid w:val="00953464"/>
    <w:rsid w:val="00954F28"/>
    <w:rsid w:val="00957A74"/>
    <w:rsid w:val="00957D28"/>
    <w:rsid w:val="0096008A"/>
    <w:rsid w:val="00961FED"/>
    <w:rsid w:val="009623AE"/>
    <w:rsid w:val="0097138E"/>
    <w:rsid w:val="00972708"/>
    <w:rsid w:val="009805E8"/>
    <w:rsid w:val="009813B2"/>
    <w:rsid w:val="009834DC"/>
    <w:rsid w:val="009835D6"/>
    <w:rsid w:val="00984BCF"/>
    <w:rsid w:val="00986510"/>
    <w:rsid w:val="00990768"/>
    <w:rsid w:val="00996C3E"/>
    <w:rsid w:val="009973BF"/>
    <w:rsid w:val="009A1850"/>
    <w:rsid w:val="009B1B10"/>
    <w:rsid w:val="009B2329"/>
    <w:rsid w:val="009C01FD"/>
    <w:rsid w:val="009D3049"/>
    <w:rsid w:val="009D3AD0"/>
    <w:rsid w:val="009E138C"/>
    <w:rsid w:val="009E3904"/>
    <w:rsid w:val="009E7690"/>
    <w:rsid w:val="009F3B0D"/>
    <w:rsid w:val="009F59CA"/>
    <w:rsid w:val="00A0399E"/>
    <w:rsid w:val="00A06329"/>
    <w:rsid w:val="00A14C35"/>
    <w:rsid w:val="00A16A7A"/>
    <w:rsid w:val="00A21E9F"/>
    <w:rsid w:val="00A2377D"/>
    <w:rsid w:val="00A24CBB"/>
    <w:rsid w:val="00A25C82"/>
    <w:rsid w:val="00A34AD9"/>
    <w:rsid w:val="00A35AB3"/>
    <w:rsid w:val="00A36A5C"/>
    <w:rsid w:val="00A40AE6"/>
    <w:rsid w:val="00A52054"/>
    <w:rsid w:val="00A556A6"/>
    <w:rsid w:val="00A705B0"/>
    <w:rsid w:val="00A70700"/>
    <w:rsid w:val="00A70B02"/>
    <w:rsid w:val="00A727E0"/>
    <w:rsid w:val="00A77F9D"/>
    <w:rsid w:val="00A87339"/>
    <w:rsid w:val="00A87EC1"/>
    <w:rsid w:val="00A91B26"/>
    <w:rsid w:val="00A9525D"/>
    <w:rsid w:val="00A952BA"/>
    <w:rsid w:val="00AA4C96"/>
    <w:rsid w:val="00AA50AE"/>
    <w:rsid w:val="00AB0789"/>
    <w:rsid w:val="00AC0852"/>
    <w:rsid w:val="00AC386E"/>
    <w:rsid w:val="00AC75E3"/>
    <w:rsid w:val="00AD0C7B"/>
    <w:rsid w:val="00AD35D5"/>
    <w:rsid w:val="00AD52C2"/>
    <w:rsid w:val="00AD7AB1"/>
    <w:rsid w:val="00AE2B7D"/>
    <w:rsid w:val="00AE3877"/>
    <w:rsid w:val="00AE75D5"/>
    <w:rsid w:val="00AF1871"/>
    <w:rsid w:val="00AF7C4B"/>
    <w:rsid w:val="00B12B6C"/>
    <w:rsid w:val="00B1327C"/>
    <w:rsid w:val="00B132D8"/>
    <w:rsid w:val="00B17B7E"/>
    <w:rsid w:val="00B2186F"/>
    <w:rsid w:val="00B270AB"/>
    <w:rsid w:val="00B316AA"/>
    <w:rsid w:val="00B37061"/>
    <w:rsid w:val="00B54160"/>
    <w:rsid w:val="00B63C04"/>
    <w:rsid w:val="00B63EC9"/>
    <w:rsid w:val="00B67F90"/>
    <w:rsid w:val="00B7045D"/>
    <w:rsid w:val="00B7683E"/>
    <w:rsid w:val="00B878B8"/>
    <w:rsid w:val="00B91BB6"/>
    <w:rsid w:val="00B92160"/>
    <w:rsid w:val="00BA3003"/>
    <w:rsid w:val="00BB564C"/>
    <w:rsid w:val="00BB60DF"/>
    <w:rsid w:val="00BC371D"/>
    <w:rsid w:val="00BC37F0"/>
    <w:rsid w:val="00BC4CDA"/>
    <w:rsid w:val="00BD0BB4"/>
    <w:rsid w:val="00BD1521"/>
    <w:rsid w:val="00BD4B24"/>
    <w:rsid w:val="00BD566F"/>
    <w:rsid w:val="00BD5CE1"/>
    <w:rsid w:val="00BE2D89"/>
    <w:rsid w:val="00BE4946"/>
    <w:rsid w:val="00BF1356"/>
    <w:rsid w:val="00BF6209"/>
    <w:rsid w:val="00C04DDC"/>
    <w:rsid w:val="00C10FD2"/>
    <w:rsid w:val="00C21900"/>
    <w:rsid w:val="00C2501F"/>
    <w:rsid w:val="00C26F12"/>
    <w:rsid w:val="00C352E4"/>
    <w:rsid w:val="00C3689E"/>
    <w:rsid w:val="00C5437B"/>
    <w:rsid w:val="00C61FF9"/>
    <w:rsid w:val="00C6227F"/>
    <w:rsid w:val="00C6528C"/>
    <w:rsid w:val="00C66196"/>
    <w:rsid w:val="00C70231"/>
    <w:rsid w:val="00C740D3"/>
    <w:rsid w:val="00C742FC"/>
    <w:rsid w:val="00C763F2"/>
    <w:rsid w:val="00C76F29"/>
    <w:rsid w:val="00C8305B"/>
    <w:rsid w:val="00C9137B"/>
    <w:rsid w:val="00C94924"/>
    <w:rsid w:val="00C96555"/>
    <w:rsid w:val="00C96736"/>
    <w:rsid w:val="00CB401C"/>
    <w:rsid w:val="00CB5626"/>
    <w:rsid w:val="00CB718F"/>
    <w:rsid w:val="00CC0C9E"/>
    <w:rsid w:val="00CC17D4"/>
    <w:rsid w:val="00CC2C6F"/>
    <w:rsid w:val="00CC3584"/>
    <w:rsid w:val="00CC5B82"/>
    <w:rsid w:val="00CC7108"/>
    <w:rsid w:val="00CD167F"/>
    <w:rsid w:val="00CF07E4"/>
    <w:rsid w:val="00CF0ACD"/>
    <w:rsid w:val="00CF2889"/>
    <w:rsid w:val="00CF2F9C"/>
    <w:rsid w:val="00CF4757"/>
    <w:rsid w:val="00CF67D4"/>
    <w:rsid w:val="00D06384"/>
    <w:rsid w:val="00D07635"/>
    <w:rsid w:val="00D0779F"/>
    <w:rsid w:val="00D07CC3"/>
    <w:rsid w:val="00D10ED4"/>
    <w:rsid w:val="00D1170A"/>
    <w:rsid w:val="00D11A65"/>
    <w:rsid w:val="00D13416"/>
    <w:rsid w:val="00D21BF0"/>
    <w:rsid w:val="00D3369B"/>
    <w:rsid w:val="00D353AA"/>
    <w:rsid w:val="00D366D9"/>
    <w:rsid w:val="00D37C58"/>
    <w:rsid w:val="00D409B1"/>
    <w:rsid w:val="00D50DD2"/>
    <w:rsid w:val="00D51ED6"/>
    <w:rsid w:val="00D5259C"/>
    <w:rsid w:val="00D52F4F"/>
    <w:rsid w:val="00D576B3"/>
    <w:rsid w:val="00D60BC6"/>
    <w:rsid w:val="00D60CFB"/>
    <w:rsid w:val="00D66FD8"/>
    <w:rsid w:val="00D7431E"/>
    <w:rsid w:val="00D773F7"/>
    <w:rsid w:val="00D872CD"/>
    <w:rsid w:val="00D90EC8"/>
    <w:rsid w:val="00D92701"/>
    <w:rsid w:val="00D95331"/>
    <w:rsid w:val="00D95F26"/>
    <w:rsid w:val="00DA086C"/>
    <w:rsid w:val="00DA189C"/>
    <w:rsid w:val="00DA4469"/>
    <w:rsid w:val="00DA50C6"/>
    <w:rsid w:val="00DA7AFD"/>
    <w:rsid w:val="00DB1DB4"/>
    <w:rsid w:val="00DC3726"/>
    <w:rsid w:val="00DC646C"/>
    <w:rsid w:val="00DD0FD7"/>
    <w:rsid w:val="00DD7462"/>
    <w:rsid w:val="00DE48BE"/>
    <w:rsid w:val="00DF1D03"/>
    <w:rsid w:val="00DF32B6"/>
    <w:rsid w:val="00DF3AB0"/>
    <w:rsid w:val="00DF7834"/>
    <w:rsid w:val="00E03013"/>
    <w:rsid w:val="00E0641F"/>
    <w:rsid w:val="00E07394"/>
    <w:rsid w:val="00E2243B"/>
    <w:rsid w:val="00E242CA"/>
    <w:rsid w:val="00E24E5D"/>
    <w:rsid w:val="00E259CA"/>
    <w:rsid w:val="00E26990"/>
    <w:rsid w:val="00E3263A"/>
    <w:rsid w:val="00E32933"/>
    <w:rsid w:val="00E366AF"/>
    <w:rsid w:val="00E4046D"/>
    <w:rsid w:val="00E408CF"/>
    <w:rsid w:val="00E410D9"/>
    <w:rsid w:val="00E53943"/>
    <w:rsid w:val="00E5631A"/>
    <w:rsid w:val="00E765C8"/>
    <w:rsid w:val="00E8342D"/>
    <w:rsid w:val="00E873EB"/>
    <w:rsid w:val="00E8782A"/>
    <w:rsid w:val="00E90437"/>
    <w:rsid w:val="00E90EC6"/>
    <w:rsid w:val="00EA0FA2"/>
    <w:rsid w:val="00EA300A"/>
    <w:rsid w:val="00EA44F5"/>
    <w:rsid w:val="00EA7AB3"/>
    <w:rsid w:val="00EB48F7"/>
    <w:rsid w:val="00EB4DA5"/>
    <w:rsid w:val="00EB6F57"/>
    <w:rsid w:val="00EC2EC6"/>
    <w:rsid w:val="00EC3C5F"/>
    <w:rsid w:val="00EC5E14"/>
    <w:rsid w:val="00ED1851"/>
    <w:rsid w:val="00ED2D12"/>
    <w:rsid w:val="00ED37D4"/>
    <w:rsid w:val="00ED421F"/>
    <w:rsid w:val="00EF457A"/>
    <w:rsid w:val="00EF6840"/>
    <w:rsid w:val="00EF6A57"/>
    <w:rsid w:val="00F010B7"/>
    <w:rsid w:val="00F02925"/>
    <w:rsid w:val="00F23EE3"/>
    <w:rsid w:val="00F241C8"/>
    <w:rsid w:val="00F32FD7"/>
    <w:rsid w:val="00F413FA"/>
    <w:rsid w:val="00F4205F"/>
    <w:rsid w:val="00F42F27"/>
    <w:rsid w:val="00F47992"/>
    <w:rsid w:val="00F54C2F"/>
    <w:rsid w:val="00F5504A"/>
    <w:rsid w:val="00F569B4"/>
    <w:rsid w:val="00F62E76"/>
    <w:rsid w:val="00F703C6"/>
    <w:rsid w:val="00F719FA"/>
    <w:rsid w:val="00F71BC8"/>
    <w:rsid w:val="00F72654"/>
    <w:rsid w:val="00F76964"/>
    <w:rsid w:val="00F77846"/>
    <w:rsid w:val="00F90AE7"/>
    <w:rsid w:val="00F94774"/>
    <w:rsid w:val="00FA1A75"/>
    <w:rsid w:val="00FA1DE0"/>
    <w:rsid w:val="00FA23A8"/>
    <w:rsid w:val="00FA3902"/>
    <w:rsid w:val="00FB45A0"/>
    <w:rsid w:val="00FB6A3F"/>
    <w:rsid w:val="00FC37B1"/>
    <w:rsid w:val="00FC56C4"/>
    <w:rsid w:val="00FD5088"/>
    <w:rsid w:val="00FE18A8"/>
    <w:rsid w:val="00FE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1C8FF"/>
  <w15:docId w15:val="{7BC22EC7-C7D0-4650-95BC-AA8F2823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C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12A"/>
    <w:pPr>
      <w:spacing w:after="0" w:line="240" w:lineRule="auto"/>
    </w:pPr>
  </w:style>
  <w:style w:type="paragraph" w:styleId="Header">
    <w:name w:val="header"/>
    <w:basedOn w:val="Normal"/>
    <w:link w:val="HeaderChar"/>
    <w:uiPriority w:val="99"/>
    <w:unhideWhenUsed/>
    <w:rsid w:val="00AA4C96"/>
    <w:pPr>
      <w:tabs>
        <w:tab w:val="center" w:pos="4153"/>
        <w:tab w:val="right" w:pos="8306"/>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AA4C96"/>
    <w:rPr>
      <w:rFonts w:eastAsiaTheme="minorEastAsia"/>
      <w:lang w:val="el-GR"/>
    </w:rPr>
  </w:style>
  <w:style w:type="paragraph" w:styleId="Footer">
    <w:name w:val="footer"/>
    <w:link w:val="FooterChar"/>
    <w:uiPriority w:val="99"/>
    <w:unhideWhenUsed/>
    <w:rsid w:val="00AA4C96"/>
    <w:pPr>
      <w:tabs>
        <w:tab w:val="center" w:pos="4153"/>
        <w:tab w:val="right" w:pos="8306"/>
      </w:tabs>
      <w:spacing w:before="120" w:after="120" w:line="240" w:lineRule="auto"/>
    </w:pPr>
    <w:rPr>
      <w:rFonts w:ascii="Arial" w:eastAsiaTheme="minorEastAsia" w:hAnsi="Arial"/>
      <w:sz w:val="15"/>
    </w:rPr>
  </w:style>
  <w:style w:type="character" w:customStyle="1" w:styleId="FooterChar">
    <w:name w:val="Footer Char"/>
    <w:basedOn w:val="DefaultParagraphFont"/>
    <w:link w:val="Footer"/>
    <w:uiPriority w:val="99"/>
    <w:rsid w:val="00AA4C96"/>
    <w:rPr>
      <w:rFonts w:ascii="Arial" w:eastAsiaTheme="minorEastAsia" w:hAnsi="Arial"/>
      <w:sz w:val="15"/>
      <w:lang w:val="el-GR"/>
    </w:rPr>
  </w:style>
  <w:style w:type="character" w:styleId="Hyperlink">
    <w:name w:val="Hyperlink"/>
    <w:uiPriority w:val="99"/>
    <w:unhideWhenUsed/>
    <w:rsid w:val="00AA4C96"/>
    <w:rPr>
      <w:rFonts w:ascii="Arial" w:hAnsi="Arial"/>
      <w:color w:val="00437F"/>
      <w:u w:val="none"/>
    </w:rPr>
  </w:style>
  <w:style w:type="paragraph" w:customStyle="1" w:styleId="A">
    <w:name w:val="A"/>
    <w:basedOn w:val="Normal"/>
    <w:qFormat/>
    <w:rsid w:val="00AA4C96"/>
    <w:pPr>
      <w:spacing w:after="200"/>
    </w:pPr>
    <w:rPr>
      <w:rFonts w:ascii="Calibri Light" w:eastAsiaTheme="minorEastAsia" w:hAnsi="Calibri Light" w:cstheme="minorBidi"/>
      <w:color w:val="00183D"/>
      <w:sz w:val="36"/>
      <w:szCs w:val="28"/>
    </w:rPr>
  </w:style>
  <w:style w:type="paragraph" w:customStyle="1" w:styleId="Copy">
    <w:name w:val="Copy"/>
    <w:basedOn w:val="Normal"/>
    <w:qFormat/>
    <w:rsid w:val="00AA4C96"/>
    <w:pPr>
      <w:spacing w:after="200"/>
    </w:pPr>
    <w:rPr>
      <w:rFonts w:ascii="Calibri Light" w:eastAsiaTheme="minorEastAsia" w:hAnsi="Calibri Light" w:cs="Arial"/>
      <w:color w:val="00183D"/>
      <w:sz w:val="21"/>
      <w:szCs w:val="20"/>
    </w:rPr>
  </w:style>
  <w:style w:type="paragraph" w:customStyle="1" w:styleId="C">
    <w:name w:val="C"/>
    <w:basedOn w:val="Normal"/>
    <w:qFormat/>
    <w:rsid w:val="00AA4C96"/>
    <w:pPr>
      <w:spacing w:after="200" w:line="276" w:lineRule="auto"/>
    </w:pPr>
    <w:rPr>
      <w:rFonts w:ascii="Calibri" w:eastAsiaTheme="minorEastAsia" w:hAnsi="Calibri" w:cs="Arial"/>
      <w:b/>
      <w:bCs/>
      <w:color w:val="00183D"/>
      <w:sz w:val="28"/>
    </w:rPr>
  </w:style>
  <w:style w:type="character" w:styleId="PageNumber">
    <w:name w:val="page number"/>
    <w:basedOn w:val="DefaultParagraphFont"/>
    <w:uiPriority w:val="99"/>
    <w:semiHidden/>
    <w:unhideWhenUsed/>
    <w:rsid w:val="00AA4C96"/>
  </w:style>
  <w:style w:type="paragraph" w:styleId="BalloonText">
    <w:name w:val="Balloon Text"/>
    <w:basedOn w:val="Normal"/>
    <w:link w:val="BalloonTextChar"/>
    <w:uiPriority w:val="99"/>
    <w:semiHidden/>
    <w:unhideWhenUsed/>
    <w:rsid w:val="00AA4C96"/>
    <w:rPr>
      <w:rFonts w:ascii="Tahoma" w:hAnsi="Tahoma" w:cs="Tahoma"/>
      <w:sz w:val="16"/>
      <w:szCs w:val="16"/>
    </w:rPr>
  </w:style>
  <w:style w:type="character" w:customStyle="1" w:styleId="BalloonTextChar">
    <w:name w:val="Balloon Text Char"/>
    <w:basedOn w:val="DefaultParagraphFont"/>
    <w:link w:val="BalloonText"/>
    <w:uiPriority w:val="99"/>
    <w:semiHidden/>
    <w:rsid w:val="00AA4C96"/>
    <w:rPr>
      <w:rFonts w:ascii="Tahoma" w:eastAsia="Times New Roman" w:hAnsi="Tahoma" w:cs="Tahoma"/>
      <w:sz w:val="16"/>
      <w:szCs w:val="16"/>
    </w:rPr>
  </w:style>
  <w:style w:type="paragraph" w:customStyle="1" w:styleId="TableParagraph">
    <w:name w:val="Table Paragraph"/>
    <w:basedOn w:val="Normal"/>
    <w:uiPriority w:val="1"/>
    <w:qFormat/>
    <w:rsid w:val="00CC2C6F"/>
    <w:pPr>
      <w:widowControl w:val="0"/>
      <w:autoSpaceDE w:val="0"/>
      <w:autoSpaceDN w:val="0"/>
      <w:spacing w:line="237" w:lineRule="exact"/>
      <w:jc w:val="right"/>
    </w:pPr>
    <w:rPr>
      <w:rFonts w:ascii="Calibri" w:eastAsia="Calibri" w:hAnsi="Calibri" w:cs="Calibri"/>
      <w:sz w:val="22"/>
      <w:szCs w:val="22"/>
    </w:rPr>
  </w:style>
  <w:style w:type="paragraph" w:customStyle="1" w:styleId="Copy-bullets">
    <w:name w:val="Copy - bullets"/>
    <w:basedOn w:val="Copy"/>
    <w:qFormat/>
    <w:rsid w:val="00FC37B1"/>
    <w:pPr>
      <w:numPr>
        <w:numId w:val="2"/>
      </w:numPr>
    </w:pPr>
    <w:rPr>
      <w:lang w:val="en-GB" w:eastAsia="en-US" w:bidi="ar-SA"/>
    </w:rPr>
  </w:style>
  <w:style w:type="table" w:styleId="GridTable1Light-Accent6">
    <w:name w:val="Grid Table 1 Light Accent 6"/>
    <w:basedOn w:val="TableNormal"/>
    <w:uiPriority w:val="46"/>
    <w:rsid w:val="00FC37B1"/>
    <w:pPr>
      <w:spacing w:after="0" w:line="240" w:lineRule="auto"/>
    </w:pPr>
    <w:rPr>
      <w:rFonts w:eastAsiaTheme="minorEastAsia"/>
      <w:lang w:val="en-GB" w:eastAsia="en-US" w:bidi="ar-SA"/>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3369B"/>
    <w:pPr>
      <w:ind w:left="720"/>
      <w:contextualSpacing/>
    </w:pPr>
  </w:style>
  <w:style w:type="paragraph" w:styleId="NormalWeb">
    <w:name w:val="Normal (Web)"/>
    <w:basedOn w:val="Normal"/>
    <w:uiPriority w:val="99"/>
    <w:unhideWhenUsed/>
    <w:rsid w:val="00367BA6"/>
    <w:pPr>
      <w:spacing w:before="100" w:beforeAutospacing="1" w:after="100" w:afterAutospacing="1"/>
    </w:pPr>
    <w:rPr>
      <w:lang w:bidi="ar-SA"/>
    </w:rPr>
  </w:style>
  <w:style w:type="paragraph" w:styleId="Revision">
    <w:name w:val="Revision"/>
    <w:hidden/>
    <w:uiPriority w:val="99"/>
    <w:semiHidden/>
    <w:rsid w:val="00DF783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27115">
      <w:bodyDiv w:val="1"/>
      <w:marLeft w:val="0"/>
      <w:marRight w:val="0"/>
      <w:marTop w:val="0"/>
      <w:marBottom w:val="0"/>
      <w:divBdr>
        <w:top w:val="none" w:sz="0" w:space="0" w:color="auto"/>
        <w:left w:val="none" w:sz="0" w:space="0" w:color="auto"/>
        <w:bottom w:val="none" w:sz="0" w:space="0" w:color="auto"/>
        <w:right w:val="none" w:sz="0" w:space="0" w:color="auto"/>
      </w:divBdr>
    </w:div>
    <w:div w:id="965623657">
      <w:bodyDiv w:val="1"/>
      <w:marLeft w:val="0"/>
      <w:marRight w:val="0"/>
      <w:marTop w:val="0"/>
      <w:marBottom w:val="0"/>
      <w:divBdr>
        <w:top w:val="none" w:sz="0" w:space="0" w:color="auto"/>
        <w:left w:val="none" w:sz="0" w:space="0" w:color="auto"/>
        <w:bottom w:val="none" w:sz="0" w:space="0" w:color="auto"/>
        <w:right w:val="none" w:sz="0" w:space="0" w:color="auto"/>
      </w:divBdr>
    </w:div>
    <w:div w:id="1057096264">
      <w:bodyDiv w:val="1"/>
      <w:marLeft w:val="0"/>
      <w:marRight w:val="0"/>
      <w:marTop w:val="0"/>
      <w:marBottom w:val="0"/>
      <w:divBdr>
        <w:top w:val="none" w:sz="0" w:space="0" w:color="auto"/>
        <w:left w:val="none" w:sz="0" w:space="0" w:color="auto"/>
        <w:bottom w:val="none" w:sz="0" w:space="0" w:color="auto"/>
        <w:right w:val="none" w:sz="0" w:space="0" w:color="auto"/>
      </w:divBdr>
    </w:div>
    <w:div w:id="13821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titan-cement.com" TargetMode="External"/><Relationship Id="rId2" Type="http://schemas.openxmlformats.org/officeDocument/2006/relationships/customXml" Target="../customXml/item2.xml"/><Relationship Id="rId16" Type="http://schemas.openxmlformats.org/officeDocument/2006/relationships/hyperlink" Target="https://87399.themediaframe.eu/links/titan250508.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ir.titan-cement.com" TargetMode="External"/><Relationship Id="rId23" Type="http://schemas.openxmlformats.org/officeDocument/2006/relationships/theme" Target="theme/theme1.xml"/><Relationship Id="rId10" Type="http://schemas.openxmlformats.org/officeDocument/2006/relationships/hyperlink" Target="http://www.titanmaterials.co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524a05-02cc-401f-9794-89c4150732d8">
      <Terms xmlns="http://schemas.microsoft.com/office/infopath/2007/PartnerControls"/>
    </lcf76f155ced4ddcb4097134ff3c332f>
    <_Flow_SignoffStatus xmlns="99524a05-02cc-401f-9794-89c4150732d8" xsi:nil="true"/>
    <TaxCatchAll xmlns="a0242f92-e5ab-4656-9a7b-32378aa2f1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EF3A2DC8A6F640817D127289A58AD6" ma:contentTypeVersion="18" ma:contentTypeDescription="Create a new document." ma:contentTypeScope="" ma:versionID="bd988b96ff2629781165be1c840c59a9">
  <xsd:schema xmlns:xsd="http://www.w3.org/2001/XMLSchema" xmlns:xs="http://www.w3.org/2001/XMLSchema" xmlns:p="http://schemas.microsoft.com/office/2006/metadata/properties" xmlns:ns2="99524a05-02cc-401f-9794-89c4150732d8" xmlns:ns3="a0242f92-e5ab-4656-9a7b-32378aa2f17a" targetNamespace="http://schemas.microsoft.com/office/2006/metadata/properties" ma:root="true" ma:fieldsID="29c8e12735e0c59160ffe3043f72a6a7" ns2:_="" ns3:_="">
    <xsd:import namespace="99524a05-02cc-401f-9794-89c4150732d8"/>
    <xsd:import namespace="a0242f92-e5ab-4656-9a7b-32378aa2f1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24a05-02cc-401f-9794-89c415073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785446-9769-4d89-b2e9-9690fab3e60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242f92-e5ab-4656-9a7b-32378aa2f1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118743d-8b0e-49e4-80af-b6a20ac05d12}" ma:internalName="TaxCatchAll" ma:showField="CatchAllData" ma:web="a0242f92-e5ab-4656-9a7b-32378aa2f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2763A-333B-469A-8B78-A81E73EFB715}">
  <ds:schemaRefs>
    <ds:schemaRef ds:uri="http://schemas.microsoft.com/office/2006/metadata/properties"/>
    <ds:schemaRef ds:uri="http://schemas.microsoft.com/office/infopath/2007/PartnerControls"/>
    <ds:schemaRef ds:uri="99524a05-02cc-401f-9794-89c4150732d8"/>
    <ds:schemaRef ds:uri="a0242f92-e5ab-4656-9a7b-32378aa2f17a"/>
  </ds:schemaRefs>
</ds:datastoreItem>
</file>

<file path=customXml/itemProps2.xml><?xml version="1.0" encoding="utf-8"?>
<ds:datastoreItem xmlns:ds="http://schemas.openxmlformats.org/officeDocument/2006/customXml" ds:itemID="{FD1EB19D-D873-42F2-BEAF-C67ED4331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24a05-02cc-401f-9794-89c4150732d8"/>
    <ds:schemaRef ds:uri="a0242f92-e5ab-4656-9a7b-32378aa2f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F08D2-1FCA-4B47-BA4A-0A760FCB94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4460</Words>
  <Characters>24089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28493</CharactersWithSpaces>
  <SharedDoc>false</SharedDoc>
  <HLinks>
    <vt:vector size="24" baseType="variant">
      <vt:variant>
        <vt:i4>4915215</vt:i4>
      </vt:variant>
      <vt:variant>
        <vt:i4>9</vt:i4>
      </vt:variant>
      <vt:variant>
        <vt:i4>0</vt:i4>
      </vt:variant>
      <vt:variant>
        <vt:i4>5</vt:i4>
      </vt:variant>
      <vt:variant>
        <vt:lpwstr>http://www.titan-cement.com/</vt:lpwstr>
      </vt:variant>
      <vt:variant>
        <vt:lpwstr/>
      </vt:variant>
      <vt:variant>
        <vt:i4>5701642</vt:i4>
      </vt:variant>
      <vt:variant>
        <vt:i4>6</vt:i4>
      </vt:variant>
      <vt:variant>
        <vt:i4>0</vt:i4>
      </vt:variant>
      <vt:variant>
        <vt:i4>5</vt:i4>
      </vt:variant>
      <vt:variant>
        <vt:lpwstr>https://87399.themediaframe.eu/links/titan250508.html</vt:lpwstr>
      </vt:variant>
      <vt:variant>
        <vt:lpwstr/>
      </vt:variant>
      <vt:variant>
        <vt:i4>196696</vt:i4>
      </vt:variant>
      <vt:variant>
        <vt:i4>3</vt:i4>
      </vt:variant>
      <vt:variant>
        <vt:i4>0</vt:i4>
      </vt:variant>
      <vt:variant>
        <vt:i4>5</vt:i4>
      </vt:variant>
      <vt:variant>
        <vt:lpwstr>https://ir.titan-cement.com/</vt:lpwstr>
      </vt:variant>
      <vt:variant>
        <vt:lpwstr/>
      </vt:variant>
      <vt:variant>
        <vt:i4>2752559</vt:i4>
      </vt:variant>
      <vt:variant>
        <vt:i4>0</vt:i4>
      </vt:variant>
      <vt:variant>
        <vt:i4>0</vt:i4>
      </vt:variant>
      <vt:variant>
        <vt:i4>5</vt:i4>
      </vt:variant>
      <vt:variant>
        <vt:lpwstr>http://www.titanmaterials.com/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Comninos</dc:creator>
  <cp:keywords/>
  <cp:lastModifiedBy>Fintikaki Marilena</cp:lastModifiedBy>
  <cp:revision>108</cp:revision>
  <cp:lastPrinted>2025-05-08T05:54:00Z</cp:lastPrinted>
  <dcterms:created xsi:type="dcterms:W3CDTF">2025-05-07T23:42:00Z</dcterms:created>
  <dcterms:modified xsi:type="dcterms:W3CDTF">2025-05-08T05:54:00Z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0x010100C9EF3A2DC8A6F640817D127289A58AD6</vt:lpwstr>
  </property>
  <property fmtid="{D5CDD505-2E9C-101B-9397-08002B2CF9AE}" pid="3" name="MediaServiceImageTags">
    <vt:lpwstr/>
  </property>
  <property fmtid="{D5CDD505-2E9C-101B-9397-08002B2CF9AE}" pid="4" name="GrammarlyDocumentId">
    <vt:lpwstr>c8e33079-691a-48db-97b9-58ac8faebb52</vt:lpwstr>
  </property>
</Properties>
</file>