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84587639"/>
        <w:docPartObj>
          <w:docPartGallery w:val="Cover Pages"/>
          <w:docPartUnique/>
        </w:docPartObj>
      </w:sdtPr>
      <w:sdtEndPr>
        <w:rPr>
          <w:rFonts w:ascii="Arial" w:eastAsia="Arial" w:hAnsi="Arial" w:cs="Arial"/>
          <w:noProof/>
          <w:lang w:val="en-US"/>
        </w:rPr>
      </w:sdtEndPr>
      <w:sdtContent>
        <w:p w14:paraId="1A839D89" w14:textId="626B94FA" w:rsidR="009E476B" w:rsidRDefault="00B37961">
          <w:pPr>
            <w:rPr>
              <w:rFonts w:ascii="Arial" w:eastAsia="Arial" w:hAnsi="Arial" w:cs="Arial"/>
              <w:noProof/>
              <w:lang w:val="en-US"/>
            </w:rPr>
          </w:pPr>
          <w:r>
            <w:rPr>
              <w:noProof/>
            </w:rPr>
            <w:drawing>
              <wp:anchor distT="0" distB="0" distL="114300" distR="114300" simplePos="0" relativeHeight="251703297" behindDoc="0" locked="0" layoutInCell="1" allowOverlap="1" wp14:anchorId="543F31F5" wp14:editId="5A5CB027">
                <wp:simplePos x="0" y="0"/>
                <wp:positionH relativeFrom="margin">
                  <wp:align>right</wp:align>
                </wp:positionH>
                <wp:positionV relativeFrom="paragraph">
                  <wp:posOffset>-64287</wp:posOffset>
                </wp:positionV>
                <wp:extent cx="2537244" cy="1180371"/>
                <wp:effectExtent l="0" t="0" r="0" b="1270"/>
                <wp:wrapNone/>
                <wp:docPr id="1182784750" name="Picture 1" descr="A logo with blue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84750" name="Picture 1" descr="A logo with blue and grey text&#10;&#10;AI-generated content may be incorrect."/>
                        <pic:cNvPicPr>
                          <a:picLocks noChangeAspect="1" noChangeArrowheads="1"/>
                        </pic:cNvPicPr>
                      </pic:nvPicPr>
                      <pic:blipFill>
                        <a:blip r:embed="rId11" cstate="print">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2537244" cy="11803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2F9">
            <w:rPr>
              <w:noProof/>
            </w:rPr>
            <mc:AlternateContent>
              <mc:Choice Requires="wps">
                <w:drawing>
                  <wp:anchor distT="0" distB="0" distL="114300" distR="114300" simplePos="0" relativeHeight="251701249" behindDoc="0" locked="0" layoutInCell="1" allowOverlap="1" wp14:anchorId="2E3D936F" wp14:editId="38F30D4C">
                    <wp:simplePos x="0" y="0"/>
                    <wp:positionH relativeFrom="column">
                      <wp:posOffset>560705</wp:posOffset>
                    </wp:positionH>
                    <wp:positionV relativeFrom="paragraph">
                      <wp:posOffset>5246370</wp:posOffset>
                    </wp:positionV>
                    <wp:extent cx="3263265" cy="0"/>
                    <wp:effectExtent l="0" t="0" r="0" b="0"/>
                    <wp:wrapNone/>
                    <wp:docPr id="181368107" name="Straight Connector 4"/>
                    <wp:cNvGraphicFramePr/>
                    <a:graphic xmlns:a="http://schemas.openxmlformats.org/drawingml/2006/main">
                      <a:graphicData uri="http://schemas.microsoft.com/office/word/2010/wordprocessingShape">
                        <wps:wsp>
                          <wps:cNvCnPr/>
                          <wps:spPr>
                            <a:xfrm>
                              <a:off x="0" y="0"/>
                              <a:ext cx="3263265"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9DDDD0" id="Straight Connector 4" o:spid="_x0000_s1026" style="position:absolute;z-index:251701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5pt,413.1pt" to="301.1pt,4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" strokecolor="#5a5a5a [2109]"/>
                </w:pict>
              </mc:Fallback>
            </mc:AlternateContent>
          </w:r>
          <w:r w:rsidR="009E476B">
            <w:rPr>
              <w:noProof/>
            </w:rPr>
            <w:drawing>
              <wp:anchor distT="0" distB="0" distL="114300" distR="114300" simplePos="0" relativeHeight="251699201" behindDoc="1" locked="0" layoutInCell="1" allowOverlap="1" wp14:anchorId="441F4A4E" wp14:editId="05B4AD4E">
                <wp:simplePos x="0" y="0"/>
                <wp:positionH relativeFrom="page">
                  <wp:align>left</wp:align>
                </wp:positionH>
                <wp:positionV relativeFrom="margin">
                  <wp:posOffset>-887730</wp:posOffset>
                </wp:positionV>
                <wp:extent cx="7551420" cy="10934700"/>
                <wp:effectExtent l="0" t="0" r="0" b="0"/>
                <wp:wrapSquare wrapText="bothSides"/>
                <wp:docPr id="430668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53037" name="Picture 5997530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1420" cy="10934700"/>
                        </a:xfrm>
                        <a:prstGeom prst="rect">
                          <a:avLst/>
                        </a:prstGeom>
                      </pic:spPr>
                    </pic:pic>
                  </a:graphicData>
                </a:graphic>
                <wp14:sizeRelH relativeFrom="page">
                  <wp14:pctWidth>0</wp14:pctWidth>
                </wp14:sizeRelH>
                <wp14:sizeRelV relativeFrom="page">
                  <wp14:pctHeight>0</wp14:pctHeight>
                </wp14:sizeRelV>
              </wp:anchor>
            </w:drawing>
          </w:r>
          <w:r w:rsidR="009E476B">
            <w:rPr>
              <w:noProof/>
            </w:rPr>
            <mc:AlternateContent>
              <mc:Choice Requires="wps">
                <w:drawing>
                  <wp:anchor distT="0" distB="0" distL="114300" distR="114300" simplePos="0" relativeHeight="251700225" behindDoc="0" locked="0" layoutInCell="1" allowOverlap="1" wp14:anchorId="3835FB47" wp14:editId="0A494021">
                    <wp:simplePos x="0" y="0"/>
                    <wp:positionH relativeFrom="column">
                      <wp:posOffset>479425</wp:posOffset>
                    </wp:positionH>
                    <wp:positionV relativeFrom="paragraph">
                      <wp:posOffset>4070985</wp:posOffset>
                    </wp:positionV>
                    <wp:extent cx="3704590" cy="1608083"/>
                    <wp:effectExtent l="0" t="0" r="0" b="0"/>
                    <wp:wrapNone/>
                    <wp:docPr id="1350360844" name="Text Box 3"/>
                    <wp:cNvGraphicFramePr/>
                    <a:graphic xmlns:a="http://schemas.openxmlformats.org/drawingml/2006/main">
                      <a:graphicData uri="http://schemas.microsoft.com/office/word/2010/wordprocessingShape">
                        <wps:wsp>
                          <wps:cNvSpPr txBox="1"/>
                          <wps:spPr>
                            <a:xfrm>
                              <a:off x="0" y="0"/>
                              <a:ext cx="3704590" cy="1608083"/>
                            </a:xfrm>
                            <a:prstGeom prst="rect">
                              <a:avLst/>
                            </a:prstGeom>
                            <a:noFill/>
                            <a:ln w="6350">
                              <a:noFill/>
                            </a:ln>
                          </wps:spPr>
                          <wps:txbx>
                            <w:txbxContent>
                              <w:p w14:paraId="463F630A" w14:textId="77777777" w:rsidR="009E476B" w:rsidRDefault="009E476B" w:rsidP="00AA27B3">
                                <w:pPr>
                                  <w:pStyle w:val="BodyText"/>
                                  <w:rPr>
                                    <w:rFonts w:ascii="Zona Pro" w:hAnsi="Zona Pro" w:cs="Zona Pro"/>
                                    <w:b/>
                                    <w:bCs/>
                                    <w:color w:val="3F3E3E"/>
                                    <w:sz w:val="92"/>
                                    <w:szCs w:val="92"/>
                                    <w:lang w:val="en-GB"/>
                                  </w:rPr>
                                </w:pPr>
                                <w:r>
                                  <w:rPr>
                                    <w:rFonts w:ascii="Zona Pro" w:hAnsi="Zona Pro" w:cs="Zona Pro"/>
                                    <w:b/>
                                    <w:bCs/>
                                    <w:color w:val="385490"/>
                                    <w:sz w:val="92"/>
                                    <w:szCs w:val="92"/>
                                    <w:lang w:val="en-GB"/>
                                  </w:rPr>
                                  <w:t>H1</w:t>
                                </w:r>
                                <w:r w:rsidRPr="00AA27B3">
                                  <w:rPr>
                                    <w:rFonts w:ascii="Zona Pro" w:hAnsi="Zona Pro" w:cs="Zona Pro"/>
                                    <w:b/>
                                    <w:bCs/>
                                    <w:color w:val="595959" w:themeColor="text1" w:themeTint="A6"/>
                                    <w:sz w:val="92"/>
                                    <w:szCs w:val="92"/>
                                    <w:lang w:val="en-GB"/>
                                  </w:rPr>
                                  <w:t>'25</w:t>
                                </w:r>
                              </w:p>
                              <w:p w14:paraId="08C76169" w14:textId="77777777" w:rsidR="009E476B" w:rsidRPr="00AA27B3" w:rsidRDefault="009E476B" w:rsidP="00AA27B3">
                                <w:pPr>
                                  <w:pStyle w:val="BodyText"/>
                                  <w:spacing w:line="360" w:lineRule="auto"/>
                                  <w:rPr>
                                    <w:rFonts w:ascii="Zona Pro" w:hAnsi="Zona Pro" w:cs="Zona Pro"/>
                                    <w:caps/>
                                    <w:color w:val="595959" w:themeColor="text1" w:themeTint="A6"/>
                                    <w:sz w:val="40"/>
                                    <w:szCs w:val="40"/>
                                    <w:lang w:val="en-GB"/>
                                  </w:rPr>
                                </w:pPr>
                                <w:r>
                                  <w:rPr>
                                    <w:rFonts w:ascii="Zona Pro" w:hAnsi="Zona Pro" w:cs="Zona Pro"/>
                                    <w:caps/>
                                    <w:color w:val="595959" w:themeColor="text1" w:themeTint="A6"/>
                                    <w:sz w:val="40"/>
                                    <w:szCs w:val="40"/>
                                  </w:rPr>
                                  <w:t>οικονομικα αποτελεσματα</w:t>
                                </w:r>
                              </w:p>
                              <w:p w14:paraId="63F0A666" w14:textId="77777777" w:rsidR="009E476B" w:rsidRPr="00FB68CC" w:rsidRDefault="009E476B" w:rsidP="00AA27B3">
                                <w:pPr>
                                  <w:pStyle w:val="BodyText"/>
                                  <w:rPr>
                                    <w:rFonts w:ascii="Zona Pro" w:hAnsi="Zona Pro" w:cs="Zona Pro"/>
                                    <w:color w:val="595959" w:themeColor="text1" w:themeTint="A6"/>
                                    <w:sz w:val="50"/>
                                    <w:szCs w:val="50"/>
                                  </w:rPr>
                                </w:pPr>
                                <w:r>
                                  <w:rPr>
                                    <w:rFonts w:ascii="Zona Pro" w:hAnsi="Zona Pro" w:cs="Zona Pro"/>
                                    <w:color w:val="595959" w:themeColor="text1" w:themeTint="A6"/>
                                    <w:sz w:val="50"/>
                                    <w:szCs w:val="50"/>
                                  </w:rPr>
                                  <w:t>ΔΕΛΤΙΟ</w:t>
                                </w:r>
                                <w:r w:rsidRPr="00FB68CC">
                                  <w:rPr>
                                    <w:rFonts w:ascii="Zona Pro" w:hAnsi="Zona Pro" w:cs="Zona Pro"/>
                                    <w:color w:val="595959" w:themeColor="text1" w:themeTint="A6"/>
                                    <w:sz w:val="50"/>
                                    <w:szCs w:val="50"/>
                                  </w:rPr>
                                  <w:t xml:space="preserve"> </w:t>
                                </w:r>
                                <w:r>
                                  <w:rPr>
                                    <w:rFonts w:ascii="Zona Pro" w:hAnsi="Zona Pro" w:cs="Zona Pro"/>
                                    <w:color w:val="595959" w:themeColor="text1" w:themeTint="A6"/>
                                    <w:sz w:val="50"/>
                                    <w:szCs w:val="50"/>
                                  </w:rPr>
                                  <w:t>ΤΥΠΟΥ</w:t>
                                </w:r>
                              </w:p>
                              <w:p w14:paraId="222C8C2B" w14:textId="77777777" w:rsidR="009E476B" w:rsidRDefault="009E476B" w:rsidP="00AA27B3">
                                <w:pPr>
                                  <w:pStyle w:val="BodyText"/>
                                  <w:rPr>
                                    <w:rFonts w:ascii="Zona Pro" w:hAnsi="Zona Pro" w:cs="Zona Pro"/>
                                    <w:caps/>
                                    <w:color w:val="3F3E3E"/>
                                    <w:sz w:val="40"/>
                                    <w:szCs w:val="40"/>
                                    <w:lang w:val="en-GB"/>
                                  </w:rPr>
                                </w:pPr>
                              </w:p>
                              <w:p w14:paraId="220A23CA" w14:textId="77777777" w:rsidR="009E476B" w:rsidRDefault="009E47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35FB47" id="_x0000_t202" coordsize="21600,21600" o:spt="202" path="m,l,21600r21600,l21600,xe">
                    <v:stroke joinstyle="miter"/>
                    <v:path gradientshapeok="t" o:connecttype="rect"/>
                  </v:shapetype>
                  <v:shape id="Text Box 3" o:spid="_x0000_s1026" type="#_x0000_t202" style="position:absolute;margin-left:37.75pt;margin-top:320.55pt;width:291.7pt;height:126.6pt;z-index:2517002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1GFwIAAC0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" filled="f" stroked="f" strokeweight=".5pt">
                    <v:textbox>
                      <w:txbxContent>
                        <w:p w14:paraId="463F630A" w14:textId="77777777" w:rsidR="009E476B" w:rsidRDefault="009E476B" w:rsidP="00AA27B3">
                          <w:pPr>
                            <w:pStyle w:val="BodyText"/>
                            <w:rPr>
                              <w:rFonts w:ascii="Zona Pro" w:hAnsi="Zona Pro" w:cs="Zona Pro"/>
                              <w:b/>
                              <w:bCs/>
                              <w:color w:val="3F3E3E"/>
                              <w:sz w:val="92"/>
                              <w:szCs w:val="92"/>
                              <w:lang w:val="en-GB"/>
                            </w:rPr>
                          </w:pPr>
                          <w:r>
                            <w:rPr>
                              <w:rFonts w:ascii="Zona Pro" w:hAnsi="Zona Pro" w:cs="Zona Pro"/>
                              <w:b/>
                              <w:bCs/>
                              <w:color w:val="385490"/>
                              <w:sz w:val="92"/>
                              <w:szCs w:val="92"/>
                              <w:lang w:val="en-GB"/>
                            </w:rPr>
                            <w:t>H1</w:t>
                          </w:r>
                          <w:r w:rsidRPr="00AA27B3">
                            <w:rPr>
                              <w:rFonts w:ascii="Zona Pro" w:hAnsi="Zona Pro" w:cs="Zona Pro"/>
                              <w:b/>
                              <w:bCs/>
                              <w:color w:val="595959" w:themeColor="text1" w:themeTint="A6"/>
                              <w:sz w:val="92"/>
                              <w:szCs w:val="92"/>
                              <w:lang w:val="en-GB"/>
                            </w:rPr>
                            <w:t>'25</w:t>
                          </w:r>
                        </w:p>
                        <w:p w14:paraId="08C76169" w14:textId="77777777" w:rsidR="009E476B" w:rsidRPr="00AA27B3" w:rsidRDefault="009E476B" w:rsidP="00AA27B3">
                          <w:pPr>
                            <w:pStyle w:val="BodyText"/>
                            <w:spacing w:line="360" w:lineRule="auto"/>
                            <w:rPr>
                              <w:rFonts w:ascii="Zona Pro" w:hAnsi="Zona Pro" w:cs="Zona Pro"/>
                              <w:caps/>
                              <w:color w:val="595959" w:themeColor="text1" w:themeTint="A6"/>
                              <w:sz w:val="40"/>
                              <w:szCs w:val="40"/>
                              <w:lang w:val="en-GB"/>
                            </w:rPr>
                          </w:pPr>
                          <w:r>
                            <w:rPr>
                              <w:rFonts w:ascii="Zona Pro" w:hAnsi="Zona Pro" w:cs="Zona Pro"/>
                              <w:caps/>
                              <w:color w:val="595959" w:themeColor="text1" w:themeTint="A6"/>
                              <w:sz w:val="40"/>
                              <w:szCs w:val="40"/>
                            </w:rPr>
                            <w:t>οικονομικα αποτελεσματα</w:t>
                          </w:r>
                        </w:p>
                        <w:p w14:paraId="63F0A666" w14:textId="77777777" w:rsidR="009E476B" w:rsidRPr="00FB68CC" w:rsidRDefault="009E476B" w:rsidP="00AA27B3">
                          <w:pPr>
                            <w:pStyle w:val="BodyText"/>
                            <w:rPr>
                              <w:rFonts w:ascii="Zona Pro" w:hAnsi="Zona Pro" w:cs="Zona Pro"/>
                              <w:color w:val="595959" w:themeColor="text1" w:themeTint="A6"/>
                              <w:sz w:val="50"/>
                              <w:szCs w:val="50"/>
                            </w:rPr>
                          </w:pPr>
                          <w:r>
                            <w:rPr>
                              <w:rFonts w:ascii="Zona Pro" w:hAnsi="Zona Pro" w:cs="Zona Pro"/>
                              <w:color w:val="595959" w:themeColor="text1" w:themeTint="A6"/>
                              <w:sz w:val="50"/>
                              <w:szCs w:val="50"/>
                            </w:rPr>
                            <w:t>ΔΕΛΤΙΟ</w:t>
                          </w:r>
                          <w:r w:rsidRPr="00FB68CC">
                            <w:rPr>
                              <w:rFonts w:ascii="Zona Pro" w:hAnsi="Zona Pro" w:cs="Zona Pro"/>
                              <w:color w:val="595959" w:themeColor="text1" w:themeTint="A6"/>
                              <w:sz w:val="50"/>
                              <w:szCs w:val="50"/>
                            </w:rPr>
                            <w:t xml:space="preserve"> </w:t>
                          </w:r>
                          <w:r>
                            <w:rPr>
                              <w:rFonts w:ascii="Zona Pro" w:hAnsi="Zona Pro" w:cs="Zona Pro"/>
                              <w:color w:val="595959" w:themeColor="text1" w:themeTint="A6"/>
                              <w:sz w:val="50"/>
                              <w:szCs w:val="50"/>
                            </w:rPr>
                            <w:t>ΤΥΠΟΥ</w:t>
                          </w:r>
                        </w:p>
                        <w:p w14:paraId="222C8C2B" w14:textId="77777777" w:rsidR="009E476B" w:rsidRDefault="009E476B" w:rsidP="00AA27B3">
                          <w:pPr>
                            <w:pStyle w:val="BodyText"/>
                            <w:rPr>
                              <w:rFonts w:ascii="Zona Pro" w:hAnsi="Zona Pro" w:cs="Zona Pro"/>
                              <w:caps/>
                              <w:color w:val="3F3E3E"/>
                              <w:sz w:val="40"/>
                              <w:szCs w:val="40"/>
                              <w:lang w:val="en-GB"/>
                            </w:rPr>
                          </w:pPr>
                        </w:p>
                        <w:p w14:paraId="220A23CA" w14:textId="77777777" w:rsidR="009E476B" w:rsidRDefault="009E476B"/>
                      </w:txbxContent>
                    </v:textbox>
                  </v:shape>
                </w:pict>
              </mc:Fallback>
            </mc:AlternateContent>
          </w:r>
          <w:r w:rsidR="009E476B">
            <w:rPr>
              <w:rFonts w:ascii="Arial" w:eastAsia="Arial" w:hAnsi="Arial" w:cs="Arial"/>
              <w:noProof/>
              <w:lang w:val="en-US"/>
            </w:rPr>
            <w:br w:type="page"/>
          </w:r>
        </w:p>
      </w:sdtContent>
    </w:sdt>
    <w:p w14:paraId="52085F84" w14:textId="28F9B072" w:rsidR="004578EA" w:rsidRPr="00306EE6" w:rsidRDefault="00BC435C" w:rsidP="009E476B">
      <w:pPr>
        <w:pStyle w:val="BodyText"/>
        <w:rPr>
          <w:sz w:val="17"/>
          <w:lang w:val="en-US"/>
        </w:rPr>
      </w:pPr>
      <w:r>
        <w:rPr>
          <w:rFonts w:ascii="Times New Roman"/>
          <w:noProof/>
          <w:sz w:val="40"/>
        </w:rPr>
        <w:lastRenderedPageBreak/>
        <mc:AlternateContent>
          <mc:Choice Requires="wps">
            <w:drawing>
              <wp:anchor distT="0" distB="0" distL="114300" distR="114300" simplePos="0" relativeHeight="251687937" behindDoc="0" locked="0" layoutInCell="1" allowOverlap="1" wp14:anchorId="31CBB350" wp14:editId="0DF2CF86">
                <wp:simplePos x="0" y="0"/>
                <wp:positionH relativeFrom="margin">
                  <wp:posOffset>228600</wp:posOffset>
                </wp:positionH>
                <wp:positionV relativeFrom="paragraph">
                  <wp:posOffset>8910955</wp:posOffset>
                </wp:positionV>
                <wp:extent cx="2609850" cy="514350"/>
                <wp:effectExtent l="0" t="0" r="0" b="0"/>
                <wp:wrapNone/>
                <wp:docPr id="490545720" name="Text Box 3"/>
                <wp:cNvGraphicFramePr/>
                <a:graphic xmlns:a="http://schemas.openxmlformats.org/drawingml/2006/main">
                  <a:graphicData uri="http://schemas.microsoft.com/office/word/2010/wordprocessingShape">
                    <wps:wsp>
                      <wps:cNvSpPr txBox="1"/>
                      <wps:spPr>
                        <a:xfrm>
                          <a:off x="0" y="0"/>
                          <a:ext cx="2609850" cy="514350"/>
                        </a:xfrm>
                        <a:prstGeom prst="rect">
                          <a:avLst/>
                        </a:prstGeom>
                        <a:noFill/>
                        <a:ln w="6350">
                          <a:noFill/>
                        </a:ln>
                      </wps:spPr>
                      <wps:txbx>
                        <w:txbxContent>
                          <w:p w14:paraId="287AC1D9" w14:textId="4AFD34F1" w:rsidR="00BC435C" w:rsidRPr="00BC435C" w:rsidRDefault="00BC435C">
                            <w:pPr>
                              <w:rPr>
                                <w:color w:val="FFFFFF" w:themeColor="background1"/>
                                <w:sz w:val="40"/>
                                <w:szCs w:val="40"/>
                              </w:rPr>
                            </w:pPr>
                            <w:r w:rsidRPr="00BC435C">
                              <w:rPr>
                                <w:b/>
                                <w:bCs/>
                                <w:color w:val="FFFFFF" w:themeColor="background1"/>
                                <w:sz w:val="40"/>
                                <w:szCs w:val="40"/>
                              </w:rPr>
                              <w:t>ΔΕΛΤΙΟ</w:t>
                            </w:r>
                            <w:r w:rsidRPr="00BC435C">
                              <w:rPr>
                                <w:color w:val="FFFFFF" w:themeColor="background1"/>
                                <w:sz w:val="40"/>
                                <w:szCs w:val="40"/>
                              </w:rPr>
                              <w:t xml:space="preserve"> ΤΥΠΟΥ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CBB350" id="_x0000_s1027" type="#_x0000_t202" style="position:absolute;margin-left:18pt;margin-top:701.65pt;width:205.5pt;height:40.5pt;z-index:25168793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" filled="f" stroked="f" strokeweight=".5pt">
                <v:textbox>
                  <w:txbxContent>
                    <w:p w14:paraId="287AC1D9" w14:textId="4AFD34F1" w:rsidR="00BC435C" w:rsidRPr="00BC435C" w:rsidRDefault="00BC435C">
                      <w:pPr>
                        <w:rPr>
                          <w:color w:val="FFFFFF" w:themeColor="background1"/>
                          <w:sz w:val="40"/>
                          <w:szCs w:val="40"/>
                        </w:rPr>
                      </w:pPr>
                      <w:r w:rsidRPr="00BC435C">
                        <w:rPr>
                          <w:b/>
                          <w:bCs/>
                          <w:color w:val="FFFFFF" w:themeColor="background1"/>
                          <w:sz w:val="40"/>
                          <w:szCs w:val="40"/>
                        </w:rPr>
                        <w:t>ΔΕΛΤΙΟ</w:t>
                      </w:r>
                      <w:r w:rsidRPr="00BC435C">
                        <w:rPr>
                          <w:color w:val="FFFFFF" w:themeColor="background1"/>
                          <w:sz w:val="40"/>
                          <w:szCs w:val="40"/>
                        </w:rPr>
                        <w:t xml:space="preserve"> ΤΥΠΟΥ</w:t>
                      </w:r>
                    </w:p>
                  </w:txbxContent>
                </v:textbox>
                <w10:wrap anchorx="margin"/>
              </v:shape>
            </w:pict>
          </mc:Fallback>
        </mc:AlternateContent>
      </w:r>
      <w:bookmarkStart w:id="0" w:name="_Hlk198534585"/>
      <w:bookmarkEnd w:id="0"/>
    </w:p>
    <w:p w14:paraId="2645337B" w14:textId="540D3C5F" w:rsidR="000B2149" w:rsidRPr="00E842EA" w:rsidRDefault="000B2149" w:rsidP="000B4EED">
      <w:pPr>
        <w:spacing w:before="2"/>
        <w:ind w:firstLine="720"/>
        <w:jc w:val="right"/>
        <w:rPr>
          <w:b/>
          <w:bCs/>
          <w:color w:val="231F20"/>
          <w:sz w:val="45"/>
          <w:szCs w:val="45"/>
        </w:rPr>
      </w:pPr>
      <w:r w:rsidRPr="000B2149">
        <w:rPr>
          <w:b/>
          <w:bCs/>
          <w:color w:val="231F20"/>
          <w:sz w:val="24"/>
          <w:szCs w:val="24"/>
        </w:rPr>
        <w:t>Αθήνα</w:t>
      </w:r>
      <w:r w:rsidRPr="00E842EA">
        <w:rPr>
          <w:b/>
          <w:bCs/>
          <w:color w:val="231F20"/>
          <w:sz w:val="24"/>
          <w:szCs w:val="24"/>
        </w:rPr>
        <w:t xml:space="preserve">, </w:t>
      </w:r>
      <w:r w:rsidR="00F800D5">
        <w:rPr>
          <w:b/>
          <w:bCs/>
          <w:sz w:val="24"/>
        </w:rPr>
        <w:t>10</w:t>
      </w:r>
      <w:r w:rsidR="00D177D7" w:rsidRPr="00E842EA">
        <w:rPr>
          <w:b/>
          <w:bCs/>
          <w:sz w:val="24"/>
        </w:rPr>
        <w:t xml:space="preserve"> </w:t>
      </w:r>
      <w:r w:rsidR="00F800D5">
        <w:rPr>
          <w:b/>
          <w:bCs/>
          <w:sz w:val="24"/>
        </w:rPr>
        <w:t>Σεπτεμβρίου</w:t>
      </w:r>
      <w:r w:rsidR="00541E86" w:rsidRPr="00E842EA">
        <w:rPr>
          <w:b/>
          <w:bCs/>
          <w:sz w:val="24"/>
        </w:rPr>
        <w:t xml:space="preserve"> </w:t>
      </w:r>
      <w:r w:rsidRPr="00E842EA">
        <w:rPr>
          <w:b/>
          <w:bCs/>
          <w:sz w:val="24"/>
        </w:rPr>
        <w:t>202</w:t>
      </w:r>
      <w:r w:rsidR="0027784C" w:rsidRPr="00E842EA">
        <w:rPr>
          <w:b/>
          <w:bCs/>
          <w:sz w:val="24"/>
        </w:rPr>
        <w:t>5</w:t>
      </w:r>
    </w:p>
    <w:p w14:paraId="3BCC6072" w14:textId="77777777" w:rsidR="00541E86" w:rsidRPr="00E842EA" w:rsidRDefault="00541E86" w:rsidP="00951E90">
      <w:pPr>
        <w:spacing w:before="23" w:line="508" w:lineRule="exact"/>
        <w:rPr>
          <w:b/>
          <w:bCs/>
          <w:color w:val="5FAEDF"/>
          <w:position w:val="-3"/>
          <w:sz w:val="44"/>
          <w:szCs w:val="44"/>
        </w:rPr>
      </w:pPr>
    </w:p>
    <w:p w14:paraId="73DB4AEA" w14:textId="2062FA2A" w:rsidR="00951E90" w:rsidRPr="0027784C" w:rsidRDefault="00A40BC6" w:rsidP="00951E90">
      <w:pPr>
        <w:spacing w:before="23" w:line="508" w:lineRule="exact"/>
        <w:rPr>
          <w:color w:val="F79646" w:themeColor="accent6"/>
          <w:sz w:val="36"/>
          <w:szCs w:val="36"/>
        </w:rPr>
      </w:pPr>
      <w:r>
        <w:rPr>
          <w:b/>
          <w:bCs/>
          <w:color w:val="5FAEDF"/>
          <w:position w:val="-3"/>
          <w:sz w:val="44"/>
          <w:szCs w:val="44"/>
        </w:rPr>
        <w:t xml:space="preserve">ΒΑΣΙΚΑ </w:t>
      </w:r>
      <w:r w:rsidR="00541E86">
        <w:rPr>
          <w:b/>
          <w:bCs/>
          <w:color w:val="5FAEDF"/>
          <w:position w:val="-3"/>
          <w:sz w:val="44"/>
          <w:szCs w:val="44"/>
        </w:rPr>
        <w:t xml:space="preserve">ΟΙΚΟΝΟΜΙΚΑ </w:t>
      </w:r>
      <w:r>
        <w:rPr>
          <w:b/>
          <w:bCs/>
          <w:color w:val="5FAEDF"/>
          <w:position w:val="-3"/>
          <w:sz w:val="44"/>
          <w:szCs w:val="44"/>
        </w:rPr>
        <w:t>ΜΕΓΕΘΗ</w:t>
      </w:r>
      <w:r w:rsidR="009E67C8">
        <w:rPr>
          <w:b/>
          <w:bCs/>
          <w:color w:val="5FAEDF"/>
          <w:position w:val="-3"/>
          <w:sz w:val="44"/>
          <w:szCs w:val="44"/>
        </w:rPr>
        <w:t xml:space="preserve"> </w:t>
      </w:r>
      <w:r w:rsidR="00F800D5">
        <w:rPr>
          <w:b/>
          <w:bCs/>
          <w:color w:val="A6A6A6" w:themeColor="background1" w:themeShade="A6"/>
          <w:position w:val="-3"/>
          <w:sz w:val="44"/>
          <w:szCs w:val="44"/>
          <w:lang w:val="en-US"/>
        </w:rPr>
        <w:t>H</w:t>
      </w:r>
      <w:r w:rsidRPr="00A40BC6">
        <w:rPr>
          <w:b/>
          <w:bCs/>
          <w:color w:val="A6A6A6" w:themeColor="background1" w:themeShade="A6"/>
          <w:position w:val="-3"/>
          <w:sz w:val="44"/>
          <w:szCs w:val="44"/>
        </w:rPr>
        <w:t>1’2</w:t>
      </w:r>
      <w:r w:rsidR="0027784C" w:rsidRPr="0027784C">
        <w:rPr>
          <w:b/>
          <w:bCs/>
          <w:color w:val="A6A6A6" w:themeColor="background1" w:themeShade="A6"/>
          <w:position w:val="-3"/>
          <w:sz w:val="44"/>
          <w:szCs w:val="44"/>
        </w:rPr>
        <w:t>5</w:t>
      </w:r>
    </w:p>
    <w:p w14:paraId="3ED5EFD7" w14:textId="77777777" w:rsidR="00951E90" w:rsidRPr="00016DA9" w:rsidRDefault="00951E90" w:rsidP="00951E90">
      <w:pPr>
        <w:spacing w:before="23" w:line="508" w:lineRule="exact"/>
        <w:rPr>
          <w:b/>
          <w:bCs/>
          <w:color w:val="00B2E2"/>
          <w:position w:val="-3"/>
          <w:sz w:val="44"/>
          <w:szCs w:val="44"/>
        </w:rPr>
      </w:pPr>
    </w:p>
    <w:p w14:paraId="3BEEBEB7" w14:textId="7DEA21A5" w:rsidR="001649A6" w:rsidRPr="001649A6" w:rsidRDefault="001649A6" w:rsidP="00EA6E1F">
      <w:pPr>
        <w:spacing w:before="34" w:after="240"/>
        <w:ind w:right="-20"/>
        <w:rPr>
          <w:b/>
          <w:bCs/>
          <w:color w:val="5FAEDF"/>
          <w:spacing w:val="-2"/>
          <w:sz w:val="28"/>
        </w:rPr>
      </w:pPr>
      <w:r w:rsidRPr="001649A6">
        <w:rPr>
          <w:b/>
          <w:bCs/>
          <w:color w:val="5FAEDF"/>
          <w:spacing w:val="-2"/>
          <w:sz w:val="28"/>
        </w:rPr>
        <w:t>Ισχυρές επιδόσεις για ένα ακόμη τρίμηνο, παρά τη μεταβλητότητα του οικονομικού περιβάλλον</w:t>
      </w:r>
      <w:r>
        <w:rPr>
          <w:b/>
          <w:bCs/>
          <w:color w:val="5FAEDF"/>
          <w:spacing w:val="-2"/>
          <w:sz w:val="28"/>
        </w:rPr>
        <w:t>τος</w:t>
      </w:r>
    </w:p>
    <w:p w14:paraId="33D58E37" w14:textId="1546105F" w:rsidR="007949B0" w:rsidRPr="00951E90" w:rsidRDefault="007949B0" w:rsidP="00EA6E1F">
      <w:pPr>
        <w:spacing w:before="34" w:after="240"/>
        <w:ind w:right="-20"/>
        <w:rPr>
          <w:b/>
          <w:bCs/>
          <w:color w:val="A6A6A6" w:themeColor="background1" w:themeShade="A6"/>
          <w:spacing w:val="7"/>
          <w:sz w:val="28"/>
          <w:szCs w:val="28"/>
        </w:rPr>
      </w:pPr>
      <w:r w:rsidRPr="00951E90">
        <w:rPr>
          <w:b/>
          <w:bCs/>
          <w:color w:val="A6A6A6" w:themeColor="background1" w:themeShade="A6"/>
          <w:spacing w:val="7"/>
          <w:sz w:val="28"/>
          <w:szCs w:val="28"/>
        </w:rPr>
        <w:t>Κύρια οικονομικά στοιχεία</w:t>
      </w:r>
    </w:p>
    <w:p w14:paraId="19F35DEE" w14:textId="1831F5D9" w:rsidR="0072194C" w:rsidRPr="006C204C" w:rsidRDefault="006C204C" w:rsidP="006C204C">
      <w:pPr>
        <w:pStyle w:val="ListParagraph"/>
        <w:numPr>
          <w:ilvl w:val="0"/>
          <w:numId w:val="4"/>
        </w:numPr>
        <w:ind w:left="284" w:hanging="284"/>
        <w:rPr>
          <w:b/>
          <w:bCs/>
          <w:color w:val="231F20"/>
          <w:sz w:val="24"/>
          <w:szCs w:val="20"/>
        </w:rPr>
      </w:pPr>
      <w:r w:rsidRPr="006C204C">
        <w:rPr>
          <w:b/>
          <w:bCs/>
          <w:color w:val="231F20"/>
          <w:sz w:val="24"/>
          <w:szCs w:val="20"/>
        </w:rPr>
        <w:t xml:space="preserve">18,1% αύξηση της οργανικής κερδοφορίας (a-EBITDA) στα 134,4 εκατ. ευρώ έναντι 113,8 εκατ. ευρώ στο Α’ εξάμηνο του 2024. </w:t>
      </w:r>
    </w:p>
    <w:p w14:paraId="469C3859" w14:textId="75730F98" w:rsidR="007949B0" w:rsidRDefault="00730DA3" w:rsidP="00471624">
      <w:pPr>
        <w:pStyle w:val="ListParagraph"/>
        <w:numPr>
          <w:ilvl w:val="0"/>
          <w:numId w:val="4"/>
        </w:numPr>
        <w:spacing w:before="10" w:line="276" w:lineRule="auto"/>
        <w:ind w:left="284" w:hanging="284"/>
        <w:rPr>
          <w:b/>
          <w:bCs/>
          <w:color w:val="231F20"/>
          <w:sz w:val="24"/>
          <w:szCs w:val="20"/>
        </w:rPr>
      </w:pPr>
      <w:r w:rsidRPr="00730DA3">
        <w:rPr>
          <w:b/>
          <w:bCs/>
          <w:color w:val="231F20"/>
          <w:sz w:val="24"/>
          <w:szCs w:val="20"/>
        </w:rPr>
        <w:t>Περαιτέρω μείωση του καθαρού δανεισμού. Συνολική μείωση καθαρού δανεισμού κατά 111</w:t>
      </w:r>
      <w:r w:rsidR="00297E7F">
        <w:rPr>
          <w:b/>
          <w:bCs/>
          <w:color w:val="231F20"/>
          <w:sz w:val="24"/>
          <w:szCs w:val="20"/>
        </w:rPr>
        <w:t>,4</w:t>
      </w:r>
      <w:r w:rsidRPr="00730DA3">
        <w:rPr>
          <w:b/>
          <w:bCs/>
          <w:color w:val="231F20"/>
          <w:sz w:val="24"/>
          <w:szCs w:val="20"/>
        </w:rPr>
        <w:t xml:space="preserve"> εκατ. ευρώ από τις 30.06.2024.</w:t>
      </w:r>
    </w:p>
    <w:p w14:paraId="2D4DB435" w14:textId="16B96C79" w:rsidR="00914890" w:rsidRPr="00016DA9" w:rsidRDefault="00914890" w:rsidP="00471624">
      <w:pPr>
        <w:pStyle w:val="ListParagraph"/>
        <w:numPr>
          <w:ilvl w:val="0"/>
          <w:numId w:val="4"/>
        </w:numPr>
        <w:spacing w:before="10" w:line="276" w:lineRule="auto"/>
        <w:ind w:left="284" w:hanging="284"/>
        <w:rPr>
          <w:b/>
          <w:bCs/>
          <w:color w:val="231F20"/>
          <w:sz w:val="24"/>
          <w:szCs w:val="20"/>
        </w:rPr>
      </w:pPr>
      <w:r>
        <w:rPr>
          <w:b/>
          <w:bCs/>
          <w:color w:val="231F20"/>
          <w:sz w:val="24"/>
          <w:szCs w:val="20"/>
        </w:rPr>
        <w:t xml:space="preserve">Μείωση του </w:t>
      </w:r>
      <w:r w:rsidR="009D4DD5">
        <w:rPr>
          <w:b/>
          <w:bCs/>
          <w:color w:val="231F20"/>
          <w:sz w:val="24"/>
          <w:szCs w:val="20"/>
        </w:rPr>
        <w:t xml:space="preserve">καθαρού </w:t>
      </w:r>
      <w:r>
        <w:rPr>
          <w:b/>
          <w:bCs/>
          <w:color w:val="231F20"/>
          <w:sz w:val="24"/>
          <w:szCs w:val="20"/>
        </w:rPr>
        <w:t>χρηματοοικονομικού κόστους κατά 23,3% σε 1</w:t>
      </w:r>
      <w:r w:rsidR="000F0A8A" w:rsidRPr="000F0A8A">
        <w:rPr>
          <w:b/>
          <w:bCs/>
          <w:color w:val="231F20"/>
          <w:sz w:val="24"/>
          <w:szCs w:val="20"/>
        </w:rPr>
        <w:t>8</w:t>
      </w:r>
      <w:r>
        <w:rPr>
          <w:b/>
          <w:bCs/>
          <w:color w:val="231F20"/>
          <w:sz w:val="24"/>
          <w:szCs w:val="20"/>
        </w:rPr>
        <w:t>,</w:t>
      </w:r>
      <w:r w:rsidR="000F0A8A" w:rsidRPr="00AB444F">
        <w:rPr>
          <w:b/>
          <w:bCs/>
          <w:color w:val="231F20"/>
          <w:sz w:val="24"/>
          <w:szCs w:val="20"/>
        </w:rPr>
        <w:t>0</w:t>
      </w:r>
      <w:r>
        <w:rPr>
          <w:b/>
          <w:bCs/>
          <w:color w:val="231F20"/>
          <w:sz w:val="24"/>
          <w:szCs w:val="20"/>
        </w:rPr>
        <w:t xml:space="preserve"> εκατ. το Α’ εξάμηνο του 2025.</w:t>
      </w:r>
    </w:p>
    <w:p w14:paraId="722A7B35" w14:textId="70653B2B" w:rsidR="007949B0" w:rsidRDefault="007949B0" w:rsidP="000B4EED">
      <w:pPr>
        <w:spacing w:before="34"/>
        <w:ind w:right="-20"/>
        <w:rPr>
          <w:b/>
          <w:bCs/>
          <w:color w:val="00AEEF"/>
          <w:sz w:val="28"/>
        </w:rPr>
      </w:pPr>
    </w:p>
    <w:p w14:paraId="62C58807" w14:textId="64FD2D28" w:rsidR="007949B0" w:rsidRPr="00951E90" w:rsidRDefault="007949B0" w:rsidP="00EA6E1F">
      <w:pPr>
        <w:spacing w:before="34" w:after="240"/>
        <w:ind w:right="-20"/>
        <w:rPr>
          <w:b/>
          <w:bCs/>
          <w:color w:val="A6A6A6" w:themeColor="background1" w:themeShade="A6"/>
          <w:spacing w:val="7"/>
          <w:sz w:val="28"/>
          <w:szCs w:val="28"/>
        </w:rPr>
      </w:pPr>
      <w:r w:rsidRPr="00951E90">
        <w:rPr>
          <w:b/>
          <w:bCs/>
          <w:color w:val="A6A6A6" w:themeColor="background1" w:themeShade="A6"/>
          <w:spacing w:val="7"/>
          <w:sz w:val="28"/>
          <w:szCs w:val="28"/>
        </w:rPr>
        <w:t>Κύρια επιχειρησιακά στοιχεία</w:t>
      </w:r>
    </w:p>
    <w:p w14:paraId="12434DA8" w14:textId="1D82753D" w:rsidR="00166753" w:rsidRDefault="00B31779" w:rsidP="00315F81">
      <w:pPr>
        <w:pStyle w:val="ListParagraph"/>
        <w:numPr>
          <w:ilvl w:val="0"/>
          <w:numId w:val="4"/>
        </w:numPr>
        <w:spacing w:before="10" w:line="276" w:lineRule="auto"/>
        <w:ind w:left="284" w:hanging="284"/>
        <w:rPr>
          <w:b/>
          <w:bCs/>
          <w:color w:val="231F20"/>
          <w:sz w:val="24"/>
          <w:szCs w:val="20"/>
        </w:rPr>
      </w:pPr>
      <w:r w:rsidRPr="00B31779">
        <w:rPr>
          <w:b/>
          <w:bCs/>
          <w:color w:val="231F20"/>
          <w:sz w:val="24"/>
          <w:szCs w:val="20"/>
        </w:rPr>
        <w:t>Αύξηση του όγκου πωλήσεων</w:t>
      </w:r>
      <w:r w:rsidR="00914890">
        <w:rPr>
          <w:b/>
          <w:bCs/>
          <w:color w:val="231F20"/>
          <w:sz w:val="24"/>
          <w:szCs w:val="20"/>
        </w:rPr>
        <w:t xml:space="preserve"> κατά 2,1% </w:t>
      </w:r>
      <w:r w:rsidR="009041D2">
        <w:rPr>
          <w:b/>
          <w:bCs/>
          <w:color w:val="231F20"/>
          <w:sz w:val="24"/>
          <w:szCs w:val="20"/>
        </w:rPr>
        <w:t xml:space="preserve">έναντι </w:t>
      </w:r>
      <w:r w:rsidR="009041D2" w:rsidRPr="009041D2">
        <w:rPr>
          <w:b/>
          <w:bCs/>
          <w:color w:val="231F20"/>
          <w:sz w:val="24"/>
          <w:szCs w:val="20"/>
        </w:rPr>
        <w:t>το</w:t>
      </w:r>
      <w:r w:rsidR="009041D2">
        <w:rPr>
          <w:b/>
          <w:bCs/>
          <w:color w:val="231F20"/>
          <w:sz w:val="24"/>
          <w:szCs w:val="20"/>
        </w:rPr>
        <w:t>υ</w:t>
      </w:r>
      <w:r w:rsidR="009041D2" w:rsidRPr="009041D2">
        <w:rPr>
          <w:b/>
          <w:bCs/>
          <w:color w:val="231F20"/>
          <w:sz w:val="24"/>
          <w:szCs w:val="20"/>
        </w:rPr>
        <w:t xml:space="preserve"> Α’ εξ</w:t>
      </w:r>
      <w:r w:rsidR="00B06B95">
        <w:rPr>
          <w:b/>
          <w:bCs/>
          <w:color w:val="231F20"/>
          <w:sz w:val="24"/>
          <w:szCs w:val="20"/>
        </w:rPr>
        <w:t>αμή</w:t>
      </w:r>
      <w:r w:rsidR="009041D2" w:rsidRPr="009041D2">
        <w:rPr>
          <w:b/>
          <w:bCs/>
          <w:color w:val="231F20"/>
          <w:sz w:val="24"/>
          <w:szCs w:val="20"/>
        </w:rPr>
        <w:t>νο</w:t>
      </w:r>
      <w:r w:rsidR="00BC014A">
        <w:rPr>
          <w:b/>
          <w:bCs/>
          <w:color w:val="231F20"/>
          <w:sz w:val="24"/>
          <w:szCs w:val="20"/>
        </w:rPr>
        <w:t>υ</w:t>
      </w:r>
      <w:r w:rsidR="009041D2" w:rsidRPr="009041D2">
        <w:rPr>
          <w:b/>
          <w:bCs/>
          <w:color w:val="231F20"/>
          <w:sz w:val="24"/>
          <w:szCs w:val="20"/>
        </w:rPr>
        <w:t xml:space="preserve"> του 2024</w:t>
      </w:r>
      <w:r w:rsidR="007A1C9C" w:rsidRPr="007A1C9C">
        <w:rPr>
          <w:b/>
          <w:bCs/>
          <w:color w:val="231F20"/>
          <w:sz w:val="24"/>
          <w:szCs w:val="20"/>
        </w:rPr>
        <w:t xml:space="preserve">, λόγω της αυξημένης ζήτησης από τον τομέα της συσκευασίας του </w:t>
      </w:r>
      <w:r w:rsidR="007A1C9C">
        <w:rPr>
          <w:b/>
          <w:bCs/>
          <w:color w:val="231F20"/>
          <w:sz w:val="24"/>
          <w:szCs w:val="20"/>
        </w:rPr>
        <w:t>κ</w:t>
      </w:r>
      <w:r w:rsidR="007A1C9C" w:rsidRPr="007A1C9C">
        <w:rPr>
          <w:b/>
          <w:bCs/>
          <w:color w:val="231F20"/>
          <w:sz w:val="24"/>
          <w:szCs w:val="20"/>
        </w:rPr>
        <w:t xml:space="preserve">λάδου </w:t>
      </w:r>
      <w:r w:rsidR="007A1C9C">
        <w:rPr>
          <w:b/>
          <w:bCs/>
          <w:color w:val="231F20"/>
          <w:sz w:val="24"/>
          <w:szCs w:val="20"/>
        </w:rPr>
        <w:t>α</w:t>
      </w:r>
      <w:r w:rsidR="007A1C9C" w:rsidRPr="007A1C9C">
        <w:rPr>
          <w:b/>
          <w:bCs/>
          <w:color w:val="231F20"/>
          <w:sz w:val="24"/>
          <w:szCs w:val="20"/>
        </w:rPr>
        <w:t>λουμινίου</w:t>
      </w:r>
      <w:r w:rsidR="00226848">
        <w:rPr>
          <w:b/>
          <w:bCs/>
          <w:color w:val="231F20"/>
          <w:sz w:val="24"/>
          <w:szCs w:val="20"/>
        </w:rPr>
        <w:t>.</w:t>
      </w:r>
    </w:p>
    <w:p w14:paraId="624D9534" w14:textId="663F1B2C" w:rsidR="0048661D" w:rsidRPr="00A953F5" w:rsidRDefault="00A953F5" w:rsidP="00A953F5">
      <w:pPr>
        <w:pStyle w:val="ListParagraph"/>
        <w:numPr>
          <w:ilvl w:val="0"/>
          <w:numId w:val="4"/>
        </w:numPr>
        <w:ind w:left="284" w:hanging="284"/>
        <w:rPr>
          <w:b/>
          <w:bCs/>
          <w:color w:val="231F20"/>
          <w:sz w:val="24"/>
          <w:szCs w:val="20"/>
        </w:rPr>
      </w:pPr>
      <w:r w:rsidRPr="00A953F5">
        <w:rPr>
          <w:b/>
          <w:bCs/>
          <w:color w:val="231F20"/>
          <w:sz w:val="24"/>
          <w:szCs w:val="20"/>
        </w:rPr>
        <w:t>Αποκλιμάκωση των τιμών του μετάλλου στο LME κατά το Q2’25 λόγω της ανησυχίας για την επιβολή εμπορικών δασμών έναντι</w:t>
      </w:r>
      <w:r w:rsidR="00694CF3">
        <w:rPr>
          <w:b/>
          <w:bCs/>
          <w:color w:val="231F20"/>
          <w:sz w:val="24"/>
          <w:szCs w:val="20"/>
        </w:rPr>
        <w:t xml:space="preserve"> του</w:t>
      </w:r>
      <w:r w:rsidRPr="00A953F5">
        <w:rPr>
          <w:b/>
          <w:bCs/>
          <w:color w:val="231F20"/>
          <w:sz w:val="24"/>
          <w:szCs w:val="20"/>
        </w:rPr>
        <w:t xml:space="preserve"> Q1’25</w:t>
      </w:r>
      <w:r w:rsidR="00162C13">
        <w:rPr>
          <w:b/>
          <w:bCs/>
          <w:color w:val="231F20"/>
          <w:sz w:val="24"/>
          <w:szCs w:val="20"/>
        </w:rPr>
        <w:t>.</w:t>
      </w:r>
    </w:p>
    <w:p w14:paraId="18897C26" w14:textId="1E0246F8" w:rsidR="00704E26" w:rsidRDefault="00E61DAF" w:rsidP="00B31779">
      <w:pPr>
        <w:pStyle w:val="ListParagraph"/>
        <w:numPr>
          <w:ilvl w:val="0"/>
          <w:numId w:val="4"/>
        </w:numPr>
        <w:spacing w:before="10" w:line="276" w:lineRule="auto"/>
        <w:ind w:left="284" w:hanging="284"/>
        <w:rPr>
          <w:b/>
          <w:bCs/>
          <w:color w:val="231F20"/>
          <w:sz w:val="24"/>
          <w:szCs w:val="20"/>
        </w:rPr>
      </w:pPr>
      <w:r>
        <w:rPr>
          <w:b/>
          <w:bCs/>
          <w:color w:val="231F20"/>
          <w:sz w:val="24"/>
          <w:szCs w:val="20"/>
        </w:rPr>
        <w:t>Αυξημένα κόστη</w:t>
      </w:r>
      <w:r w:rsidR="00F012B9">
        <w:rPr>
          <w:b/>
          <w:bCs/>
          <w:color w:val="231F20"/>
          <w:sz w:val="24"/>
          <w:szCs w:val="20"/>
        </w:rPr>
        <w:t xml:space="preserve"> ενέργειας</w:t>
      </w:r>
      <w:r w:rsidR="00162C13">
        <w:rPr>
          <w:b/>
          <w:bCs/>
          <w:color w:val="231F20"/>
          <w:sz w:val="24"/>
          <w:szCs w:val="20"/>
        </w:rPr>
        <w:t>.</w:t>
      </w:r>
    </w:p>
    <w:p w14:paraId="10CBF29B" w14:textId="3841CD0B" w:rsidR="003335EF" w:rsidRPr="003335EF" w:rsidRDefault="00E053B7" w:rsidP="003335EF">
      <w:pPr>
        <w:tabs>
          <w:tab w:val="left" w:pos="720"/>
          <w:tab w:val="left" w:pos="1440"/>
          <w:tab w:val="left" w:pos="2160"/>
          <w:tab w:val="left" w:pos="2880"/>
          <w:tab w:val="left" w:pos="4320"/>
          <w:tab w:val="left" w:pos="6123"/>
        </w:tabs>
        <w:rPr>
          <w:noProof/>
        </w:rPr>
      </w:pPr>
      <w:r>
        <w:rPr>
          <w:color w:val="231F20"/>
          <w:sz w:val="20"/>
          <w:szCs w:val="18"/>
        </w:rPr>
        <w:t xml:space="preserve"> </w:t>
      </w:r>
      <w:r w:rsidR="006F1497">
        <w:rPr>
          <w:color w:val="231F20"/>
          <w:sz w:val="20"/>
          <w:szCs w:val="18"/>
        </w:rPr>
        <w:t xml:space="preserve"> </w:t>
      </w:r>
    </w:p>
    <w:p w14:paraId="679A440F" w14:textId="0E4C995D" w:rsidR="00FE271F" w:rsidRDefault="007A1C9C" w:rsidP="00B31779">
      <w:pPr>
        <w:rPr>
          <w:color w:val="231F20"/>
          <w:sz w:val="20"/>
          <w:szCs w:val="18"/>
        </w:rPr>
      </w:pPr>
      <w:r>
        <w:rPr>
          <w:noProof/>
        </w:rPr>
        <w:drawing>
          <wp:inline distT="0" distB="0" distL="0" distR="0" wp14:anchorId="44CD4E66" wp14:editId="4210019C">
            <wp:extent cx="3174797" cy="2012315"/>
            <wp:effectExtent l="0" t="0" r="6985" b="6985"/>
            <wp:docPr id="1217575037" name="Chart 1">
              <a:extLst xmlns:a="http://schemas.openxmlformats.org/drawingml/2006/main">
                <a:ext uri="{FF2B5EF4-FFF2-40B4-BE49-F238E27FC236}">
                  <a16:creationId xmlns:a16="http://schemas.microsoft.com/office/drawing/2014/main" id="{4E59DAE0-5B4F-473D-8F7B-2CE1A332BF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14890">
        <w:rPr>
          <w:noProof/>
          <w:color w:val="231F20"/>
          <w:sz w:val="20"/>
          <w:szCs w:val="18"/>
        </w:rPr>
        <mc:AlternateContent>
          <mc:Choice Requires="wps">
            <w:drawing>
              <wp:anchor distT="0" distB="0" distL="114300" distR="114300" simplePos="0" relativeHeight="251678721" behindDoc="0" locked="0" layoutInCell="1" allowOverlap="1" wp14:anchorId="35B34B83" wp14:editId="7259E6EC">
                <wp:simplePos x="0" y="0"/>
                <wp:positionH relativeFrom="column">
                  <wp:posOffset>3441330</wp:posOffset>
                </wp:positionH>
                <wp:positionV relativeFrom="paragraph">
                  <wp:posOffset>298354</wp:posOffset>
                </wp:positionV>
                <wp:extent cx="2317630" cy="212785"/>
                <wp:effectExtent l="0" t="0" r="6985" b="0"/>
                <wp:wrapNone/>
                <wp:docPr id="1148546328" name="Rectangle 1"/>
                <wp:cNvGraphicFramePr/>
                <a:graphic xmlns:a="http://schemas.openxmlformats.org/drawingml/2006/main">
                  <a:graphicData uri="http://schemas.microsoft.com/office/word/2010/wordprocessingShape">
                    <wps:wsp>
                      <wps:cNvSpPr/>
                      <wps:spPr>
                        <a:xfrm>
                          <a:off x="0" y="0"/>
                          <a:ext cx="2317630" cy="21278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9435FB" w14:textId="0EB38416" w:rsidR="00566C6E" w:rsidRPr="004846F9" w:rsidRDefault="00566C6E" w:rsidP="007007BC">
                            <w:pPr>
                              <w:pStyle w:val="ListParagraph"/>
                              <w:ind w:left="720"/>
                              <w:rPr>
                                <w:color w:val="000000" w:themeColor="text1"/>
                                <w:sz w:val="16"/>
                                <w:szCs w:val="16"/>
                              </w:rPr>
                            </w:pPr>
                            <w:r w:rsidRPr="004846F9">
                              <w:rPr>
                                <w:color w:val="000000" w:themeColor="text1"/>
                                <w:sz w:val="16"/>
                                <w:szCs w:val="16"/>
                                <w:lang w:val="en-US"/>
                              </w:rPr>
                              <w:t>EBITDA</w:t>
                            </w:r>
                            <w:r w:rsidRPr="004846F9">
                              <w:rPr>
                                <w:color w:val="000000" w:themeColor="text1"/>
                                <w:sz w:val="16"/>
                                <w:szCs w:val="16"/>
                              </w:rPr>
                              <w:t xml:space="preserve"> (</w:t>
                            </w:r>
                            <w:r w:rsidR="00817256">
                              <w:rPr>
                                <w:color w:val="000000" w:themeColor="text1"/>
                                <w:sz w:val="16"/>
                                <w:szCs w:val="16"/>
                              </w:rPr>
                              <w:t>εκατ.</w:t>
                            </w:r>
                            <w:r w:rsidRPr="004846F9">
                              <w:rPr>
                                <w:color w:val="000000" w:themeColor="text1"/>
                                <w:sz w:val="16"/>
                                <w:szCs w:val="16"/>
                              </w:rPr>
                              <w:t xml:space="preserve"> ευρώ)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34B83" id="Rectangle 1" o:spid="_x0000_s1028" style="position:absolute;margin-left:270.95pt;margin-top:23.5pt;width:182.5pt;height:16.75pt;z-index:251678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" fillcolor="#d8d8d8 [2732]" stroked="f" strokeweight="2pt">
                <v:textbox>
                  <w:txbxContent>
                    <w:p w14:paraId="5E9435FB" w14:textId="0EB38416" w:rsidR="00566C6E" w:rsidRPr="004846F9" w:rsidRDefault="00566C6E" w:rsidP="007007BC">
                      <w:pPr>
                        <w:pStyle w:val="ListParagraph"/>
                        <w:ind w:left="720"/>
                        <w:rPr>
                          <w:color w:val="000000" w:themeColor="text1"/>
                          <w:sz w:val="16"/>
                          <w:szCs w:val="16"/>
                        </w:rPr>
                      </w:pPr>
                      <w:r w:rsidRPr="004846F9">
                        <w:rPr>
                          <w:color w:val="000000" w:themeColor="text1"/>
                          <w:sz w:val="16"/>
                          <w:szCs w:val="16"/>
                          <w:lang w:val="en-US"/>
                        </w:rPr>
                        <w:t>EBITDA</w:t>
                      </w:r>
                      <w:r w:rsidRPr="004846F9">
                        <w:rPr>
                          <w:color w:val="000000" w:themeColor="text1"/>
                          <w:sz w:val="16"/>
                          <w:szCs w:val="16"/>
                        </w:rPr>
                        <w:t xml:space="preserve"> (</w:t>
                      </w:r>
                      <w:r w:rsidR="00817256">
                        <w:rPr>
                          <w:color w:val="000000" w:themeColor="text1"/>
                          <w:sz w:val="16"/>
                          <w:szCs w:val="16"/>
                        </w:rPr>
                        <w:t>εκατ.</w:t>
                      </w:r>
                      <w:r w:rsidRPr="004846F9">
                        <w:rPr>
                          <w:color w:val="000000" w:themeColor="text1"/>
                          <w:sz w:val="16"/>
                          <w:szCs w:val="16"/>
                        </w:rPr>
                        <w:t xml:space="preserve"> ευρώ)</w:t>
                      </w:r>
                    </w:p>
                  </w:txbxContent>
                </v:textbox>
              </v:rect>
            </w:pict>
          </mc:Fallback>
        </mc:AlternateContent>
      </w:r>
      <w:r w:rsidR="00914890">
        <w:rPr>
          <w:noProof/>
        </w:rPr>
        <w:drawing>
          <wp:inline distT="0" distB="0" distL="0" distR="0" wp14:anchorId="0FC055E2" wp14:editId="00468169">
            <wp:extent cx="2816352" cy="2014855"/>
            <wp:effectExtent l="0" t="0" r="3175" b="4445"/>
            <wp:docPr id="1674572251" name="Chart 1">
              <a:extLst xmlns:a="http://schemas.openxmlformats.org/drawingml/2006/main">
                <a:ext uri="{FF2B5EF4-FFF2-40B4-BE49-F238E27FC236}">
                  <a16:creationId xmlns:a16="http://schemas.microsoft.com/office/drawing/2014/main" id="{BED236E3-9270-4CBD-A7ED-7B30E75AD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914890">
        <w:rPr>
          <w:noProof/>
          <w:color w:val="231F20"/>
          <w:sz w:val="20"/>
          <w:szCs w:val="18"/>
        </w:rPr>
        <mc:AlternateContent>
          <mc:Choice Requires="wps">
            <w:drawing>
              <wp:anchor distT="0" distB="0" distL="114300" distR="114300" simplePos="0" relativeHeight="251656191" behindDoc="0" locked="0" layoutInCell="1" allowOverlap="1" wp14:anchorId="6061A8CD" wp14:editId="166B1FED">
                <wp:simplePos x="0" y="0"/>
                <wp:positionH relativeFrom="margin">
                  <wp:posOffset>373212</wp:posOffset>
                </wp:positionH>
                <wp:positionV relativeFrom="paragraph">
                  <wp:posOffset>259499</wp:posOffset>
                </wp:positionV>
                <wp:extent cx="2392790" cy="246491"/>
                <wp:effectExtent l="0" t="0" r="7620" b="1270"/>
                <wp:wrapNone/>
                <wp:docPr id="1684179914" name="Rectangle 1"/>
                <wp:cNvGraphicFramePr/>
                <a:graphic xmlns:a="http://schemas.openxmlformats.org/drawingml/2006/main">
                  <a:graphicData uri="http://schemas.microsoft.com/office/word/2010/wordprocessingShape">
                    <wps:wsp>
                      <wps:cNvSpPr/>
                      <wps:spPr>
                        <a:xfrm>
                          <a:off x="0" y="0"/>
                          <a:ext cx="2392790" cy="246491"/>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0DA5A3" w14:textId="5D82C789" w:rsidR="00DD34CD" w:rsidRPr="004846F9" w:rsidRDefault="00DD34CD" w:rsidP="00764DD9">
                            <w:pPr>
                              <w:pStyle w:val="ListParagraph"/>
                              <w:ind w:left="720"/>
                              <w:rPr>
                                <w:color w:val="000000" w:themeColor="text1"/>
                                <w:sz w:val="16"/>
                                <w:szCs w:val="16"/>
                              </w:rPr>
                            </w:pPr>
                            <w:r w:rsidRPr="004846F9">
                              <w:rPr>
                                <w:color w:val="000000" w:themeColor="text1"/>
                                <w:sz w:val="16"/>
                                <w:szCs w:val="16"/>
                                <w:lang w:val="en-US"/>
                              </w:rPr>
                              <w:t>a</w:t>
                            </w:r>
                            <w:r w:rsidRPr="004846F9">
                              <w:rPr>
                                <w:color w:val="000000" w:themeColor="text1"/>
                                <w:sz w:val="16"/>
                                <w:szCs w:val="16"/>
                              </w:rPr>
                              <w:t>-</w:t>
                            </w:r>
                            <w:r w:rsidRPr="004846F9">
                              <w:rPr>
                                <w:color w:val="000000" w:themeColor="text1"/>
                                <w:sz w:val="16"/>
                                <w:szCs w:val="16"/>
                                <w:lang w:val="en-US"/>
                              </w:rPr>
                              <w:t>EBITDA</w:t>
                            </w:r>
                            <w:r w:rsidRPr="004846F9">
                              <w:rPr>
                                <w:color w:val="000000" w:themeColor="text1"/>
                                <w:sz w:val="16"/>
                                <w:szCs w:val="16"/>
                              </w:rPr>
                              <w:t xml:space="preserve"> (</w:t>
                            </w:r>
                            <w:r w:rsidR="00817256">
                              <w:rPr>
                                <w:color w:val="000000" w:themeColor="text1"/>
                                <w:sz w:val="16"/>
                                <w:szCs w:val="16"/>
                              </w:rPr>
                              <w:t>εκατ.</w:t>
                            </w:r>
                            <w:r w:rsidRPr="004846F9">
                              <w:rPr>
                                <w:color w:val="000000" w:themeColor="text1"/>
                                <w:sz w:val="16"/>
                                <w:szCs w:val="16"/>
                              </w:rPr>
                              <w:t xml:space="preserve"> ευρώ)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1A8CD" id="_x0000_s1029" style="position:absolute;margin-left:29.4pt;margin-top:20.45pt;width:188.4pt;height:19.4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" fillcolor="#d8d8d8 [2732]" stroked="f" strokeweight="2pt">
                <v:textbox>
                  <w:txbxContent>
                    <w:p w14:paraId="5D0DA5A3" w14:textId="5D82C789" w:rsidR="00DD34CD" w:rsidRPr="004846F9" w:rsidRDefault="00DD34CD" w:rsidP="00764DD9">
                      <w:pPr>
                        <w:pStyle w:val="ListParagraph"/>
                        <w:ind w:left="720"/>
                        <w:rPr>
                          <w:color w:val="000000" w:themeColor="text1"/>
                          <w:sz w:val="16"/>
                          <w:szCs w:val="16"/>
                        </w:rPr>
                      </w:pPr>
                      <w:r w:rsidRPr="004846F9">
                        <w:rPr>
                          <w:color w:val="000000" w:themeColor="text1"/>
                          <w:sz w:val="16"/>
                          <w:szCs w:val="16"/>
                          <w:lang w:val="en-US"/>
                        </w:rPr>
                        <w:t>a</w:t>
                      </w:r>
                      <w:r w:rsidRPr="004846F9">
                        <w:rPr>
                          <w:color w:val="000000" w:themeColor="text1"/>
                          <w:sz w:val="16"/>
                          <w:szCs w:val="16"/>
                        </w:rPr>
                        <w:t>-</w:t>
                      </w:r>
                      <w:r w:rsidRPr="004846F9">
                        <w:rPr>
                          <w:color w:val="000000" w:themeColor="text1"/>
                          <w:sz w:val="16"/>
                          <w:szCs w:val="16"/>
                          <w:lang w:val="en-US"/>
                        </w:rPr>
                        <w:t>EBITDA</w:t>
                      </w:r>
                      <w:r w:rsidRPr="004846F9">
                        <w:rPr>
                          <w:color w:val="000000" w:themeColor="text1"/>
                          <w:sz w:val="16"/>
                          <w:szCs w:val="16"/>
                        </w:rPr>
                        <w:t xml:space="preserve"> (</w:t>
                      </w:r>
                      <w:r w:rsidR="00817256">
                        <w:rPr>
                          <w:color w:val="000000" w:themeColor="text1"/>
                          <w:sz w:val="16"/>
                          <w:szCs w:val="16"/>
                        </w:rPr>
                        <w:t>εκατ.</w:t>
                      </w:r>
                      <w:r w:rsidRPr="004846F9">
                        <w:rPr>
                          <w:color w:val="000000" w:themeColor="text1"/>
                          <w:sz w:val="16"/>
                          <w:szCs w:val="16"/>
                        </w:rPr>
                        <w:t xml:space="preserve"> ευρώ)</w:t>
                      </w:r>
                    </w:p>
                  </w:txbxContent>
                </v:textbox>
                <w10:wrap anchorx="margin"/>
              </v:rect>
            </w:pict>
          </mc:Fallback>
        </mc:AlternateContent>
      </w:r>
    </w:p>
    <w:p w14:paraId="236C8484" w14:textId="4E9229E5" w:rsidR="0049353B" w:rsidRPr="000A3EFE" w:rsidRDefault="00914890" w:rsidP="00B31779">
      <w:pPr>
        <w:rPr>
          <w:color w:val="231F20"/>
          <w:sz w:val="20"/>
          <w:szCs w:val="18"/>
          <w:lang w:val="en-US"/>
        </w:rPr>
      </w:pPr>
      <w:r>
        <w:rPr>
          <w:noProof/>
        </w:rPr>
        <mc:AlternateContent>
          <mc:Choice Requires="wps">
            <w:drawing>
              <wp:anchor distT="0" distB="0" distL="114300" distR="114300" simplePos="0" relativeHeight="251694081" behindDoc="0" locked="0" layoutInCell="1" allowOverlap="1" wp14:anchorId="332C06A1" wp14:editId="040D56EA">
                <wp:simplePos x="0" y="0"/>
                <wp:positionH relativeFrom="column">
                  <wp:posOffset>491095</wp:posOffset>
                </wp:positionH>
                <wp:positionV relativeFrom="paragraph">
                  <wp:posOffset>347597</wp:posOffset>
                </wp:positionV>
                <wp:extent cx="2328856" cy="218440"/>
                <wp:effectExtent l="0" t="0" r="0" b="0"/>
                <wp:wrapNone/>
                <wp:docPr id="157415219" name="Rectangle 1"/>
                <wp:cNvGraphicFramePr/>
                <a:graphic xmlns:a="http://schemas.openxmlformats.org/drawingml/2006/main">
                  <a:graphicData uri="http://schemas.microsoft.com/office/word/2010/wordprocessingShape">
                    <wps:wsp>
                      <wps:cNvSpPr/>
                      <wps:spPr>
                        <a:xfrm>
                          <a:off x="0" y="0"/>
                          <a:ext cx="2328856" cy="21844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CA971F" w14:textId="77777777" w:rsidR="00914890" w:rsidRDefault="00914890" w:rsidP="00914890">
                            <w:pPr>
                              <w:ind w:left="720"/>
                              <w:rPr>
                                <w:color w:val="000000"/>
                                <w:sz w:val="16"/>
                                <w:szCs w:val="16"/>
                              </w:rPr>
                            </w:pPr>
                            <w:r>
                              <w:rPr>
                                <w:color w:val="000000"/>
                                <w:sz w:val="16"/>
                                <w:szCs w:val="16"/>
                              </w:rPr>
                              <w:t>Πωλήσεις (εκατ. ευρώ)</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2C06A1" id="_x0000_s1030" style="position:absolute;margin-left:38.65pt;margin-top:27.35pt;width:183.35pt;height:17.2pt;z-index:2516940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" fillcolor="#d8d8d8 [2732]" stroked="f" strokeweight="2pt">
                <v:textbox>
                  <w:txbxContent>
                    <w:p w14:paraId="22CA971F" w14:textId="77777777" w:rsidR="00914890" w:rsidRDefault="00914890" w:rsidP="00914890">
                      <w:pPr>
                        <w:ind w:left="720"/>
                        <w:rPr>
                          <w:color w:val="000000"/>
                          <w:sz w:val="16"/>
                          <w:szCs w:val="16"/>
                        </w:rPr>
                      </w:pPr>
                      <w:r>
                        <w:rPr>
                          <w:color w:val="000000"/>
                          <w:sz w:val="16"/>
                          <w:szCs w:val="16"/>
                        </w:rPr>
                        <w:t>Πωλήσεις (εκατ. ευρώ)</w:t>
                      </w:r>
                    </w:p>
                  </w:txbxContent>
                </v:textbox>
              </v:rect>
            </w:pict>
          </mc:Fallback>
        </mc:AlternateContent>
      </w:r>
      <w:r>
        <w:rPr>
          <w:noProof/>
        </w:rPr>
        <mc:AlternateContent>
          <mc:Choice Requires="wps">
            <w:drawing>
              <wp:anchor distT="0" distB="0" distL="114300" distR="114300" simplePos="0" relativeHeight="251685889" behindDoc="0" locked="0" layoutInCell="1" allowOverlap="1" wp14:anchorId="63588497" wp14:editId="337F843A">
                <wp:simplePos x="0" y="0"/>
                <wp:positionH relativeFrom="column">
                  <wp:posOffset>3602355</wp:posOffset>
                </wp:positionH>
                <wp:positionV relativeFrom="paragraph">
                  <wp:posOffset>301589</wp:posOffset>
                </wp:positionV>
                <wp:extent cx="2156089" cy="234760"/>
                <wp:effectExtent l="0" t="0" r="0" b="0"/>
                <wp:wrapNone/>
                <wp:docPr id="2" name="Rectangle 1"/>
                <wp:cNvGraphicFramePr/>
                <a:graphic xmlns:a="http://schemas.openxmlformats.org/drawingml/2006/main">
                  <a:graphicData uri="http://schemas.microsoft.com/office/word/2010/wordprocessingShape">
                    <wps:wsp>
                      <wps:cNvSpPr/>
                      <wps:spPr>
                        <a:xfrm>
                          <a:off x="0" y="0"/>
                          <a:ext cx="2156089" cy="23476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266B25" w14:textId="6E7BE3E8" w:rsidR="001051FD" w:rsidRDefault="00B775D6" w:rsidP="001051FD">
                            <w:pPr>
                              <w:ind w:left="720"/>
                              <w:rPr>
                                <w:color w:val="000000"/>
                                <w:sz w:val="16"/>
                                <w:szCs w:val="16"/>
                              </w:rPr>
                            </w:pPr>
                            <w:r>
                              <w:rPr>
                                <w:color w:val="000000"/>
                                <w:sz w:val="16"/>
                                <w:szCs w:val="16"/>
                              </w:rPr>
                              <w:t xml:space="preserve">Όγκος </w:t>
                            </w:r>
                            <w:r w:rsidR="001051FD">
                              <w:rPr>
                                <w:color w:val="000000"/>
                                <w:sz w:val="16"/>
                                <w:szCs w:val="16"/>
                              </w:rPr>
                              <w:t>(</w:t>
                            </w:r>
                            <w:r w:rsidR="0059616A">
                              <w:rPr>
                                <w:color w:val="000000"/>
                                <w:sz w:val="16"/>
                                <w:szCs w:val="16"/>
                              </w:rPr>
                              <w:t xml:space="preserve">χιλ. </w:t>
                            </w:r>
                            <w:r w:rsidR="001051FD">
                              <w:rPr>
                                <w:color w:val="000000"/>
                                <w:sz w:val="16"/>
                                <w:szCs w:val="16"/>
                              </w:rPr>
                              <w:t>τόνο</w:t>
                            </w:r>
                            <w:r w:rsidR="000C2E1E">
                              <w:rPr>
                                <w:color w:val="000000"/>
                                <w:sz w:val="16"/>
                                <w:szCs w:val="16"/>
                              </w:rPr>
                              <w:t>ι</w:t>
                            </w:r>
                            <w:r w:rsidR="001051FD">
                              <w:rPr>
                                <w:color w:val="000000"/>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88497" id="_x0000_s1031" style="position:absolute;margin-left:283.65pt;margin-top:23.75pt;width:169.75pt;height:18.5pt;z-index:25168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" fillcolor="#d8d8d8 [2732]" stroked="f" strokeweight="2pt">
                <v:textbox>
                  <w:txbxContent>
                    <w:p w14:paraId="0C266B25" w14:textId="6E7BE3E8" w:rsidR="001051FD" w:rsidRDefault="00B775D6" w:rsidP="001051FD">
                      <w:pPr>
                        <w:ind w:left="720"/>
                        <w:rPr>
                          <w:color w:val="000000"/>
                          <w:sz w:val="16"/>
                          <w:szCs w:val="16"/>
                        </w:rPr>
                      </w:pPr>
                      <w:r>
                        <w:rPr>
                          <w:color w:val="000000"/>
                          <w:sz w:val="16"/>
                          <w:szCs w:val="16"/>
                        </w:rPr>
                        <w:t xml:space="preserve">Όγκος </w:t>
                      </w:r>
                      <w:r w:rsidR="001051FD">
                        <w:rPr>
                          <w:color w:val="000000"/>
                          <w:sz w:val="16"/>
                          <w:szCs w:val="16"/>
                        </w:rPr>
                        <w:t>(</w:t>
                      </w:r>
                      <w:r w:rsidR="0059616A">
                        <w:rPr>
                          <w:color w:val="000000"/>
                          <w:sz w:val="16"/>
                          <w:szCs w:val="16"/>
                        </w:rPr>
                        <w:t xml:space="preserve">χιλ. </w:t>
                      </w:r>
                      <w:r w:rsidR="001051FD">
                        <w:rPr>
                          <w:color w:val="000000"/>
                          <w:sz w:val="16"/>
                          <w:szCs w:val="16"/>
                        </w:rPr>
                        <w:t>τόνο</w:t>
                      </w:r>
                      <w:r w:rsidR="000C2E1E">
                        <w:rPr>
                          <w:color w:val="000000"/>
                          <w:sz w:val="16"/>
                          <w:szCs w:val="16"/>
                        </w:rPr>
                        <w:t>ι</w:t>
                      </w:r>
                      <w:r w:rsidR="001051FD">
                        <w:rPr>
                          <w:color w:val="000000"/>
                          <w:sz w:val="16"/>
                          <w:szCs w:val="16"/>
                        </w:rPr>
                        <w:t>)</w:t>
                      </w:r>
                    </w:p>
                  </w:txbxContent>
                </v:textbox>
              </v:rect>
            </w:pict>
          </mc:Fallback>
        </mc:AlternateContent>
      </w:r>
      <w:r>
        <w:rPr>
          <w:noProof/>
        </w:rPr>
        <w:drawing>
          <wp:inline distT="0" distB="0" distL="0" distR="0" wp14:anchorId="7B427808" wp14:editId="33C56EEB">
            <wp:extent cx="3162300" cy="1800225"/>
            <wp:effectExtent l="0" t="0" r="0" b="9525"/>
            <wp:docPr id="877049774" name="Chart 1">
              <a:extLst xmlns:a="http://schemas.openxmlformats.org/drawingml/2006/main">
                <a:ext uri="{FF2B5EF4-FFF2-40B4-BE49-F238E27FC236}">
                  <a16:creationId xmlns:a16="http://schemas.microsoft.com/office/drawing/2014/main" id="{A2A7A1BB-1916-462C-9996-5B2E820F6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2B7CDF50" wp14:editId="3A2191BF">
            <wp:extent cx="2840355" cy="1783056"/>
            <wp:effectExtent l="0" t="0" r="17145" b="8255"/>
            <wp:docPr id="1663438750" name="Chart 1">
              <a:extLst xmlns:a="http://schemas.openxmlformats.org/drawingml/2006/main">
                <a:ext uri="{FF2B5EF4-FFF2-40B4-BE49-F238E27FC236}">
                  <a16:creationId xmlns:a16="http://schemas.microsoft.com/office/drawing/2014/main" id="{D3C5070C-CDD7-4EE4-9AFB-791F1C3816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48A1C8" w14:textId="2BA5065B" w:rsidR="0049353B" w:rsidRPr="00897C6B" w:rsidRDefault="0049353B" w:rsidP="000B4EED">
      <w:pPr>
        <w:jc w:val="both"/>
        <w:rPr>
          <w:color w:val="231F20"/>
          <w:sz w:val="20"/>
          <w:szCs w:val="18"/>
          <w:lang w:val="en-US"/>
        </w:rPr>
      </w:pPr>
    </w:p>
    <w:p w14:paraId="3839EF2F" w14:textId="77777777" w:rsidR="00C7186E" w:rsidRPr="00C7186E" w:rsidRDefault="00C7186E" w:rsidP="000B4EED">
      <w:pPr>
        <w:jc w:val="both"/>
        <w:rPr>
          <w:color w:val="231F20"/>
          <w:sz w:val="20"/>
          <w:szCs w:val="18"/>
          <w:highlight w:val="yellow"/>
        </w:rPr>
      </w:pPr>
    </w:p>
    <w:p w14:paraId="5077A663" w14:textId="77777777" w:rsidR="00764C8D" w:rsidRPr="00404CB4" w:rsidRDefault="00764C8D" w:rsidP="000B4EED">
      <w:pPr>
        <w:jc w:val="both"/>
        <w:rPr>
          <w:color w:val="231F20"/>
          <w:sz w:val="20"/>
          <w:szCs w:val="18"/>
          <w:lang w:val="en-US"/>
        </w:rPr>
      </w:pPr>
    </w:p>
    <w:p w14:paraId="773A8119" w14:textId="77777777" w:rsidR="007811CC" w:rsidRDefault="007811CC" w:rsidP="000B4EED">
      <w:pPr>
        <w:jc w:val="both"/>
        <w:rPr>
          <w:color w:val="231F20"/>
          <w:sz w:val="20"/>
          <w:szCs w:val="18"/>
        </w:rPr>
      </w:pPr>
    </w:p>
    <w:p w14:paraId="1DEEE4AD" w14:textId="5D326ABC" w:rsidR="00C128A2" w:rsidRPr="00404CB4" w:rsidRDefault="00420922" w:rsidP="000B4EED">
      <w:pPr>
        <w:jc w:val="both"/>
        <w:rPr>
          <w:color w:val="231F20"/>
          <w:sz w:val="20"/>
          <w:szCs w:val="18"/>
        </w:rPr>
      </w:pPr>
      <w:r w:rsidRPr="00404CB4">
        <w:rPr>
          <w:color w:val="231F20"/>
          <w:sz w:val="20"/>
          <w:szCs w:val="18"/>
        </w:rPr>
        <w:t xml:space="preserve">Σχολιάζοντας τα αποτελέσματα, ο Γενικός Διευθυντής του </w:t>
      </w:r>
      <w:r w:rsidR="00F027C7">
        <w:rPr>
          <w:color w:val="231F20"/>
          <w:sz w:val="20"/>
          <w:szCs w:val="18"/>
        </w:rPr>
        <w:t>κ</w:t>
      </w:r>
      <w:r w:rsidRPr="00404CB4">
        <w:rPr>
          <w:color w:val="231F20"/>
          <w:sz w:val="20"/>
          <w:szCs w:val="18"/>
        </w:rPr>
        <w:t xml:space="preserve">λάδου </w:t>
      </w:r>
      <w:r w:rsidR="00F027C7">
        <w:rPr>
          <w:color w:val="231F20"/>
          <w:sz w:val="20"/>
          <w:szCs w:val="18"/>
        </w:rPr>
        <w:t>α</w:t>
      </w:r>
      <w:r w:rsidRPr="00404CB4">
        <w:rPr>
          <w:color w:val="231F20"/>
          <w:sz w:val="20"/>
          <w:szCs w:val="18"/>
        </w:rPr>
        <w:t>λουμινίου, Νικόλαος Καραμπατέας</w:t>
      </w:r>
      <w:r w:rsidR="008A428B" w:rsidRPr="00404CB4">
        <w:rPr>
          <w:color w:val="231F20"/>
          <w:sz w:val="20"/>
          <w:szCs w:val="18"/>
        </w:rPr>
        <w:t>,</w:t>
      </w:r>
      <w:r w:rsidRPr="00404CB4">
        <w:rPr>
          <w:color w:val="231F20"/>
          <w:sz w:val="20"/>
          <w:szCs w:val="18"/>
        </w:rPr>
        <w:t xml:space="preserve"> δήλωσε:</w:t>
      </w:r>
    </w:p>
    <w:p w14:paraId="16D832ED" w14:textId="77777777" w:rsidR="003D320F" w:rsidRPr="00C23E45" w:rsidRDefault="003D320F" w:rsidP="002D2581">
      <w:pPr>
        <w:jc w:val="both"/>
        <w:rPr>
          <w:color w:val="231F20"/>
          <w:sz w:val="20"/>
          <w:szCs w:val="18"/>
          <w:highlight w:val="yellow"/>
        </w:rPr>
      </w:pPr>
    </w:p>
    <w:p w14:paraId="500BBB30" w14:textId="035CB85C" w:rsidR="00404CB4" w:rsidRPr="003F2C81" w:rsidRDefault="00E842EA" w:rsidP="005939D6">
      <w:pPr>
        <w:jc w:val="both"/>
        <w:rPr>
          <w:color w:val="231F20"/>
          <w:sz w:val="20"/>
          <w:szCs w:val="20"/>
          <w:highlight w:val="yellow"/>
        </w:rPr>
      </w:pPr>
      <w:r w:rsidRPr="003F2C81">
        <w:rPr>
          <w:color w:val="231F20"/>
          <w:sz w:val="20"/>
          <w:szCs w:val="20"/>
        </w:rPr>
        <w:t>«</w:t>
      </w:r>
      <w:r w:rsidR="00404CB4" w:rsidRPr="003F2C81">
        <w:rPr>
          <w:color w:val="231F20"/>
          <w:sz w:val="20"/>
          <w:szCs w:val="20"/>
        </w:rPr>
        <w:t>Κατά το πρώτο εξάμηνο του 2025</w:t>
      </w:r>
      <w:r w:rsidR="00E36867">
        <w:rPr>
          <w:color w:val="231F20"/>
          <w:sz w:val="20"/>
          <w:szCs w:val="20"/>
        </w:rPr>
        <w:t xml:space="preserve"> πετύχαμε</w:t>
      </w:r>
      <w:r w:rsidR="00404CB4" w:rsidRPr="003F2C81">
        <w:rPr>
          <w:color w:val="231F20"/>
          <w:sz w:val="20"/>
          <w:szCs w:val="20"/>
        </w:rPr>
        <w:t xml:space="preserve"> ισχυρά οικονομικά αποτελέσματα, παρά τις αντίξοες συνθήκες της αγοράς λόγω </w:t>
      </w:r>
      <w:r w:rsidR="00E36867">
        <w:rPr>
          <w:color w:val="231F20"/>
          <w:sz w:val="20"/>
          <w:szCs w:val="20"/>
        </w:rPr>
        <w:t xml:space="preserve">των </w:t>
      </w:r>
      <w:r w:rsidR="00404CB4" w:rsidRPr="003F2C81">
        <w:rPr>
          <w:color w:val="231F20"/>
          <w:sz w:val="20"/>
          <w:szCs w:val="20"/>
        </w:rPr>
        <w:t>περιορισμών σ</w:t>
      </w:r>
      <w:r w:rsidR="004978EE" w:rsidRPr="003F2C81">
        <w:rPr>
          <w:color w:val="231F20"/>
          <w:sz w:val="20"/>
          <w:szCs w:val="20"/>
        </w:rPr>
        <w:t>τη διαθεσιμότητα</w:t>
      </w:r>
      <w:r w:rsidR="00404CB4" w:rsidRPr="003F2C81">
        <w:rPr>
          <w:color w:val="231F20"/>
          <w:sz w:val="20"/>
          <w:szCs w:val="20"/>
        </w:rPr>
        <w:t xml:space="preserve"> πρώτ</w:t>
      </w:r>
      <w:r w:rsidR="004978EE" w:rsidRPr="003F2C81">
        <w:rPr>
          <w:color w:val="231F20"/>
          <w:sz w:val="20"/>
          <w:szCs w:val="20"/>
        </w:rPr>
        <w:t>ων υλών</w:t>
      </w:r>
      <w:r w:rsidR="00404CB4" w:rsidRPr="003F2C81">
        <w:rPr>
          <w:color w:val="231F20"/>
          <w:sz w:val="20"/>
          <w:szCs w:val="20"/>
        </w:rPr>
        <w:t xml:space="preserve"> και </w:t>
      </w:r>
      <w:r w:rsidR="00E36867">
        <w:rPr>
          <w:color w:val="231F20"/>
          <w:sz w:val="20"/>
          <w:szCs w:val="20"/>
        </w:rPr>
        <w:t xml:space="preserve">της </w:t>
      </w:r>
      <w:r w:rsidR="00404CB4" w:rsidRPr="003F2C81">
        <w:rPr>
          <w:color w:val="231F20"/>
          <w:sz w:val="20"/>
          <w:szCs w:val="20"/>
        </w:rPr>
        <w:t>αβεβαιότητα</w:t>
      </w:r>
      <w:r w:rsidR="00E36867">
        <w:rPr>
          <w:color w:val="231F20"/>
          <w:sz w:val="20"/>
          <w:szCs w:val="20"/>
        </w:rPr>
        <w:t>ς</w:t>
      </w:r>
      <w:r w:rsidR="00404CB4" w:rsidRPr="003F2C81">
        <w:rPr>
          <w:color w:val="231F20"/>
          <w:sz w:val="20"/>
          <w:szCs w:val="20"/>
        </w:rPr>
        <w:t xml:space="preserve"> </w:t>
      </w:r>
      <w:r w:rsidR="00BC014A">
        <w:rPr>
          <w:color w:val="231F20"/>
          <w:sz w:val="20"/>
          <w:szCs w:val="20"/>
        </w:rPr>
        <w:t>στο διεθνές εμπόριο</w:t>
      </w:r>
      <w:r w:rsidR="00404CB4" w:rsidRPr="003F2C81">
        <w:rPr>
          <w:color w:val="231F20"/>
          <w:sz w:val="20"/>
          <w:szCs w:val="20"/>
        </w:rPr>
        <w:t>.</w:t>
      </w:r>
      <w:r w:rsidR="003F2C81" w:rsidRPr="003F2C81">
        <w:rPr>
          <w:sz w:val="20"/>
          <w:szCs w:val="20"/>
        </w:rPr>
        <w:t xml:space="preserve"> </w:t>
      </w:r>
      <w:r w:rsidR="003F2C81" w:rsidRPr="003F2C81">
        <w:rPr>
          <w:color w:val="231F20"/>
          <w:sz w:val="20"/>
          <w:szCs w:val="20"/>
        </w:rPr>
        <w:t>Διατηρήσαμε ένα ισορροπημένο προϊοντικό μίγμα</w:t>
      </w:r>
      <w:r w:rsidR="00E36867">
        <w:rPr>
          <w:color w:val="231F20"/>
          <w:sz w:val="20"/>
          <w:szCs w:val="20"/>
        </w:rPr>
        <w:t xml:space="preserve"> και καταφέραμε να επιτύχουμε</w:t>
      </w:r>
      <w:r w:rsidR="003F2C81" w:rsidRPr="003F2C81">
        <w:rPr>
          <w:color w:val="231F20"/>
          <w:sz w:val="20"/>
          <w:szCs w:val="20"/>
        </w:rPr>
        <w:t xml:space="preserve"> ανάπτυξη</w:t>
      </w:r>
      <w:r w:rsidR="00920B4D">
        <w:rPr>
          <w:color w:val="231F20"/>
          <w:sz w:val="20"/>
          <w:szCs w:val="20"/>
        </w:rPr>
        <w:t>,</w:t>
      </w:r>
      <w:r w:rsidR="003F2C81" w:rsidRPr="003F2C81">
        <w:rPr>
          <w:color w:val="231F20"/>
          <w:sz w:val="20"/>
          <w:szCs w:val="20"/>
        </w:rPr>
        <w:t xml:space="preserve"> τόσο</w:t>
      </w:r>
      <w:r w:rsidR="001E6337">
        <w:rPr>
          <w:color w:val="231F20"/>
          <w:sz w:val="20"/>
          <w:szCs w:val="20"/>
        </w:rPr>
        <w:t xml:space="preserve"> για τα προϊόντα της </w:t>
      </w:r>
      <w:r w:rsidR="003F2C81" w:rsidRPr="003F2C81">
        <w:rPr>
          <w:color w:val="231F20"/>
          <w:sz w:val="20"/>
          <w:szCs w:val="20"/>
        </w:rPr>
        <w:t>άκαμπτη</w:t>
      </w:r>
      <w:r w:rsidR="001E6337">
        <w:rPr>
          <w:color w:val="231F20"/>
          <w:sz w:val="20"/>
          <w:szCs w:val="20"/>
        </w:rPr>
        <w:t>ς</w:t>
      </w:r>
      <w:r w:rsidR="00920B4D">
        <w:rPr>
          <w:color w:val="231F20"/>
          <w:sz w:val="20"/>
          <w:szCs w:val="20"/>
        </w:rPr>
        <w:t>,</w:t>
      </w:r>
      <w:r w:rsidR="003F2C81" w:rsidRPr="003F2C81">
        <w:rPr>
          <w:color w:val="231F20"/>
          <w:sz w:val="20"/>
          <w:szCs w:val="20"/>
        </w:rPr>
        <w:t xml:space="preserve"> όσο και </w:t>
      </w:r>
      <w:r w:rsidR="001E6337">
        <w:rPr>
          <w:color w:val="231F20"/>
          <w:sz w:val="20"/>
          <w:szCs w:val="20"/>
        </w:rPr>
        <w:t>της</w:t>
      </w:r>
      <w:r w:rsidR="003F2C81" w:rsidRPr="003F2C81">
        <w:rPr>
          <w:color w:val="231F20"/>
          <w:sz w:val="20"/>
          <w:szCs w:val="20"/>
        </w:rPr>
        <w:t xml:space="preserve"> εύκαμπτη</w:t>
      </w:r>
      <w:r w:rsidR="001E6337">
        <w:rPr>
          <w:color w:val="231F20"/>
          <w:sz w:val="20"/>
          <w:szCs w:val="20"/>
        </w:rPr>
        <w:t>ς</w:t>
      </w:r>
      <w:r w:rsidR="003F2C81" w:rsidRPr="003F2C81">
        <w:rPr>
          <w:color w:val="231F20"/>
          <w:sz w:val="20"/>
          <w:szCs w:val="20"/>
        </w:rPr>
        <w:t xml:space="preserve"> συσκευασία</w:t>
      </w:r>
      <w:r w:rsidR="001E6337">
        <w:rPr>
          <w:color w:val="231F20"/>
          <w:sz w:val="20"/>
          <w:szCs w:val="20"/>
        </w:rPr>
        <w:t>ς</w:t>
      </w:r>
      <w:r w:rsidR="007811CC">
        <w:rPr>
          <w:color w:val="231F20"/>
          <w:sz w:val="20"/>
          <w:szCs w:val="20"/>
        </w:rPr>
        <w:t>,</w:t>
      </w:r>
      <w:r w:rsidR="003F2C81" w:rsidRPr="003F2C81">
        <w:rPr>
          <w:color w:val="231F20"/>
          <w:sz w:val="20"/>
          <w:szCs w:val="20"/>
        </w:rPr>
        <w:t xml:space="preserve"> και </w:t>
      </w:r>
      <w:r w:rsidR="005E3EBB">
        <w:rPr>
          <w:color w:val="231F20"/>
          <w:sz w:val="20"/>
          <w:szCs w:val="20"/>
        </w:rPr>
        <w:t xml:space="preserve">παράλληλα </w:t>
      </w:r>
      <w:r w:rsidR="003F2C81" w:rsidRPr="003F2C81">
        <w:rPr>
          <w:color w:val="231F20"/>
          <w:sz w:val="20"/>
          <w:szCs w:val="20"/>
        </w:rPr>
        <w:t>ενισχύσαμε περαιτέρω τη θέση μας στ</w:t>
      </w:r>
      <w:r w:rsidR="00AE0BA1">
        <w:rPr>
          <w:color w:val="231F20"/>
          <w:sz w:val="20"/>
          <w:szCs w:val="20"/>
        </w:rPr>
        <w:t>ο</w:t>
      </w:r>
      <w:r w:rsidR="003F2C81" w:rsidRPr="003F2C81">
        <w:rPr>
          <w:color w:val="231F20"/>
          <w:sz w:val="20"/>
          <w:szCs w:val="20"/>
        </w:rPr>
        <w:t xml:space="preserve">ν </w:t>
      </w:r>
      <w:r w:rsidR="00AE0BA1">
        <w:rPr>
          <w:color w:val="231F20"/>
          <w:sz w:val="20"/>
          <w:szCs w:val="20"/>
        </w:rPr>
        <w:t>κλάδο</w:t>
      </w:r>
      <w:r w:rsidR="003F2C81" w:rsidRPr="003F2C81">
        <w:rPr>
          <w:color w:val="231F20"/>
          <w:sz w:val="20"/>
          <w:szCs w:val="20"/>
        </w:rPr>
        <w:t xml:space="preserve"> των μεταφορών. Η </w:t>
      </w:r>
      <w:r w:rsidR="00274CDB">
        <w:rPr>
          <w:color w:val="231F20"/>
          <w:sz w:val="20"/>
          <w:szCs w:val="20"/>
        </w:rPr>
        <w:t xml:space="preserve">επίδοση </w:t>
      </w:r>
      <w:r w:rsidR="000105F5">
        <w:rPr>
          <w:color w:val="231F20"/>
          <w:sz w:val="20"/>
          <w:szCs w:val="20"/>
        </w:rPr>
        <w:t>του κλάδου μας</w:t>
      </w:r>
      <w:r w:rsidR="003F2C81" w:rsidRPr="003F2C81">
        <w:rPr>
          <w:color w:val="231F20"/>
          <w:sz w:val="20"/>
          <w:szCs w:val="20"/>
        </w:rPr>
        <w:t xml:space="preserve"> — αύξηση 46% στη λειτουργική κερδοφορία σε σύγκριση με το Α' εξάμηνο του 2024, παρά το αυξημένο ενεργειακό κόστος — αναδεικνύει την ανθεκτικότητα των δραστηριοτήτων μας. Αντανακλά επίσης την ισχυρή θέση μας στην αγορά, την οποία εξασφαλίσαμε μέσω</w:t>
      </w:r>
      <w:r w:rsidR="002943BD">
        <w:rPr>
          <w:color w:val="231F20"/>
          <w:sz w:val="20"/>
          <w:szCs w:val="20"/>
        </w:rPr>
        <w:t>,</w:t>
      </w:r>
      <w:r w:rsidR="003F2C81" w:rsidRPr="003F2C81">
        <w:rPr>
          <w:color w:val="231F20"/>
          <w:sz w:val="20"/>
          <w:szCs w:val="20"/>
        </w:rPr>
        <w:t xml:space="preserve"> έγκαιρων και με προοπτική</w:t>
      </w:r>
      <w:r w:rsidR="002943BD">
        <w:rPr>
          <w:color w:val="231F20"/>
          <w:sz w:val="20"/>
          <w:szCs w:val="20"/>
        </w:rPr>
        <w:t>,</w:t>
      </w:r>
      <w:r w:rsidR="003F2C81" w:rsidRPr="003F2C81">
        <w:rPr>
          <w:color w:val="231F20"/>
          <w:sz w:val="20"/>
          <w:szCs w:val="20"/>
        </w:rPr>
        <w:t xml:space="preserve"> επενδύσεων που αύξησαν τη παραγωγική μας </w:t>
      </w:r>
      <w:r w:rsidR="00C33CB4">
        <w:rPr>
          <w:color w:val="231F20"/>
          <w:sz w:val="20"/>
          <w:szCs w:val="20"/>
        </w:rPr>
        <w:t>δυναμικότητα</w:t>
      </w:r>
      <w:r w:rsidR="003F2C81" w:rsidRPr="003F2C81">
        <w:rPr>
          <w:color w:val="231F20"/>
          <w:sz w:val="20"/>
          <w:szCs w:val="20"/>
        </w:rPr>
        <w:t xml:space="preserve"> και ανέπτυξαν τις </w:t>
      </w:r>
      <w:r w:rsidR="002943BD">
        <w:rPr>
          <w:color w:val="231F20"/>
          <w:sz w:val="20"/>
          <w:szCs w:val="20"/>
        </w:rPr>
        <w:t>τεχνικές</w:t>
      </w:r>
      <w:r w:rsidR="003F2C81" w:rsidRPr="003F2C81">
        <w:rPr>
          <w:color w:val="231F20"/>
          <w:sz w:val="20"/>
          <w:szCs w:val="20"/>
        </w:rPr>
        <w:t xml:space="preserve"> μας δυνατότητες. Με βάση αυτή τη δυναμική, συνεχίζουμε να ενισχύουμε την ανταγωνιστικότητά μας, δημιουργώντας αξία σε συνεργασία με τους ανθρώπους μας, τους πελάτες μας</w:t>
      </w:r>
      <w:r w:rsidR="00765311" w:rsidRPr="00765311">
        <w:rPr>
          <w:color w:val="231F20"/>
          <w:sz w:val="20"/>
          <w:szCs w:val="20"/>
        </w:rPr>
        <w:t xml:space="preserve"> </w:t>
      </w:r>
      <w:r w:rsidR="003F2C81" w:rsidRPr="003F2C81">
        <w:rPr>
          <w:color w:val="231F20"/>
          <w:sz w:val="20"/>
          <w:szCs w:val="20"/>
        </w:rPr>
        <w:t xml:space="preserve">και </w:t>
      </w:r>
      <w:r w:rsidR="00C33CB4">
        <w:rPr>
          <w:color w:val="231F20"/>
          <w:sz w:val="20"/>
          <w:szCs w:val="20"/>
        </w:rPr>
        <w:t xml:space="preserve">τους </w:t>
      </w:r>
      <w:r w:rsidR="00C035CA" w:rsidRPr="00C035CA">
        <w:rPr>
          <w:color w:val="231F20"/>
          <w:sz w:val="20"/>
          <w:szCs w:val="20"/>
        </w:rPr>
        <w:t>λοιπούς συμμέτοχους</w:t>
      </w:r>
      <w:r w:rsidR="003F2C81" w:rsidRPr="003F2C81">
        <w:rPr>
          <w:color w:val="231F20"/>
          <w:sz w:val="20"/>
          <w:szCs w:val="20"/>
        </w:rPr>
        <w:t>.»</w:t>
      </w:r>
    </w:p>
    <w:p w14:paraId="14DEAFD8" w14:textId="77777777" w:rsidR="00E842EA" w:rsidRPr="003F2C81" w:rsidRDefault="00E842EA" w:rsidP="005939D6">
      <w:pPr>
        <w:jc w:val="both"/>
        <w:rPr>
          <w:color w:val="231F20"/>
          <w:sz w:val="20"/>
          <w:szCs w:val="20"/>
          <w:highlight w:val="yellow"/>
        </w:rPr>
      </w:pPr>
    </w:p>
    <w:p w14:paraId="086F7099" w14:textId="58102DB8" w:rsidR="008F0505" w:rsidRPr="003F2C81" w:rsidRDefault="008F0505" w:rsidP="008F0505">
      <w:pPr>
        <w:jc w:val="both"/>
        <w:rPr>
          <w:color w:val="231F20"/>
          <w:sz w:val="20"/>
          <w:szCs w:val="20"/>
        </w:rPr>
      </w:pPr>
      <w:r w:rsidRPr="003F2C81">
        <w:rPr>
          <w:color w:val="231F20"/>
          <w:sz w:val="20"/>
          <w:szCs w:val="20"/>
        </w:rPr>
        <w:t xml:space="preserve">Σχολιάζοντας τα αποτελέσματα, ο Γενικός Διευθυντής του </w:t>
      </w:r>
      <w:r w:rsidR="00F027C7">
        <w:rPr>
          <w:color w:val="231F20"/>
          <w:sz w:val="20"/>
          <w:szCs w:val="20"/>
        </w:rPr>
        <w:t>κ</w:t>
      </w:r>
      <w:r w:rsidRPr="003F2C81">
        <w:rPr>
          <w:color w:val="231F20"/>
          <w:sz w:val="20"/>
          <w:szCs w:val="20"/>
        </w:rPr>
        <w:t xml:space="preserve">λάδου </w:t>
      </w:r>
      <w:r w:rsidR="00F027C7">
        <w:rPr>
          <w:color w:val="231F20"/>
          <w:sz w:val="20"/>
          <w:szCs w:val="20"/>
        </w:rPr>
        <w:t>χ</w:t>
      </w:r>
      <w:r w:rsidRPr="003F2C81">
        <w:rPr>
          <w:color w:val="231F20"/>
          <w:sz w:val="20"/>
          <w:szCs w:val="20"/>
        </w:rPr>
        <w:t>αλκού, Πάνος Λώλος, ανάφερε:</w:t>
      </w:r>
    </w:p>
    <w:p w14:paraId="4AFD9D03" w14:textId="6927B635" w:rsidR="00827173" w:rsidRPr="003F2C81" w:rsidRDefault="00827173" w:rsidP="00827173">
      <w:pPr>
        <w:jc w:val="both"/>
        <w:rPr>
          <w:color w:val="231F20"/>
          <w:sz w:val="20"/>
          <w:szCs w:val="20"/>
          <w:highlight w:val="yellow"/>
        </w:rPr>
      </w:pPr>
    </w:p>
    <w:p w14:paraId="40ABA4C8" w14:textId="6476E73E" w:rsidR="00E842EA" w:rsidRPr="003F2C81" w:rsidRDefault="00E842EA" w:rsidP="00B7082E">
      <w:pPr>
        <w:spacing w:before="34" w:after="240"/>
        <w:ind w:right="-20"/>
        <w:jc w:val="both"/>
        <w:rPr>
          <w:color w:val="231F20"/>
          <w:sz w:val="20"/>
          <w:szCs w:val="20"/>
        </w:rPr>
      </w:pPr>
      <w:r w:rsidRPr="003F2C81">
        <w:rPr>
          <w:color w:val="231F20"/>
          <w:sz w:val="20"/>
          <w:szCs w:val="20"/>
        </w:rPr>
        <w:t>«</w:t>
      </w:r>
      <w:r w:rsidR="00897C6B" w:rsidRPr="003F2C81">
        <w:rPr>
          <w:color w:val="231F20"/>
          <w:sz w:val="20"/>
          <w:szCs w:val="20"/>
        </w:rPr>
        <w:t>Κατά το πρώτο εξάμηνο του 2025, η κερδοφορία μας παρέμεινε ισχυρή</w:t>
      </w:r>
      <w:r w:rsidR="00920B4D">
        <w:rPr>
          <w:color w:val="231F20"/>
          <w:sz w:val="20"/>
          <w:szCs w:val="20"/>
        </w:rPr>
        <w:t>,</w:t>
      </w:r>
      <w:r w:rsidR="00897C6B" w:rsidRPr="003F2C81">
        <w:rPr>
          <w:color w:val="231F20"/>
          <w:sz w:val="20"/>
          <w:szCs w:val="20"/>
        </w:rPr>
        <w:t xml:space="preserve"> παρά το ιδιαίτερα απαιτητικό και ανταγωνιστικό οικονομικό περιβάλλον στο οποίο δραστηριοποιούμαστε. Αυτό χαρακτηρίστηκε από το αυξημένο ενεργειακό κόστος, τη διαθεσιμότητα </w:t>
      </w:r>
      <w:r w:rsidR="00C023CF">
        <w:rPr>
          <w:color w:val="231F20"/>
          <w:sz w:val="20"/>
          <w:szCs w:val="20"/>
        </w:rPr>
        <w:t xml:space="preserve">των </w:t>
      </w:r>
      <w:r w:rsidR="00897C6B" w:rsidRPr="003F2C81">
        <w:rPr>
          <w:color w:val="231F20"/>
          <w:sz w:val="20"/>
          <w:szCs w:val="20"/>
        </w:rPr>
        <w:t xml:space="preserve">πρώτων υλών και την εντεινόμενη διεθνή αβεβαιότητα. Ο </w:t>
      </w:r>
      <w:r w:rsidR="009D0920">
        <w:rPr>
          <w:color w:val="231F20"/>
          <w:sz w:val="20"/>
          <w:szCs w:val="20"/>
        </w:rPr>
        <w:t>κ</w:t>
      </w:r>
      <w:r w:rsidR="00897C6B" w:rsidRPr="003F2C81">
        <w:rPr>
          <w:color w:val="231F20"/>
          <w:sz w:val="20"/>
          <w:szCs w:val="20"/>
        </w:rPr>
        <w:t xml:space="preserve">λάδος παραμένει σταθερά προσηλωμένος στους μακροπρόθεσμους στρατηγικούς του στόχους, δίνοντας έμφαση στην ανάπτυξη καινοτόμων προϊόντων και στην παροχή υψηλής ποιότητας υπηρεσιών. Επιπλέον, </w:t>
      </w:r>
      <w:r w:rsidR="00B300BD" w:rsidRPr="00B300BD">
        <w:rPr>
          <w:color w:val="231F20"/>
          <w:sz w:val="20"/>
          <w:szCs w:val="20"/>
        </w:rPr>
        <w:t xml:space="preserve">σημαντική προτεραιότητα για μας είναι </w:t>
      </w:r>
      <w:r w:rsidR="00B300BD">
        <w:rPr>
          <w:color w:val="231F20"/>
          <w:sz w:val="20"/>
          <w:szCs w:val="20"/>
        </w:rPr>
        <w:t xml:space="preserve">η </w:t>
      </w:r>
      <w:r w:rsidR="00897C6B" w:rsidRPr="003F2C81">
        <w:rPr>
          <w:color w:val="231F20"/>
          <w:sz w:val="20"/>
          <w:szCs w:val="20"/>
        </w:rPr>
        <w:t xml:space="preserve">μείωση του κόστους και η βελτίωση του κεφαλαίου κίνησης. Σε συνδυασμό με την πρόσφατη ολοκλήρωση του επενδυτικού </w:t>
      </w:r>
      <w:r w:rsidR="00C023CF">
        <w:rPr>
          <w:color w:val="231F20"/>
          <w:sz w:val="20"/>
          <w:szCs w:val="20"/>
        </w:rPr>
        <w:t>μας</w:t>
      </w:r>
      <w:r w:rsidR="00897C6B" w:rsidRPr="003F2C81">
        <w:rPr>
          <w:color w:val="231F20"/>
          <w:sz w:val="20"/>
          <w:szCs w:val="20"/>
        </w:rPr>
        <w:t xml:space="preserve"> προγράμματος, ο στρατηγικός αυτός προσανατολισμός </w:t>
      </w:r>
      <w:r w:rsidR="00C023CF">
        <w:rPr>
          <w:color w:val="231F20"/>
          <w:sz w:val="20"/>
          <w:szCs w:val="20"/>
        </w:rPr>
        <w:t xml:space="preserve">του </w:t>
      </w:r>
      <w:r w:rsidR="009D0920">
        <w:rPr>
          <w:color w:val="231F20"/>
          <w:sz w:val="20"/>
          <w:szCs w:val="20"/>
        </w:rPr>
        <w:t>κ</w:t>
      </w:r>
      <w:r w:rsidR="00C023CF">
        <w:rPr>
          <w:color w:val="231F20"/>
          <w:sz w:val="20"/>
          <w:szCs w:val="20"/>
        </w:rPr>
        <w:t xml:space="preserve">λάδου </w:t>
      </w:r>
      <w:r w:rsidR="00897C6B" w:rsidRPr="003F2C81">
        <w:rPr>
          <w:color w:val="231F20"/>
          <w:sz w:val="20"/>
          <w:szCs w:val="20"/>
        </w:rPr>
        <w:t xml:space="preserve">ενισχύει </w:t>
      </w:r>
      <w:r w:rsidR="00C023CF">
        <w:rPr>
          <w:color w:val="231F20"/>
          <w:sz w:val="20"/>
          <w:szCs w:val="20"/>
        </w:rPr>
        <w:t xml:space="preserve">τις δυνατότητες μας, ώστε </w:t>
      </w:r>
      <w:r w:rsidR="00897C6B" w:rsidRPr="003F2C81">
        <w:rPr>
          <w:color w:val="231F20"/>
          <w:sz w:val="20"/>
          <w:szCs w:val="20"/>
        </w:rPr>
        <w:t>να διευρύν</w:t>
      </w:r>
      <w:r w:rsidR="00C023CF">
        <w:rPr>
          <w:color w:val="231F20"/>
          <w:sz w:val="20"/>
          <w:szCs w:val="20"/>
        </w:rPr>
        <w:t>ουμε</w:t>
      </w:r>
      <w:r w:rsidR="00897C6B" w:rsidRPr="003F2C81">
        <w:rPr>
          <w:color w:val="231F20"/>
          <w:sz w:val="20"/>
          <w:szCs w:val="20"/>
        </w:rPr>
        <w:t xml:space="preserve"> το πελατολόγιό </w:t>
      </w:r>
      <w:r w:rsidR="00C023CF">
        <w:rPr>
          <w:color w:val="231F20"/>
          <w:sz w:val="20"/>
          <w:szCs w:val="20"/>
        </w:rPr>
        <w:t>μας</w:t>
      </w:r>
      <w:r w:rsidR="00897C6B" w:rsidRPr="003F2C81">
        <w:rPr>
          <w:color w:val="231F20"/>
          <w:sz w:val="20"/>
          <w:szCs w:val="20"/>
        </w:rPr>
        <w:t xml:space="preserve"> και να </w:t>
      </w:r>
      <w:r w:rsidR="00C023CF">
        <w:rPr>
          <w:color w:val="231F20"/>
          <w:sz w:val="20"/>
          <w:szCs w:val="20"/>
        </w:rPr>
        <w:t>ενισχύσουμε</w:t>
      </w:r>
      <w:r w:rsidR="00897C6B" w:rsidRPr="003F2C81">
        <w:rPr>
          <w:color w:val="231F20"/>
          <w:sz w:val="20"/>
          <w:szCs w:val="20"/>
        </w:rPr>
        <w:t xml:space="preserve"> τη βιωσιμότητα των δραστηριοτήτων </w:t>
      </w:r>
      <w:r w:rsidR="00C023CF">
        <w:rPr>
          <w:color w:val="231F20"/>
          <w:sz w:val="20"/>
          <w:szCs w:val="20"/>
        </w:rPr>
        <w:t>μας</w:t>
      </w:r>
      <w:r w:rsidR="008036F9" w:rsidRPr="003F2C81">
        <w:rPr>
          <w:color w:val="231F20"/>
          <w:sz w:val="20"/>
          <w:szCs w:val="20"/>
        </w:rPr>
        <w:t>.»</w:t>
      </w:r>
    </w:p>
    <w:p w14:paraId="32E63E8C" w14:textId="458955C1" w:rsidR="00A83057" w:rsidRPr="00362765" w:rsidRDefault="00A83057" w:rsidP="00A83057">
      <w:pPr>
        <w:spacing w:before="34" w:after="240"/>
        <w:ind w:right="-20"/>
        <w:rPr>
          <w:b/>
          <w:bCs/>
          <w:color w:val="A6A6A6" w:themeColor="background1" w:themeShade="A6"/>
          <w:spacing w:val="7"/>
          <w:sz w:val="24"/>
          <w:szCs w:val="24"/>
        </w:rPr>
      </w:pPr>
      <w:r w:rsidRPr="00951E90">
        <w:rPr>
          <w:b/>
          <w:bCs/>
          <w:color w:val="A6A6A6" w:themeColor="background1" w:themeShade="A6"/>
          <w:spacing w:val="7"/>
          <w:sz w:val="24"/>
          <w:szCs w:val="24"/>
        </w:rPr>
        <w:t>Επισκόπηση</w:t>
      </w:r>
    </w:p>
    <w:p w14:paraId="7CEB5419" w14:textId="049C0306" w:rsidR="003F2C81" w:rsidRDefault="00B775D6" w:rsidP="000B4EED">
      <w:pPr>
        <w:jc w:val="both"/>
        <w:rPr>
          <w:color w:val="231F20"/>
          <w:sz w:val="20"/>
          <w:szCs w:val="20"/>
        </w:rPr>
      </w:pPr>
      <w:r>
        <w:rPr>
          <w:color w:val="231F20"/>
          <w:sz w:val="20"/>
          <w:szCs w:val="20"/>
        </w:rPr>
        <w:t>Ισχυρές</w:t>
      </w:r>
      <w:r w:rsidR="00747E06" w:rsidRPr="00747E06">
        <w:rPr>
          <w:color w:val="231F20"/>
          <w:sz w:val="20"/>
          <w:szCs w:val="20"/>
        </w:rPr>
        <w:t xml:space="preserve"> </w:t>
      </w:r>
      <w:r>
        <w:rPr>
          <w:color w:val="231F20"/>
          <w:sz w:val="20"/>
          <w:szCs w:val="20"/>
        </w:rPr>
        <w:t xml:space="preserve">επιδόσεις από τον Όμιλο </w:t>
      </w:r>
      <w:r w:rsidRPr="585A2AD1">
        <w:rPr>
          <w:color w:val="231F20"/>
          <w:sz w:val="20"/>
          <w:szCs w:val="20"/>
        </w:rPr>
        <w:t>ElvalHalcor</w:t>
      </w:r>
      <w:r>
        <w:rPr>
          <w:color w:val="231F20"/>
          <w:sz w:val="20"/>
          <w:szCs w:val="20"/>
        </w:rPr>
        <w:t xml:space="preserve"> κ</w:t>
      </w:r>
      <w:r w:rsidR="00DE025E">
        <w:rPr>
          <w:color w:val="231F20"/>
          <w:sz w:val="20"/>
          <w:szCs w:val="20"/>
        </w:rPr>
        <w:t xml:space="preserve">ατά το </w:t>
      </w:r>
      <w:bookmarkStart w:id="1" w:name="_Hlk166852483"/>
      <w:r w:rsidR="008909C3">
        <w:rPr>
          <w:color w:val="231F20"/>
          <w:sz w:val="20"/>
          <w:szCs w:val="20"/>
          <w:lang w:val="en-US"/>
        </w:rPr>
        <w:t>A</w:t>
      </w:r>
      <w:r w:rsidR="008909C3" w:rsidRPr="008909C3">
        <w:rPr>
          <w:color w:val="231F20"/>
          <w:sz w:val="20"/>
          <w:szCs w:val="20"/>
        </w:rPr>
        <w:t>’</w:t>
      </w:r>
      <w:r w:rsidR="00341632">
        <w:rPr>
          <w:color w:val="231F20"/>
          <w:sz w:val="20"/>
          <w:szCs w:val="20"/>
        </w:rPr>
        <w:t xml:space="preserve"> </w:t>
      </w:r>
      <w:r w:rsidR="006A691D">
        <w:rPr>
          <w:color w:val="231F20"/>
          <w:sz w:val="20"/>
          <w:szCs w:val="20"/>
        </w:rPr>
        <w:t>εξάμηνο</w:t>
      </w:r>
      <w:r w:rsidR="00341632">
        <w:rPr>
          <w:color w:val="231F20"/>
          <w:sz w:val="20"/>
          <w:szCs w:val="20"/>
        </w:rPr>
        <w:t xml:space="preserve"> του 202</w:t>
      </w:r>
      <w:bookmarkEnd w:id="1"/>
      <w:r w:rsidR="00B63339" w:rsidRPr="00B63339">
        <w:rPr>
          <w:color w:val="231F20"/>
          <w:sz w:val="20"/>
          <w:szCs w:val="20"/>
        </w:rPr>
        <w:t>5</w:t>
      </w:r>
      <w:r w:rsidR="003F2C81">
        <w:rPr>
          <w:color w:val="231F20"/>
          <w:sz w:val="20"/>
          <w:szCs w:val="20"/>
        </w:rPr>
        <w:t>,</w:t>
      </w:r>
      <w:r w:rsidR="003F2C81" w:rsidRPr="003F2C81">
        <w:rPr>
          <w:color w:val="231F20"/>
          <w:sz w:val="20"/>
          <w:szCs w:val="20"/>
        </w:rPr>
        <w:t xml:space="preserve"> παρά το δυσμενές γεωπολιτικό περιβάλλον.</w:t>
      </w:r>
      <w:r w:rsidR="00A4451A">
        <w:rPr>
          <w:color w:val="231F20"/>
          <w:sz w:val="20"/>
          <w:szCs w:val="20"/>
        </w:rPr>
        <w:t xml:space="preserve"> </w:t>
      </w:r>
      <w:r w:rsidR="00BB1161" w:rsidRPr="00BB1161">
        <w:rPr>
          <w:color w:val="231F20"/>
          <w:sz w:val="20"/>
          <w:szCs w:val="20"/>
        </w:rPr>
        <w:t xml:space="preserve">Ο όγκος πωλήσεων </w:t>
      </w:r>
      <w:r w:rsidR="006A691D" w:rsidRPr="006A691D">
        <w:rPr>
          <w:color w:val="231F20"/>
          <w:sz w:val="20"/>
          <w:szCs w:val="20"/>
        </w:rPr>
        <w:t xml:space="preserve">συνέχισε </w:t>
      </w:r>
      <w:r w:rsidR="00BB1161" w:rsidRPr="00BB1161">
        <w:rPr>
          <w:color w:val="231F20"/>
          <w:sz w:val="20"/>
          <w:szCs w:val="20"/>
        </w:rPr>
        <w:t>να αυξάνεται</w:t>
      </w:r>
      <w:r w:rsidR="003F2C81" w:rsidRPr="003F2C81">
        <w:rPr>
          <w:color w:val="231F20"/>
          <w:sz w:val="20"/>
          <w:szCs w:val="20"/>
        </w:rPr>
        <w:t>, ιδιαίτερα στον κλάδο του αλουμινίου, αξιοποιώντας τη νέα παραγωγική δυναμικότητα μετά την ολοκλήρωση του επενδυτικού μας προγράμματος</w:t>
      </w:r>
      <w:r w:rsidR="003F2C81">
        <w:rPr>
          <w:color w:val="231F20"/>
          <w:sz w:val="20"/>
          <w:szCs w:val="20"/>
        </w:rPr>
        <w:t>.</w:t>
      </w:r>
      <w:r w:rsidR="00BE616E" w:rsidRPr="00BE616E">
        <w:t xml:space="preserve"> </w:t>
      </w:r>
      <w:r w:rsidR="00951266">
        <w:rPr>
          <w:color w:val="231F20"/>
          <w:sz w:val="20"/>
          <w:szCs w:val="20"/>
        </w:rPr>
        <w:t>Ο</w:t>
      </w:r>
      <w:r w:rsidR="00BE616E" w:rsidRPr="00BE616E">
        <w:rPr>
          <w:color w:val="231F20"/>
          <w:sz w:val="20"/>
          <w:szCs w:val="20"/>
        </w:rPr>
        <w:t xml:space="preserve"> ενοποιημένος κύκλος εργασιών για το πρώτο εξάμηνο του 2025 ανήλθε σε 1.862,0 εκατ. ευρώ, σημειώνοντας αύξηση 8,0% σε σύγκριση με τα 1.723,6 εκατ. ευρώ του Α’ εξαμήνου 2024, </w:t>
      </w:r>
      <w:r w:rsidR="00A202C9" w:rsidRPr="00A202C9">
        <w:rPr>
          <w:color w:val="231F20"/>
          <w:sz w:val="20"/>
          <w:szCs w:val="20"/>
        </w:rPr>
        <w:t>επηρεασμένος επίσης και από τις υψηλότερες τιμές LME</w:t>
      </w:r>
      <w:r w:rsidR="00BE616E" w:rsidRPr="00BE616E">
        <w:rPr>
          <w:color w:val="231F20"/>
          <w:sz w:val="20"/>
          <w:szCs w:val="20"/>
        </w:rPr>
        <w:t>.</w:t>
      </w:r>
    </w:p>
    <w:p w14:paraId="0633CEFC" w14:textId="77777777" w:rsidR="00AC0291" w:rsidRPr="007810FA" w:rsidRDefault="00AC0291" w:rsidP="000B4EED">
      <w:pPr>
        <w:jc w:val="both"/>
        <w:rPr>
          <w:color w:val="231F20"/>
          <w:sz w:val="20"/>
          <w:szCs w:val="20"/>
        </w:rPr>
      </w:pPr>
    </w:p>
    <w:p w14:paraId="6F4A8F89" w14:textId="73156540" w:rsidR="00BE616E" w:rsidRDefault="00BE616E" w:rsidP="585A2AD1">
      <w:pPr>
        <w:jc w:val="both"/>
        <w:rPr>
          <w:color w:val="231F20"/>
          <w:sz w:val="20"/>
          <w:szCs w:val="20"/>
        </w:rPr>
      </w:pPr>
      <w:r w:rsidRPr="00BE616E">
        <w:rPr>
          <w:color w:val="231F20"/>
          <w:sz w:val="20"/>
          <w:szCs w:val="20"/>
        </w:rPr>
        <w:t xml:space="preserve">Οι τιμές των μετάλλων στο LME σημείωσαν σημαντική άνοδο κατά το πρώτο τρίμηνο της χρήσης, </w:t>
      </w:r>
      <w:r w:rsidR="00560B80">
        <w:rPr>
          <w:color w:val="231F20"/>
          <w:sz w:val="20"/>
          <w:szCs w:val="20"/>
        </w:rPr>
        <w:t>ενώ</w:t>
      </w:r>
      <w:r w:rsidRPr="00BE616E">
        <w:rPr>
          <w:color w:val="231F20"/>
          <w:sz w:val="20"/>
          <w:szCs w:val="20"/>
        </w:rPr>
        <w:t xml:space="preserve"> </w:t>
      </w:r>
      <w:r w:rsidR="00560B80" w:rsidRPr="00BE616E">
        <w:rPr>
          <w:color w:val="231F20"/>
          <w:sz w:val="20"/>
          <w:szCs w:val="20"/>
        </w:rPr>
        <w:t>αποκλιμακώ</w:t>
      </w:r>
      <w:r w:rsidR="00560B80">
        <w:rPr>
          <w:color w:val="231F20"/>
          <w:sz w:val="20"/>
          <w:szCs w:val="20"/>
        </w:rPr>
        <w:t>θ</w:t>
      </w:r>
      <w:r w:rsidR="00560B80" w:rsidRPr="00BE616E">
        <w:rPr>
          <w:color w:val="231F20"/>
          <w:sz w:val="20"/>
          <w:szCs w:val="20"/>
        </w:rPr>
        <w:t>η</w:t>
      </w:r>
      <w:r w:rsidR="00560B80">
        <w:rPr>
          <w:color w:val="231F20"/>
          <w:sz w:val="20"/>
          <w:szCs w:val="20"/>
        </w:rPr>
        <w:t>καν</w:t>
      </w:r>
      <w:r w:rsidRPr="00BE616E">
        <w:rPr>
          <w:color w:val="231F20"/>
          <w:sz w:val="20"/>
          <w:szCs w:val="20"/>
        </w:rPr>
        <w:t xml:space="preserve"> στα τέλη Μαρτίου λόγω ανησυχιών για ενδεχόμενους εμπορικούς δασμούς. Για το υπόλοιπο διάστημα έως τις 30 Ιουνίου 2025, οι τιμές παρουσίασαν ήπια ανοδική τάση. Η μέση τιμή του αλουμινίου διαμορφώθηκε στα 2.331 </w:t>
      </w:r>
      <w:r>
        <w:rPr>
          <w:color w:val="231F20"/>
          <w:sz w:val="20"/>
          <w:szCs w:val="20"/>
        </w:rPr>
        <w:t>ευρώ ανά τόνο</w:t>
      </w:r>
      <w:r w:rsidRPr="00BE616E">
        <w:rPr>
          <w:color w:val="231F20"/>
          <w:sz w:val="20"/>
          <w:szCs w:val="20"/>
        </w:rPr>
        <w:t xml:space="preserve"> το Α’ εξάμηνο του 2025 έναντι 2.181 </w:t>
      </w:r>
      <w:r>
        <w:rPr>
          <w:color w:val="231F20"/>
          <w:sz w:val="20"/>
          <w:szCs w:val="20"/>
        </w:rPr>
        <w:t>ευρώ ανά τόνο</w:t>
      </w:r>
      <w:r w:rsidRPr="00BE616E">
        <w:rPr>
          <w:color w:val="231F20"/>
          <w:sz w:val="20"/>
          <w:szCs w:val="20"/>
        </w:rPr>
        <w:t xml:space="preserve"> το αντίστοιχο διάστημα του 2024, δηλαδή αυξημένη κατά 6,9%. Η μέση τιμή του χαλκού ήταν 8.641 </w:t>
      </w:r>
      <w:r>
        <w:rPr>
          <w:color w:val="231F20"/>
          <w:sz w:val="20"/>
          <w:szCs w:val="20"/>
        </w:rPr>
        <w:t>ευρώ ανά τόνο</w:t>
      </w:r>
      <w:r w:rsidRPr="00BE616E">
        <w:rPr>
          <w:color w:val="231F20"/>
          <w:sz w:val="20"/>
          <w:szCs w:val="20"/>
        </w:rPr>
        <w:t xml:space="preserve"> έναντι 8.410 </w:t>
      </w:r>
      <w:r>
        <w:rPr>
          <w:color w:val="231F20"/>
          <w:sz w:val="20"/>
          <w:szCs w:val="20"/>
        </w:rPr>
        <w:t>ευρώ ανά τόνο</w:t>
      </w:r>
      <w:r w:rsidR="00003407" w:rsidRPr="00003407">
        <w:t xml:space="preserve"> </w:t>
      </w:r>
      <w:r w:rsidR="00003407" w:rsidRPr="00003407">
        <w:rPr>
          <w:color w:val="231F20"/>
          <w:sz w:val="20"/>
          <w:szCs w:val="20"/>
        </w:rPr>
        <w:t>το αντίστοιχο διάστημα του 2024</w:t>
      </w:r>
      <w:r w:rsidRPr="00BE616E">
        <w:rPr>
          <w:color w:val="231F20"/>
          <w:sz w:val="20"/>
          <w:szCs w:val="20"/>
        </w:rPr>
        <w:t xml:space="preserve">, αυξημένη κατά 2,7%, ενώ η μέση τιμή του ψευδαργύρου ανήλθε σε 2.516 </w:t>
      </w:r>
      <w:r>
        <w:rPr>
          <w:color w:val="231F20"/>
          <w:sz w:val="20"/>
          <w:szCs w:val="20"/>
        </w:rPr>
        <w:t>ευρώ ανά τόνο</w:t>
      </w:r>
      <w:r w:rsidRPr="00BE616E">
        <w:rPr>
          <w:color w:val="231F20"/>
          <w:sz w:val="20"/>
          <w:szCs w:val="20"/>
        </w:rPr>
        <w:t xml:space="preserve"> έναντι 2.442 </w:t>
      </w:r>
      <w:r>
        <w:rPr>
          <w:color w:val="231F20"/>
          <w:sz w:val="20"/>
          <w:szCs w:val="20"/>
        </w:rPr>
        <w:t>ευρώ ανά τόνο</w:t>
      </w:r>
      <w:r w:rsidRPr="00BE616E">
        <w:rPr>
          <w:color w:val="231F20"/>
          <w:sz w:val="20"/>
          <w:szCs w:val="20"/>
        </w:rPr>
        <w:t xml:space="preserve"> το Α’ εξάμηνο του 2024, σημειώνοντας αύξηση 3,1%</w:t>
      </w:r>
      <w:r>
        <w:rPr>
          <w:color w:val="231F20"/>
          <w:sz w:val="20"/>
          <w:szCs w:val="20"/>
        </w:rPr>
        <w:t>.</w:t>
      </w:r>
    </w:p>
    <w:p w14:paraId="2751E430" w14:textId="77777777" w:rsidR="003B765C" w:rsidRDefault="003B765C" w:rsidP="009627A2">
      <w:pPr>
        <w:jc w:val="both"/>
        <w:rPr>
          <w:color w:val="231F20"/>
          <w:sz w:val="20"/>
          <w:szCs w:val="20"/>
        </w:rPr>
      </w:pPr>
    </w:p>
    <w:p w14:paraId="7C17DA0D" w14:textId="525E53F0" w:rsidR="00B05868" w:rsidRDefault="00A14B66" w:rsidP="009F19E6">
      <w:pPr>
        <w:jc w:val="both"/>
        <w:rPr>
          <w:color w:val="231F20"/>
          <w:sz w:val="20"/>
          <w:szCs w:val="20"/>
        </w:rPr>
      </w:pPr>
      <w:r w:rsidRPr="585A2AD1">
        <w:rPr>
          <w:color w:val="231F20"/>
          <w:sz w:val="20"/>
          <w:szCs w:val="20"/>
        </w:rPr>
        <w:t xml:space="preserve">Τα αναπροσαρμοσμένα ενοποιημένα κέρδη πριν από φόρους, τόκους, αποσβέσεις, </w:t>
      </w:r>
      <w:r w:rsidR="00161F46" w:rsidRPr="585A2AD1">
        <w:rPr>
          <w:color w:val="231F20"/>
          <w:sz w:val="20"/>
          <w:szCs w:val="20"/>
        </w:rPr>
        <w:t>αποτελέσμα</w:t>
      </w:r>
      <w:r w:rsidR="00161F46">
        <w:rPr>
          <w:color w:val="231F20"/>
          <w:sz w:val="20"/>
          <w:szCs w:val="20"/>
        </w:rPr>
        <w:t>τα</w:t>
      </w:r>
      <w:r w:rsidRPr="585A2AD1">
        <w:rPr>
          <w:color w:val="231F20"/>
          <w:sz w:val="20"/>
          <w:szCs w:val="20"/>
        </w:rPr>
        <w:t xml:space="preserve"> μετάλλου και λοιπά έκτακτα έξοδα (a-EBITDA), τα οποία απεικονίζουν καλύτερα την οργανική κερδοφορία </w:t>
      </w:r>
      <w:r w:rsidR="004911B8">
        <w:rPr>
          <w:color w:val="231F20"/>
          <w:sz w:val="20"/>
          <w:szCs w:val="20"/>
        </w:rPr>
        <w:t>του</w:t>
      </w:r>
      <w:r w:rsidRPr="585A2AD1">
        <w:rPr>
          <w:color w:val="231F20"/>
          <w:sz w:val="20"/>
          <w:szCs w:val="20"/>
        </w:rPr>
        <w:t xml:space="preserve"> </w:t>
      </w:r>
      <w:r w:rsidR="004911B8" w:rsidRPr="00224994">
        <w:rPr>
          <w:color w:val="231F20"/>
          <w:sz w:val="20"/>
          <w:szCs w:val="20"/>
        </w:rPr>
        <w:t>Ομίλου</w:t>
      </w:r>
      <w:r w:rsidRPr="00224994">
        <w:rPr>
          <w:color w:val="231F20"/>
          <w:sz w:val="20"/>
          <w:szCs w:val="20"/>
        </w:rPr>
        <w:t xml:space="preserve">, </w:t>
      </w:r>
      <w:r w:rsidR="007E319F" w:rsidRPr="00224994">
        <w:rPr>
          <w:color w:val="231F20"/>
          <w:sz w:val="20"/>
          <w:szCs w:val="20"/>
        </w:rPr>
        <w:t>αυξήθηκαν</w:t>
      </w:r>
      <w:r w:rsidR="00A1752B" w:rsidRPr="00224994">
        <w:rPr>
          <w:color w:val="231F20"/>
          <w:sz w:val="20"/>
          <w:szCs w:val="20"/>
        </w:rPr>
        <w:t xml:space="preserve"> </w:t>
      </w:r>
      <w:r w:rsidRPr="00224994">
        <w:rPr>
          <w:color w:val="231F20"/>
          <w:sz w:val="20"/>
          <w:szCs w:val="20"/>
        </w:rPr>
        <w:t xml:space="preserve">κατά </w:t>
      </w:r>
      <w:r w:rsidR="009627A2">
        <w:rPr>
          <w:color w:val="231F20"/>
          <w:sz w:val="20"/>
          <w:szCs w:val="20"/>
        </w:rPr>
        <w:t>18</w:t>
      </w:r>
      <w:r w:rsidR="00BD2BE4" w:rsidRPr="00224994">
        <w:rPr>
          <w:color w:val="231F20"/>
          <w:sz w:val="20"/>
          <w:szCs w:val="20"/>
        </w:rPr>
        <w:t>,</w:t>
      </w:r>
      <w:r w:rsidR="009627A2">
        <w:rPr>
          <w:color w:val="231F20"/>
          <w:sz w:val="20"/>
          <w:szCs w:val="20"/>
        </w:rPr>
        <w:t>1</w:t>
      </w:r>
      <w:r w:rsidRPr="00224994">
        <w:rPr>
          <w:color w:val="231F20"/>
          <w:sz w:val="20"/>
          <w:szCs w:val="20"/>
        </w:rPr>
        <w:t xml:space="preserve">% </w:t>
      </w:r>
      <w:r w:rsidR="000A5533" w:rsidRPr="00224994">
        <w:rPr>
          <w:color w:val="231F20"/>
          <w:sz w:val="20"/>
          <w:szCs w:val="20"/>
        </w:rPr>
        <w:t xml:space="preserve">και </w:t>
      </w:r>
      <w:r w:rsidR="00761332" w:rsidRPr="00224994">
        <w:rPr>
          <w:color w:val="231F20"/>
          <w:sz w:val="20"/>
          <w:szCs w:val="20"/>
        </w:rPr>
        <w:t>διαμορφώθηκαν</w:t>
      </w:r>
      <w:r w:rsidR="000A5533" w:rsidRPr="00224994">
        <w:rPr>
          <w:color w:val="231F20"/>
          <w:sz w:val="20"/>
          <w:szCs w:val="20"/>
        </w:rPr>
        <w:t xml:space="preserve"> </w:t>
      </w:r>
      <w:r w:rsidR="00C70620" w:rsidRPr="00224994">
        <w:rPr>
          <w:color w:val="231F20"/>
          <w:sz w:val="20"/>
          <w:szCs w:val="20"/>
        </w:rPr>
        <w:t>στα</w:t>
      </w:r>
      <w:r w:rsidRPr="00224994">
        <w:rPr>
          <w:color w:val="231F20"/>
          <w:sz w:val="20"/>
          <w:szCs w:val="20"/>
        </w:rPr>
        <w:t xml:space="preserve"> </w:t>
      </w:r>
      <w:r w:rsidR="003C50FA">
        <w:rPr>
          <w:color w:val="231F20"/>
          <w:sz w:val="20"/>
          <w:szCs w:val="20"/>
        </w:rPr>
        <w:t>134</w:t>
      </w:r>
      <w:r w:rsidR="00A822F9" w:rsidRPr="00224994">
        <w:rPr>
          <w:color w:val="231F20"/>
          <w:sz w:val="20"/>
          <w:szCs w:val="20"/>
        </w:rPr>
        <w:t>,</w:t>
      </w:r>
      <w:r w:rsidR="003C50FA">
        <w:rPr>
          <w:color w:val="231F20"/>
          <w:sz w:val="20"/>
          <w:szCs w:val="20"/>
        </w:rPr>
        <w:t>4</w:t>
      </w:r>
      <w:r w:rsidR="004911B8" w:rsidRPr="00224994">
        <w:rPr>
          <w:color w:val="231F20"/>
          <w:sz w:val="20"/>
          <w:szCs w:val="20"/>
        </w:rPr>
        <w:t xml:space="preserve"> </w:t>
      </w:r>
      <w:r w:rsidR="00817256" w:rsidRPr="00224994">
        <w:rPr>
          <w:color w:val="231F20"/>
          <w:sz w:val="20"/>
          <w:szCs w:val="20"/>
        </w:rPr>
        <w:t>εκατ.</w:t>
      </w:r>
      <w:r w:rsidRPr="00224994">
        <w:rPr>
          <w:color w:val="231F20"/>
          <w:sz w:val="20"/>
          <w:szCs w:val="20"/>
        </w:rPr>
        <w:t xml:space="preserve"> ευρώ </w:t>
      </w:r>
      <w:r w:rsidR="001B79E9" w:rsidRPr="00224994">
        <w:rPr>
          <w:color w:val="231F20"/>
          <w:sz w:val="20"/>
          <w:szCs w:val="20"/>
        </w:rPr>
        <w:t xml:space="preserve">το Α’ </w:t>
      </w:r>
      <w:r w:rsidR="003C50FA">
        <w:rPr>
          <w:color w:val="231F20"/>
          <w:sz w:val="20"/>
          <w:szCs w:val="20"/>
        </w:rPr>
        <w:t>εξάμηνο</w:t>
      </w:r>
      <w:r w:rsidR="001B79E9" w:rsidRPr="00224994">
        <w:rPr>
          <w:color w:val="231F20"/>
          <w:sz w:val="20"/>
          <w:szCs w:val="20"/>
        </w:rPr>
        <w:t xml:space="preserve"> του</w:t>
      </w:r>
      <w:r w:rsidR="006A0036" w:rsidRPr="00224994">
        <w:rPr>
          <w:color w:val="231F20"/>
          <w:sz w:val="20"/>
          <w:szCs w:val="20"/>
        </w:rPr>
        <w:t xml:space="preserve"> </w:t>
      </w:r>
      <w:r w:rsidR="004911B8" w:rsidRPr="00224994">
        <w:rPr>
          <w:color w:val="231F20"/>
          <w:sz w:val="20"/>
          <w:szCs w:val="20"/>
        </w:rPr>
        <w:t>202</w:t>
      </w:r>
      <w:r w:rsidR="00A822F9" w:rsidRPr="00224994">
        <w:rPr>
          <w:color w:val="231F20"/>
          <w:sz w:val="20"/>
          <w:szCs w:val="20"/>
        </w:rPr>
        <w:t>5</w:t>
      </w:r>
      <w:r w:rsidR="006A0036" w:rsidRPr="00224994">
        <w:rPr>
          <w:color w:val="231F20"/>
          <w:sz w:val="20"/>
          <w:szCs w:val="20"/>
        </w:rPr>
        <w:t xml:space="preserve"> </w:t>
      </w:r>
      <w:r w:rsidRPr="00224994">
        <w:rPr>
          <w:color w:val="231F20"/>
          <w:sz w:val="20"/>
          <w:szCs w:val="20"/>
        </w:rPr>
        <w:t xml:space="preserve">έναντι </w:t>
      </w:r>
      <w:r w:rsidR="003C50FA">
        <w:rPr>
          <w:color w:val="231F20"/>
          <w:sz w:val="20"/>
          <w:szCs w:val="20"/>
        </w:rPr>
        <w:t>113</w:t>
      </w:r>
      <w:r w:rsidR="00A822F9" w:rsidRPr="00224994">
        <w:rPr>
          <w:color w:val="231F20"/>
          <w:sz w:val="20"/>
          <w:szCs w:val="20"/>
        </w:rPr>
        <w:t>,</w:t>
      </w:r>
      <w:r w:rsidR="003C50FA">
        <w:rPr>
          <w:color w:val="231F20"/>
          <w:sz w:val="20"/>
          <w:szCs w:val="20"/>
        </w:rPr>
        <w:t>8</w:t>
      </w:r>
      <w:r w:rsidR="004911B8" w:rsidRPr="00224994">
        <w:rPr>
          <w:color w:val="231F20"/>
          <w:sz w:val="20"/>
          <w:szCs w:val="20"/>
        </w:rPr>
        <w:t xml:space="preserve"> </w:t>
      </w:r>
      <w:r w:rsidR="00817256" w:rsidRPr="00224994">
        <w:rPr>
          <w:color w:val="231F20"/>
          <w:sz w:val="20"/>
          <w:szCs w:val="20"/>
        </w:rPr>
        <w:t>εκατ.</w:t>
      </w:r>
      <w:r w:rsidRPr="00224994">
        <w:rPr>
          <w:color w:val="231F20"/>
          <w:sz w:val="20"/>
          <w:szCs w:val="20"/>
        </w:rPr>
        <w:t xml:space="preserve"> ευρώ </w:t>
      </w:r>
      <w:r w:rsidR="00AF2484" w:rsidRPr="00224994">
        <w:rPr>
          <w:color w:val="231F20"/>
          <w:sz w:val="20"/>
          <w:szCs w:val="20"/>
        </w:rPr>
        <w:t xml:space="preserve">την αντίστοιχη </w:t>
      </w:r>
      <w:r w:rsidR="00AF2484">
        <w:rPr>
          <w:color w:val="231F20"/>
          <w:sz w:val="20"/>
          <w:szCs w:val="20"/>
        </w:rPr>
        <w:t>περσινή</w:t>
      </w:r>
      <w:r w:rsidR="00AF2484" w:rsidRPr="00224994">
        <w:rPr>
          <w:color w:val="231F20"/>
          <w:sz w:val="20"/>
          <w:szCs w:val="20"/>
        </w:rPr>
        <w:t xml:space="preserve"> περίοδο</w:t>
      </w:r>
      <w:r w:rsidR="003C50FA">
        <w:rPr>
          <w:color w:val="231F20"/>
          <w:sz w:val="20"/>
          <w:szCs w:val="20"/>
        </w:rPr>
        <w:t>.</w:t>
      </w:r>
      <w:r w:rsidR="003C50FA" w:rsidRPr="003C50FA">
        <w:t xml:space="preserve"> </w:t>
      </w:r>
      <w:r w:rsidR="003C50FA" w:rsidRPr="003C50FA">
        <w:rPr>
          <w:color w:val="231F20"/>
          <w:sz w:val="20"/>
          <w:szCs w:val="20"/>
        </w:rPr>
        <w:t>Η επίδοση αυτή</w:t>
      </w:r>
      <w:r w:rsidR="00F35F75">
        <w:rPr>
          <w:color w:val="231F20"/>
          <w:sz w:val="20"/>
          <w:szCs w:val="20"/>
        </w:rPr>
        <w:t xml:space="preserve"> ήταν </w:t>
      </w:r>
      <w:r w:rsidR="00276C25">
        <w:rPr>
          <w:color w:val="231F20"/>
          <w:sz w:val="20"/>
          <w:szCs w:val="20"/>
        </w:rPr>
        <w:t>αποτέλεσμα της</w:t>
      </w:r>
      <w:r w:rsidR="003C50FA" w:rsidRPr="003C50FA">
        <w:rPr>
          <w:color w:val="231F20"/>
          <w:sz w:val="20"/>
          <w:szCs w:val="20"/>
        </w:rPr>
        <w:t xml:space="preserve"> αύξηση</w:t>
      </w:r>
      <w:r w:rsidR="00276C25">
        <w:rPr>
          <w:color w:val="231F20"/>
          <w:sz w:val="20"/>
          <w:szCs w:val="20"/>
        </w:rPr>
        <w:t>ς</w:t>
      </w:r>
      <w:r w:rsidR="003C50FA" w:rsidRPr="003C50FA">
        <w:rPr>
          <w:color w:val="231F20"/>
          <w:sz w:val="20"/>
          <w:szCs w:val="20"/>
        </w:rPr>
        <w:t xml:space="preserve"> </w:t>
      </w:r>
      <w:r w:rsidR="00620A19">
        <w:rPr>
          <w:color w:val="231F20"/>
          <w:sz w:val="20"/>
          <w:szCs w:val="20"/>
        </w:rPr>
        <w:t>του</w:t>
      </w:r>
      <w:r w:rsidR="003C50FA" w:rsidRPr="003C50FA">
        <w:rPr>
          <w:color w:val="231F20"/>
          <w:sz w:val="20"/>
          <w:szCs w:val="20"/>
        </w:rPr>
        <w:t xml:space="preserve"> όγκ</w:t>
      </w:r>
      <w:r w:rsidR="00620A19">
        <w:rPr>
          <w:color w:val="231F20"/>
          <w:sz w:val="20"/>
          <w:szCs w:val="20"/>
        </w:rPr>
        <w:t>ου</w:t>
      </w:r>
      <w:r w:rsidR="003C50FA" w:rsidRPr="003C50FA">
        <w:rPr>
          <w:color w:val="231F20"/>
          <w:sz w:val="20"/>
          <w:szCs w:val="20"/>
        </w:rPr>
        <w:t xml:space="preserve"> πωλήσεων, </w:t>
      </w:r>
      <w:r w:rsidR="00276C25">
        <w:rPr>
          <w:color w:val="231F20"/>
          <w:sz w:val="20"/>
          <w:szCs w:val="20"/>
        </w:rPr>
        <w:t>των</w:t>
      </w:r>
      <w:r w:rsidR="003C50FA" w:rsidRPr="003C50FA">
        <w:rPr>
          <w:color w:val="231F20"/>
          <w:sz w:val="20"/>
          <w:szCs w:val="20"/>
        </w:rPr>
        <w:t xml:space="preserve"> υψηλότερ</w:t>
      </w:r>
      <w:r w:rsidR="00276C25">
        <w:rPr>
          <w:color w:val="231F20"/>
          <w:sz w:val="20"/>
          <w:szCs w:val="20"/>
        </w:rPr>
        <w:t>ων</w:t>
      </w:r>
      <w:r w:rsidR="003C50FA" w:rsidRPr="003C50FA">
        <w:rPr>
          <w:color w:val="231F20"/>
          <w:sz w:val="20"/>
          <w:szCs w:val="20"/>
        </w:rPr>
        <w:t xml:space="preserve"> </w:t>
      </w:r>
      <w:r w:rsidR="00276C25">
        <w:rPr>
          <w:color w:val="231F20"/>
          <w:sz w:val="20"/>
          <w:szCs w:val="20"/>
        </w:rPr>
        <w:t>τιμών</w:t>
      </w:r>
      <w:r w:rsidR="003C50FA" w:rsidRPr="003C50FA">
        <w:rPr>
          <w:color w:val="231F20"/>
          <w:sz w:val="20"/>
          <w:szCs w:val="20"/>
        </w:rPr>
        <w:t xml:space="preserve"> </w:t>
      </w:r>
      <w:r w:rsidR="003C50FA">
        <w:rPr>
          <w:color w:val="231F20"/>
          <w:sz w:val="20"/>
          <w:szCs w:val="20"/>
        </w:rPr>
        <w:t>κατεργασίας</w:t>
      </w:r>
      <w:r w:rsidR="003C50FA" w:rsidRPr="003C50FA">
        <w:rPr>
          <w:color w:val="231F20"/>
          <w:sz w:val="20"/>
          <w:szCs w:val="20"/>
        </w:rPr>
        <w:t xml:space="preserve"> και το</w:t>
      </w:r>
      <w:r w:rsidR="00276C25">
        <w:rPr>
          <w:color w:val="231F20"/>
          <w:sz w:val="20"/>
          <w:szCs w:val="20"/>
        </w:rPr>
        <w:t>υ</w:t>
      </w:r>
      <w:r w:rsidR="003C50FA" w:rsidRPr="003C50FA">
        <w:rPr>
          <w:color w:val="231F20"/>
          <w:sz w:val="20"/>
          <w:szCs w:val="20"/>
        </w:rPr>
        <w:t xml:space="preserve"> ευνοϊκ</w:t>
      </w:r>
      <w:r w:rsidR="00276C25">
        <w:rPr>
          <w:color w:val="231F20"/>
          <w:sz w:val="20"/>
          <w:szCs w:val="20"/>
        </w:rPr>
        <w:t>ού</w:t>
      </w:r>
      <w:r w:rsidR="003C50FA" w:rsidRPr="003C50FA">
        <w:rPr>
          <w:color w:val="231F20"/>
          <w:sz w:val="20"/>
          <w:szCs w:val="20"/>
        </w:rPr>
        <w:t xml:space="preserve"> μίγμα</w:t>
      </w:r>
      <w:r w:rsidR="00276C25">
        <w:rPr>
          <w:color w:val="231F20"/>
          <w:sz w:val="20"/>
          <w:szCs w:val="20"/>
        </w:rPr>
        <w:t>τος</w:t>
      </w:r>
      <w:r w:rsidR="003C50FA" w:rsidRPr="003C50FA">
        <w:rPr>
          <w:color w:val="231F20"/>
          <w:sz w:val="20"/>
          <w:szCs w:val="20"/>
        </w:rPr>
        <w:t xml:space="preserve"> πωλήσεων</w:t>
      </w:r>
      <w:r w:rsidR="00F35F75" w:rsidRPr="003C50FA">
        <w:rPr>
          <w:color w:val="231F20"/>
          <w:sz w:val="20"/>
          <w:szCs w:val="20"/>
        </w:rPr>
        <w:t>, παρά τα αυξημένα κόστη ενέργειας</w:t>
      </w:r>
      <w:r w:rsidR="003C50FA" w:rsidRPr="003C50FA">
        <w:rPr>
          <w:color w:val="231F20"/>
          <w:sz w:val="20"/>
          <w:szCs w:val="20"/>
        </w:rPr>
        <w:t>.</w:t>
      </w:r>
    </w:p>
    <w:p w14:paraId="6E00D921" w14:textId="77777777" w:rsidR="009627A2" w:rsidRDefault="009627A2" w:rsidP="009F19E6">
      <w:pPr>
        <w:jc w:val="both"/>
        <w:rPr>
          <w:color w:val="231F20"/>
          <w:sz w:val="20"/>
          <w:szCs w:val="20"/>
        </w:rPr>
      </w:pPr>
    </w:p>
    <w:p w14:paraId="7D0EBB07" w14:textId="0C786418" w:rsidR="009627A2" w:rsidRDefault="009627A2" w:rsidP="009F19E6">
      <w:pPr>
        <w:jc w:val="both"/>
        <w:rPr>
          <w:color w:val="231F20"/>
          <w:sz w:val="20"/>
          <w:szCs w:val="18"/>
        </w:rPr>
      </w:pPr>
      <w:r w:rsidRPr="00016DA9">
        <w:rPr>
          <w:color w:val="231F20"/>
          <w:sz w:val="20"/>
          <w:szCs w:val="18"/>
        </w:rPr>
        <w:t xml:space="preserve">Τα ενοποιημένα μικτά κέρδη ανήλθαν στα </w:t>
      </w:r>
      <w:r w:rsidR="00732A46">
        <w:rPr>
          <w:color w:val="231F20"/>
          <w:sz w:val="20"/>
          <w:szCs w:val="18"/>
        </w:rPr>
        <w:t>165</w:t>
      </w:r>
      <w:r>
        <w:rPr>
          <w:color w:val="231F20"/>
          <w:sz w:val="20"/>
          <w:szCs w:val="18"/>
        </w:rPr>
        <w:t>,</w:t>
      </w:r>
      <w:r w:rsidR="00732A46">
        <w:rPr>
          <w:color w:val="231F20"/>
          <w:sz w:val="20"/>
          <w:szCs w:val="18"/>
        </w:rPr>
        <w:t>2</w:t>
      </w:r>
      <w:r>
        <w:rPr>
          <w:color w:val="231F20"/>
          <w:sz w:val="20"/>
          <w:szCs w:val="18"/>
        </w:rPr>
        <w:t xml:space="preserve"> εκατ.</w:t>
      </w:r>
      <w:r w:rsidRPr="00016DA9">
        <w:rPr>
          <w:color w:val="231F20"/>
          <w:sz w:val="20"/>
          <w:szCs w:val="18"/>
        </w:rPr>
        <w:t xml:space="preserve"> ευρώ </w:t>
      </w:r>
      <w:r>
        <w:rPr>
          <w:color w:val="231F20"/>
          <w:sz w:val="20"/>
          <w:szCs w:val="20"/>
        </w:rPr>
        <w:t xml:space="preserve">το Α’ </w:t>
      </w:r>
      <w:r w:rsidR="00732A46">
        <w:rPr>
          <w:color w:val="231F20"/>
          <w:sz w:val="20"/>
          <w:szCs w:val="20"/>
        </w:rPr>
        <w:t>εξάμηνο</w:t>
      </w:r>
      <w:r>
        <w:rPr>
          <w:color w:val="231F20"/>
          <w:sz w:val="20"/>
          <w:szCs w:val="20"/>
        </w:rPr>
        <w:t xml:space="preserve"> του</w:t>
      </w:r>
      <w:r w:rsidRPr="002E6BDE">
        <w:rPr>
          <w:color w:val="231F20"/>
          <w:sz w:val="20"/>
          <w:szCs w:val="20"/>
        </w:rPr>
        <w:t xml:space="preserve"> </w:t>
      </w:r>
      <w:r>
        <w:rPr>
          <w:color w:val="231F20"/>
          <w:sz w:val="20"/>
          <w:szCs w:val="18"/>
        </w:rPr>
        <w:t>2025</w:t>
      </w:r>
      <w:r w:rsidRPr="00016DA9">
        <w:rPr>
          <w:color w:val="231F20"/>
          <w:sz w:val="20"/>
          <w:szCs w:val="18"/>
        </w:rPr>
        <w:t xml:space="preserve">, έναντι </w:t>
      </w:r>
      <w:r w:rsidR="00732A46">
        <w:rPr>
          <w:color w:val="231F20"/>
          <w:sz w:val="20"/>
          <w:szCs w:val="18"/>
        </w:rPr>
        <w:t>141</w:t>
      </w:r>
      <w:r>
        <w:rPr>
          <w:color w:val="231F20"/>
          <w:sz w:val="20"/>
          <w:szCs w:val="18"/>
        </w:rPr>
        <w:t>,</w:t>
      </w:r>
      <w:r w:rsidRPr="00B27717">
        <w:rPr>
          <w:color w:val="231F20"/>
          <w:sz w:val="20"/>
          <w:szCs w:val="18"/>
        </w:rPr>
        <w:t>2</w:t>
      </w:r>
      <w:r>
        <w:rPr>
          <w:color w:val="231F20"/>
          <w:sz w:val="20"/>
          <w:szCs w:val="18"/>
        </w:rPr>
        <w:t xml:space="preserve"> εκατ.</w:t>
      </w:r>
      <w:r w:rsidRPr="00016DA9">
        <w:rPr>
          <w:color w:val="231F20"/>
          <w:sz w:val="20"/>
          <w:szCs w:val="18"/>
        </w:rPr>
        <w:t xml:space="preserve"> ευρώ την αντίστοιχη </w:t>
      </w:r>
      <w:r>
        <w:rPr>
          <w:color w:val="231F20"/>
          <w:sz w:val="20"/>
          <w:szCs w:val="18"/>
        </w:rPr>
        <w:t>προηγούμενη περίοδο</w:t>
      </w:r>
      <w:r w:rsidRPr="00016DA9">
        <w:rPr>
          <w:color w:val="231F20"/>
          <w:sz w:val="20"/>
          <w:szCs w:val="18"/>
        </w:rPr>
        <w:t xml:space="preserve">, ενώ τα ενοποιημένα κέρδη προ φόρων, τόκων και αποσβέσεων (EBITDA), διαμορφώθηκαν στα </w:t>
      </w:r>
      <w:r w:rsidR="00732A46">
        <w:rPr>
          <w:color w:val="231F20"/>
          <w:sz w:val="20"/>
          <w:szCs w:val="18"/>
        </w:rPr>
        <w:t>139</w:t>
      </w:r>
      <w:r>
        <w:rPr>
          <w:color w:val="231F20"/>
          <w:sz w:val="20"/>
          <w:szCs w:val="18"/>
        </w:rPr>
        <w:t>,</w:t>
      </w:r>
      <w:r w:rsidR="00732A46">
        <w:rPr>
          <w:color w:val="231F20"/>
          <w:sz w:val="20"/>
          <w:szCs w:val="18"/>
        </w:rPr>
        <w:t>0</w:t>
      </w:r>
      <w:r w:rsidRPr="00016DA9">
        <w:rPr>
          <w:color w:val="231F20"/>
          <w:sz w:val="20"/>
          <w:szCs w:val="18"/>
        </w:rPr>
        <w:t xml:space="preserve"> </w:t>
      </w:r>
      <w:r>
        <w:rPr>
          <w:color w:val="231F20"/>
          <w:sz w:val="20"/>
          <w:szCs w:val="18"/>
        </w:rPr>
        <w:t>εκατ.</w:t>
      </w:r>
      <w:r w:rsidRPr="00016DA9">
        <w:rPr>
          <w:color w:val="231F20"/>
          <w:sz w:val="20"/>
          <w:szCs w:val="18"/>
        </w:rPr>
        <w:t xml:space="preserve"> ευρώ έναντι </w:t>
      </w:r>
      <w:r w:rsidR="00732A46">
        <w:rPr>
          <w:color w:val="231F20"/>
          <w:sz w:val="20"/>
          <w:szCs w:val="18"/>
        </w:rPr>
        <w:t>115</w:t>
      </w:r>
      <w:r w:rsidRPr="00016DA9">
        <w:rPr>
          <w:color w:val="231F20"/>
          <w:sz w:val="20"/>
          <w:szCs w:val="18"/>
        </w:rPr>
        <w:t>,</w:t>
      </w:r>
      <w:r w:rsidR="00732A46">
        <w:rPr>
          <w:color w:val="231F20"/>
          <w:sz w:val="20"/>
          <w:szCs w:val="18"/>
        </w:rPr>
        <w:t>1</w:t>
      </w:r>
      <w:r w:rsidRPr="00016DA9">
        <w:rPr>
          <w:color w:val="231F20"/>
          <w:sz w:val="20"/>
          <w:szCs w:val="18"/>
        </w:rPr>
        <w:t xml:space="preserve"> </w:t>
      </w:r>
      <w:r>
        <w:rPr>
          <w:color w:val="231F20"/>
          <w:sz w:val="20"/>
          <w:szCs w:val="18"/>
        </w:rPr>
        <w:t>εκατ.</w:t>
      </w:r>
      <w:r w:rsidRPr="00016DA9">
        <w:rPr>
          <w:color w:val="231F20"/>
          <w:sz w:val="20"/>
          <w:szCs w:val="18"/>
        </w:rPr>
        <w:t xml:space="preserve"> ευρώ το </w:t>
      </w:r>
      <w:r>
        <w:rPr>
          <w:color w:val="231F20"/>
          <w:sz w:val="20"/>
          <w:szCs w:val="20"/>
        </w:rPr>
        <w:t xml:space="preserve">Α’ </w:t>
      </w:r>
      <w:r w:rsidR="00732A46">
        <w:rPr>
          <w:color w:val="231F20"/>
          <w:sz w:val="20"/>
          <w:szCs w:val="20"/>
        </w:rPr>
        <w:t>εξάμηνο</w:t>
      </w:r>
      <w:r>
        <w:rPr>
          <w:color w:val="231F20"/>
          <w:sz w:val="20"/>
          <w:szCs w:val="20"/>
        </w:rPr>
        <w:t xml:space="preserve"> του</w:t>
      </w:r>
      <w:r w:rsidRPr="002E6BDE">
        <w:rPr>
          <w:color w:val="231F20"/>
          <w:sz w:val="20"/>
          <w:szCs w:val="20"/>
        </w:rPr>
        <w:t xml:space="preserve"> </w:t>
      </w:r>
      <w:r>
        <w:rPr>
          <w:color w:val="231F20"/>
          <w:sz w:val="20"/>
          <w:szCs w:val="18"/>
        </w:rPr>
        <w:t>202</w:t>
      </w:r>
      <w:r w:rsidR="00732A46">
        <w:rPr>
          <w:color w:val="231F20"/>
          <w:sz w:val="20"/>
          <w:szCs w:val="18"/>
        </w:rPr>
        <w:t>4</w:t>
      </w:r>
      <w:r w:rsidRPr="003B765C">
        <w:rPr>
          <w:color w:val="231F20"/>
          <w:sz w:val="20"/>
          <w:szCs w:val="20"/>
        </w:rPr>
        <w:t xml:space="preserve"> </w:t>
      </w:r>
      <w:bookmarkStart w:id="2" w:name="_Hlk167194464"/>
      <w:r>
        <w:rPr>
          <w:color w:val="231F20"/>
          <w:sz w:val="20"/>
          <w:szCs w:val="20"/>
        </w:rPr>
        <w:t xml:space="preserve">ως </w:t>
      </w:r>
      <w:bookmarkEnd w:id="2"/>
      <w:r>
        <w:rPr>
          <w:color w:val="231F20"/>
          <w:sz w:val="20"/>
          <w:szCs w:val="20"/>
        </w:rPr>
        <w:t xml:space="preserve">απόρροια των </w:t>
      </w:r>
      <w:r w:rsidRPr="00016DA9">
        <w:rPr>
          <w:color w:val="231F20"/>
          <w:sz w:val="20"/>
          <w:szCs w:val="18"/>
        </w:rPr>
        <w:t>λογιστικ</w:t>
      </w:r>
      <w:r>
        <w:rPr>
          <w:color w:val="231F20"/>
          <w:sz w:val="20"/>
          <w:szCs w:val="18"/>
        </w:rPr>
        <w:t>ών</w:t>
      </w:r>
      <w:r w:rsidRPr="00016DA9">
        <w:rPr>
          <w:color w:val="231F20"/>
          <w:sz w:val="20"/>
          <w:szCs w:val="18"/>
        </w:rPr>
        <w:t xml:space="preserve"> </w:t>
      </w:r>
      <w:r>
        <w:rPr>
          <w:color w:val="231F20"/>
          <w:sz w:val="20"/>
          <w:szCs w:val="18"/>
        </w:rPr>
        <w:t>αποτελεσμάτων</w:t>
      </w:r>
      <w:r w:rsidRPr="00016DA9">
        <w:rPr>
          <w:color w:val="231F20"/>
          <w:sz w:val="20"/>
          <w:szCs w:val="18"/>
        </w:rPr>
        <w:t xml:space="preserve"> </w:t>
      </w:r>
      <w:r>
        <w:rPr>
          <w:color w:val="231F20"/>
          <w:sz w:val="20"/>
          <w:szCs w:val="18"/>
        </w:rPr>
        <w:t xml:space="preserve">των </w:t>
      </w:r>
      <w:r w:rsidRPr="00016DA9">
        <w:rPr>
          <w:color w:val="231F20"/>
          <w:sz w:val="20"/>
          <w:szCs w:val="18"/>
        </w:rPr>
        <w:t xml:space="preserve">μετάλλων, τα οποία </w:t>
      </w:r>
      <w:r w:rsidR="00F34C97">
        <w:rPr>
          <w:color w:val="231F20"/>
          <w:sz w:val="20"/>
          <w:szCs w:val="18"/>
        </w:rPr>
        <w:t>παρέμειναν σταθερά,</w:t>
      </w:r>
      <w:r w:rsidRPr="00016DA9">
        <w:rPr>
          <w:color w:val="231F20"/>
          <w:sz w:val="20"/>
          <w:szCs w:val="18"/>
        </w:rPr>
        <w:t xml:space="preserve"> σε </w:t>
      </w:r>
      <w:r>
        <w:rPr>
          <w:color w:val="231F20"/>
          <w:sz w:val="20"/>
          <w:szCs w:val="18"/>
        </w:rPr>
        <w:t>κέρδ</w:t>
      </w:r>
      <w:r w:rsidR="00EB5515">
        <w:rPr>
          <w:color w:val="231F20"/>
          <w:sz w:val="20"/>
          <w:szCs w:val="18"/>
        </w:rPr>
        <w:t>η</w:t>
      </w:r>
      <w:r>
        <w:rPr>
          <w:color w:val="231F20"/>
          <w:sz w:val="20"/>
          <w:szCs w:val="18"/>
        </w:rPr>
        <w:t xml:space="preserve"> 7</w:t>
      </w:r>
      <w:r w:rsidRPr="00016DA9">
        <w:rPr>
          <w:color w:val="231F20"/>
          <w:sz w:val="20"/>
          <w:szCs w:val="18"/>
        </w:rPr>
        <w:t>,</w:t>
      </w:r>
      <w:r>
        <w:rPr>
          <w:color w:val="231F20"/>
          <w:sz w:val="20"/>
          <w:szCs w:val="18"/>
        </w:rPr>
        <w:t>0</w:t>
      </w:r>
      <w:r w:rsidRPr="00016DA9">
        <w:rPr>
          <w:color w:val="231F20"/>
          <w:sz w:val="20"/>
          <w:szCs w:val="18"/>
        </w:rPr>
        <w:t xml:space="preserve"> </w:t>
      </w:r>
      <w:r w:rsidR="00F34C97">
        <w:rPr>
          <w:color w:val="231F20"/>
          <w:sz w:val="20"/>
          <w:szCs w:val="18"/>
        </w:rPr>
        <w:t>εκατ. ευρώ.</w:t>
      </w:r>
    </w:p>
    <w:p w14:paraId="2BB03E48" w14:textId="77777777" w:rsidR="00F34C97" w:rsidRDefault="00F34C97" w:rsidP="009F19E6">
      <w:pPr>
        <w:jc w:val="both"/>
        <w:rPr>
          <w:color w:val="231F20"/>
          <w:sz w:val="20"/>
          <w:szCs w:val="18"/>
        </w:rPr>
      </w:pPr>
    </w:p>
    <w:p w14:paraId="7273D7CE" w14:textId="4BF0FFCC" w:rsidR="00364713" w:rsidRDefault="00F34C97" w:rsidP="000B4EED">
      <w:pPr>
        <w:jc w:val="both"/>
        <w:rPr>
          <w:color w:val="231F20"/>
          <w:sz w:val="20"/>
          <w:szCs w:val="18"/>
        </w:rPr>
      </w:pPr>
      <w:r w:rsidRPr="00F34C97">
        <w:rPr>
          <w:color w:val="231F20"/>
          <w:sz w:val="20"/>
          <w:szCs w:val="18"/>
        </w:rPr>
        <w:t>Η σημαντική μείωση του</w:t>
      </w:r>
      <w:r w:rsidR="00FE2CDB">
        <w:rPr>
          <w:color w:val="231F20"/>
          <w:sz w:val="20"/>
          <w:szCs w:val="18"/>
        </w:rPr>
        <w:t xml:space="preserve"> καθαρού</w:t>
      </w:r>
      <w:r w:rsidRPr="00F34C97">
        <w:rPr>
          <w:color w:val="231F20"/>
          <w:sz w:val="20"/>
          <w:szCs w:val="18"/>
        </w:rPr>
        <w:t xml:space="preserve"> δανεισμού του Ομίλου κατά 1</w:t>
      </w:r>
      <w:r w:rsidR="002E4551">
        <w:rPr>
          <w:color w:val="231F20"/>
          <w:sz w:val="20"/>
          <w:szCs w:val="18"/>
        </w:rPr>
        <w:t>11</w:t>
      </w:r>
      <w:r w:rsidRPr="00F34C97">
        <w:rPr>
          <w:color w:val="231F20"/>
          <w:sz w:val="20"/>
          <w:szCs w:val="18"/>
        </w:rPr>
        <w:t>,</w:t>
      </w:r>
      <w:r w:rsidR="002E4551">
        <w:rPr>
          <w:color w:val="231F20"/>
          <w:sz w:val="20"/>
          <w:szCs w:val="18"/>
        </w:rPr>
        <w:t>4</w:t>
      </w:r>
      <w:r w:rsidRPr="00F34C97">
        <w:rPr>
          <w:color w:val="231F20"/>
          <w:sz w:val="20"/>
          <w:szCs w:val="18"/>
        </w:rPr>
        <w:t xml:space="preserve"> εκατ. ευρώ από τ</w:t>
      </w:r>
      <w:r w:rsidR="006F22E2">
        <w:rPr>
          <w:color w:val="231F20"/>
          <w:sz w:val="20"/>
          <w:szCs w:val="18"/>
        </w:rPr>
        <w:t>ην</w:t>
      </w:r>
      <w:r w:rsidRPr="00F34C97">
        <w:rPr>
          <w:color w:val="231F20"/>
          <w:sz w:val="20"/>
          <w:szCs w:val="18"/>
        </w:rPr>
        <w:t xml:space="preserve"> 30.06.2024, σε συνδυασμό με τα χαμηλότερα επιτόκια, οδήγησε σε μείωση του καθαρού χρηματοοικονομικού κόστους κατά 23,3%, στα 18,0 εκατ. ευρώ το Α’ εξάμηνο του 2025, από 23,5 εκατ. ευρώ το</w:t>
      </w:r>
      <w:r w:rsidR="00403DF2">
        <w:rPr>
          <w:color w:val="231F20"/>
          <w:sz w:val="20"/>
          <w:szCs w:val="18"/>
        </w:rPr>
        <w:t>υ</w:t>
      </w:r>
      <w:r w:rsidRPr="00F34C97">
        <w:rPr>
          <w:color w:val="231F20"/>
          <w:sz w:val="20"/>
          <w:szCs w:val="18"/>
        </w:rPr>
        <w:t xml:space="preserve"> Α’ εξ</w:t>
      </w:r>
      <w:r w:rsidR="008100B3">
        <w:rPr>
          <w:color w:val="231F20"/>
          <w:sz w:val="20"/>
          <w:szCs w:val="18"/>
        </w:rPr>
        <w:t>α</w:t>
      </w:r>
      <w:r w:rsidRPr="00F34C97">
        <w:rPr>
          <w:color w:val="231F20"/>
          <w:sz w:val="20"/>
          <w:szCs w:val="18"/>
        </w:rPr>
        <w:t>μ</w:t>
      </w:r>
      <w:r w:rsidR="008100B3">
        <w:rPr>
          <w:color w:val="231F20"/>
          <w:sz w:val="20"/>
          <w:szCs w:val="18"/>
        </w:rPr>
        <w:t>ή</w:t>
      </w:r>
      <w:r w:rsidRPr="00F34C97">
        <w:rPr>
          <w:color w:val="231F20"/>
          <w:sz w:val="20"/>
          <w:szCs w:val="18"/>
        </w:rPr>
        <w:t>νο</w:t>
      </w:r>
      <w:r w:rsidR="00403DF2">
        <w:rPr>
          <w:color w:val="231F20"/>
          <w:sz w:val="20"/>
          <w:szCs w:val="18"/>
        </w:rPr>
        <w:t>υ</w:t>
      </w:r>
      <w:r w:rsidRPr="00F34C97">
        <w:rPr>
          <w:color w:val="231F20"/>
          <w:sz w:val="20"/>
          <w:szCs w:val="18"/>
        </w:rPr>
        <w:t xml:space="preserve"> του 2024. Η μείωση του δανεισμού επιτεύχθηκε μέσω της ισχυρής κερδοφορίας, της βελτιστοποίησης του κεφαλαίου κίνησης </w:t>
      </w:r>
      <w:r w:rsidR="00403DF2" w:rsidRPr="00403DF2">
        <w:rPr>
          <w:color w:val="231F20"/>
          <w:sz w:val="20"/>
          <w:szCs w:val="18"/>
        </w:rPr>
        <w:t>και του περιορισμένου επενδυτικού προγράμματος.</w:t>
      </w:r>
    </w:p>
    <w:p w14:paraId="7916718B" w14:textId="77777777" w:rsidR="000D3D78" w:rsidRDefault="000D3D78" w:rsidP="00990B00">
      <w:pPr>
        <w:jc w:val="both"/>
        <w:rPr>
          <w:color w:val="231F20"/>
          <w:sz w:val="20"/>
          <w:szCs w:val="18"/>
        </w:rPr>
      </w:pPr>
    </w:p>
    <w:p w14:paraId="399E7BF1" w14:textId="254BE2A7" w:rsidR="00990B00" w:rsidRPr="00560243" w:rsidRDefault="00990B00" w:rsidP="00990B00">
      <w:pPr>
        <w:jc w:val="both"/>
        <w:rPr>
          <w:color w:val="231F20"/>
          <w:sz w:val="20"/>
          <w:szCs w:val="18"/>
        </w:rPr>
      </w:pPr>
      <w:r>
        <w:rPr>
          <w:color w:val="231F20"/>
          <w:sz w:val="20"/>
          <w:szCs w:val="18"/>
        </w:rPr>
        <w:t>Τ</w:t>
      </w:r>
      <w:r w:rsidRPr="00016DA9">
        <w:rPr>
          <w:color w:val="231F20"/>
          <w:sz w:val="20"/>
          <w:szCs w:val="18"/>
        </w:rPr>
        <w:t xml:space="preserve">α </w:t>
      </w:r>
      <w:r w:rsidR="009A2066">
        <w:rPr>
          <w:color w:val="231F20"/>
          <w:sz w:val="20"/>
          <w:szCs w:val="18"/>
        </w:rPr>
        <w:t xml:space="preserve">ενοποιημένα </w:t>
      </w:r>
      <w:r w:rsidRPr="00016DA9">
        <w:rPr>
          <w:color w:val="231F20"/>
          <w:sz w:val="20"/>
          <w:szCs w:val="18"/>
        </w:rPr>
        <w:t xml:space="preserve">κέρδη μετά από φόρους ανήλθαν στα </w:t>
      </w:r>
      <w:r w:rsidR="00F34C97">
        <w:rPr>
          <w:color w:val="231F20"/>
          <w:sz w:val="20"/>
          <w:szCs w:val="18"/>
        </w:rPr>
        <w:t>74</w:t>
      </w:r>
      <w:r w:rsidRPr="00016DA9">
        <w:rPr>
          <w:color w:val="231F20"/>
          <w:sz w:val="20"/>
          <w:szCs w:val="18"/>
        </w:rPr>
        <w:t>,</w:t>
      </w:r>
      <w:r w:rsidR="00F34C97">
        <w:rPr>
          <w:color w:val="231F20"/>
          <w:sz w:val="20"/>
          <w:szCs w:val="18"/>
        </w:rPr>
        <w:t>0</w:t>
      </w:r>
      <w:r w:rsidRPr="00016DA9">
        <w:rPr>
          <w:color w:val="231F20"/>
          <w:sz w:val="20"/>
          <w:szCs w:val="18"/>
        </w:rPr>
        <w:t xml:space="preserve"> </w:t>
      </w:r>
      <w:r w:rsidR="00817256">
        <w:rPr>
          <w:color w:val="231F20"/>
          <w:sz w:val="20"/>
          <w:szCs w:val="18"/>
        </w:rPr>
        <w:t>εκατ.</w:t>
      </w:r>
      <w:r w:rsidRPr="00016DA9">
        <w:rPr>
          <w:color w:val="231F20"/>
          <w:sz w:val="20"/>
          <w:szCs w:val="18"/>
        </w:rPr>
        <w:t xml:space="preserve"> ευρώ για </w:t>
      </w:r>
      <w:r w:rsidR="00270EC3">
        <w:rPr>
          <w:color w:val="231F20"/>
          <w:sz w:val="20"/>
          <w:szCs w:val="20"/>
        </w:rPr>
        <w:t xml:space="preserve">το Α’ </w:t>
      </w:r>
      <w:r w:rsidR="00F34C97">
        <w:rPr>
          <w:color w:val="231F20"/>
          <w:sz w:val="20"/>
          <w:szCs w:val="20"/>
        </w:rPr>
        <w:t>εξάμηνο</w:t>
      </w:r>
      <w:r w:rsidR="00270EC3">
        <w:rPr>
          <w:color w:val="231F20"/>
          <w:sz w:val="20"/>
          <w:szCs w:val="20"/>
        </w:rPr>
        <w:t xml:space="preserve"> του</w:t>
      </w:r>
      <w:r w:rsidRPr="00016DA9">
        <w:rPr>
          <w:color w:val="231F20"/>
          <w:sz w:val="20"/>
          <w:szCs w:val="18"/>
        </w:rPr>
        <w:t xml:space="preserve"> </w:t>
      </w:r>
      <w:r w:rsidR="00EA6D30">
        <w:rPr>
          <w:color w:val="231F20"/>
          <w:sz w:val="20"/>
          <w:szCs w:val="18"/>
        </w:rPr>
        <w:t>202</w:t>
      </w:r>
      <w:r w:rsidR="00A9309B">
        <w:rPr>
          <w:color w:val="231F20"/>
          <w:sz w:val="20"/>
          <w:szCs w:val="18"/>
        </w:rPr>
        <w:t>5</w:t>
      </w:r>
      <w:r w:rsidRPr="00016DA9">
        <w:rPr>
          <w:color w:val="231F20"/>
          <w:sz w:val="20"/>
          <w:szCs w:val="18"/>
        </w:rPr>
        <w:t xml:space="preserve">, έναντι </w:t>
      </w:r>
      <w:r w:rsidR="00F34C97">
        <w:rPr>
          <w:color w:val="231F20"/>
          <w:sz w:val="20"/>
          <w:szCs w:val="18"/>
        </w:rPr>
        <w:t>5</w:t>
      </w:r>
      <w:r w:rsidR="00AB444F" w:rsidRPr="00F5018F">
        <w:rPr>
          <w:color w:val="231F20"/>
          <w:sz w:val="20"/>
          <w:szCs w:val="18"/>
        </w:rPr>
        <w:t>1</w:t>
      </w:r>
      <w:r w:rsidRPr="00016DA9">
        <w:rPr>
          <w:color w:val="231F20"/>
          <w:sz w:val="20"/>
          <w:szCs w:val="18"/>
        </w:rPr>
        <w:t>,</w:t>
      </w:r>
      <w:r w:rsidR="00AB444F" w:rsidRPr="00F5018F">
        <w:rPr>
          <w:color w:val="231F20"/>
          <w:sz w:val="20"/>
          <w:szCs w:val="18"/>
        </w:rPr>
        <w:t>0</w:t>
      </w:r>
      <w:r w:rsidRPr="00016DA9">
        <w:rPr>
          <w:color w:val="231F20"/>
          <w:sz w:val="20"/>
          <w:szCs w:val="18"/>
        </w:rPr>
        <w:t xml:space="preserve"> </w:t>
      </w:r>
      <w:r w:rsidR="00817256">
        <w:rPr>
          <w:color w:val="231F20"/>
          <w:sz w:val="20"/>
          <w:szCs w:val="18"/>
        </w:rPr>
        <w:t>εκατ.</w:t>
      </w:r>
      <w:r w:rsidRPr="00016DA9">
        <w:rPr>
          <w:color w:val="231F20"/>
          <w:sz w:val="20"/>
          <w:szCs w:val="18"/>
        </w:rPr>
        <w:t xml:space="preserve"> ευρώ </w:t>
      </w:r>
      <w:r w:rsidR="00270EC3">
        <w:rPr>
          <w:color w:val="231F20"/>
          <w:sz w:val="20"/>
          <w:szCs w:val="20"/>
        </w:rPr>
        <w:t>το</w:t>
      </w:r>
      <w:r w:rsidR="006C204C">
        <w:rPr>
          <w:color w:val="231F20"/>
          <w:sz w:val="20"/>
          <w:szCs w:val="20"/>
        </w:rPr>
        <w:t>υ</w:t>
      </w:r>
      <w:r w:rsidR="00270EC3">
        <w:rPr>
          <w:color w:val="231F20"/>
          <w:sz w:val="20"/>
          <w:szCs w:val="20"/>
        </w:rPr>
        <w:t xml:space="preserve"> Α’ </w:t>
      </w:r>
      <w:r w:rsidR="00F34C97">
        <w:rPr>
          <w:color w:val="231F20"/>
          <w:sz w:val="20"/>
          <w:szCs w:val="20"/>
        </w:rPr>
        <w:t>εξ</w:t>
      </w:r>
      <w:r w:rsidR="00AF2484">
        <w:rPr>
          <w:color w:val="231F20"/>
          <w:sz w:val="20"/>
          <w:szCs w:val="20"/>
        </w:rPr>
        <w:t>α</w:t>
      </w:r>
      <w:r w:rsidR="00F34C97">
        <w:rPr>
          <w:color w:val="231F20"/>
          <w:sz w:val="20"/>
          <w:szCs w:val="20"/>
        </w:rPr>
        <w:t>μ</w:t>
      </w:r>
      <w:r w:rsidR="00AF2484">
        <w:rPr>
          <w:color w:val="231F20"/>
          <w:sz w:val="20"/>
          <w:szCs w:val="20"/>
        </w:rPr>
        <w:t>ή</w:t>
      </w:r>
      <w:r w:rsidR="00F34C97">
        <w:rPr>
          <w:color w:val="231F20"/>
          <w:sz w:val="20"/>
          <w:szCs w:val="20"/>
        </w:rPr>
        <w:t>νο</w:t>
      </w:r>
      <w:r w:rsidR="006C204C">
        <w:rPr>
          <w:color w:val="231F20"/>
          <w:sz w:val="20"/>
          <w:szCs w:val="20"/>
        </w:rPr>
        <w:t>υ</w:t>
      </w:r>
      <w:r w:rsidR="00270EC3">
        <w:rPr>
          <w:color w:val="231F20"/>
          <w:sz w:val="20"/>
          <w:szCs w:val="20"/>
        </w:rPr>
        <w:t xml:space="preserve"> του</w:t>
      </w:r>
      <w:r w:rsidRPr="00016DA9">
        <w:rPr>
          <w:color w:val="231F20"/>
          <w:sz w:val="20"/>
          <w:szCs w:val="18"/>
        </w:rPr>
        <w:t xml:space="preserve"> </w:t>
      </w:r>
      <w:r w:rsidR="00EA6D30">
        <w:rPr>
          <w:color w:val="231F20"/>
          <w:sz w:val="20"/>
          <w:szCs w:val="18"/>
        </w:rPr>
        <w:t>202</w:t>
      </w:r>
      <w:r w:rsidR="007E2CAB" w:rsidRPr="007E2CAB">
        <w:rPr>
          <w:color w:val="231F20"/>
          <w:sz w:val="20"/>
          <w:szCs w:val="18"/>
        </w:rPr>
        <w:t>4</w:t>
      </w:r>
      <w:r w:rsidR="009A2066">
        <w:rPr>
          <w:color w:val="231F20"/>
          <w:sz w:val="20"/>
          <w:szCs w:val="18"/>
        </w:rPr>
        <w:t>, ενώ τ</w:t>
      </w:r>
      <w:r w:rsidRPr="00016DA9">
        <w:rPr>
          <w:color w:val="231F20"/>
          <w:sz w:val="20"/>
          <w:szCs w:val="18"/>
        </w:rPr>
        <w:t xml:space="preserve">α ενοποιημένα κέρδη μετά από φόρους και δικαιώματα μειοψηφίας ανήλθαν σε </w:t>
      </w:r>
      <w:r w:rsidR="00F34C97">
        <w:rPr>
          <w:color w:val="231F20"/>
          <w:sz w:val="20"/>
          <w:szCs w:val="18"/>
        </w:rPr>
        <w:t>70</w:t>
      </w:r>
      <w:r w:rsidRPr="00016DA9">
        <w:rPr>
          <w:color w:val="231F20"/>
          <w:sz w:val="20"/>
          <w:szCs w:val="18"/>
        </w:rPr>
        <w:t>,</w:t>
      </w:r>
      <w:r w:rsidR="00F34C97">
        <w:rPr>
          <w:color w:val="231F20"/>
          <w:sz w:val="20"/>
          <w:szCs w:val="18"/>
        </w:rPr>
        <w:t>9</w:t>
      </w:r>
      <w:r w:rsidRPr="00016DA9">
        <w:rPr>
          <w:color w:val="231F20"/>
          <w:sz w:val="20"/>
          <w:szCs w:val="18"/>
        </w:rPr>
        <w:t xml:space="preserve"> </w:t>
      </w:r>
      <w:r w:rsidR="00817256">
        <w:rPr>
          <w:color w:val="231F20"/>
          <w:sz w:val="20"/>
          <w:szCs w:val="18"/>
        </w:rPr>
        <w:t>εκατ.</w:t>
      </w:r>
      <w:r w:rsidRPr="00016DA9">
        <w:rPr>
          <w:color w:val="231F20"/>
          <w:sz w:val="20"/>
          <w:szCs w:val="18"/>
        </w:rPr>
        <w:t xml:space="preserve"> ευρώ για τη</w:t>
      </w:r>
      <w:r w:rsidR="00C80F33">
        <w:rPr>
          <w:color w:val="231F20"/>
          <w:sz w:val="20"/>
          <w:szCs w:val="18"/>
        </w:rPr>
        <w:t>ν</w:t>
      </w:r>
      <w:r w:rsidRPr="00016DA9">
        <w:rPr>
          <w:color w:val="231F20"/>
          <w:sz w:val="20"/>
          <w:szCs w:val="18"/>
        </w:rPr>
        <w:t xml:space="preserve"> περίοδο (ή </w:t>
      </w:r>
      <w:r w:rsidR="007E2CAB" w:rsidRPr="007E2CAB">
        <w:rPr>
          <w:color w:val="231F20"/>
          <w:sz w:val="20"/>
          <w:szCs w:val="18"/>
        </w:rPr>
        <w:t>0,1</w:t>
      </w:r>
      <w:r w:rsidR="00F34C97">
        <w:rPr>
          <w:color w:val="231F20"/>
          <w:sz w:val="20"/>
          <w:szCs w:val="18"/>
        </w:rPr>
        <w:t>891</w:t>
      </w:r>
      <w:r w:rsidR="007E2CAB" w:rsidRPr="00EB6B7F">
        <w:rPr>
          <w:color w:val="231F20"/>
          <w:sz w:val="20"/>
          <w:szCs w:val="18"/>
        </w:rPr>
        <w:t xml:space="preserve"> </w:t>
      </w:r>
      <w:r w:rsidRPr="00016DA9">
        <w:rPr>
          <w:color w:val="231F20"/>
          <w:sz w:val="20"/>
          <w:szCs w:val="18"/>
        </w:rPr>
        <w:t xml:space="preserve">ευρώ ανά μετοχή) από </w:t>
      </w:r>
      <w:r w:rsidR="00F34C97">
        <w:rPr>
          <w:color w:val="231F20"/>
          <w:sz w:val="20"/>
          <w:szCs w:val="18"/>
        </w:rPr>
        <w:t>46</w:t>
      </w:r>
      <w:r w:rsidR="007E2CAB" w:rsidRPr="00016DA9">
        <w:rPr>
          <w:color w:val="231F20"/>
          <w:sz w:val="20"/>
          <w:szCs w:val="18"/>
        </w:rPr>
        <w:t>,</w:t>
      </w:r>
      <w:r w:rsidR="007E2CAB">
        <w:rPr>
          <w:color w:val="231F20"/>
          <w:sz w:val="20"/>
          <w:szCs w:val="18"/>
        </w:rPr>
        <w:t>9</w:t>
      </w:r>
      <w:r w:rsidRPr="00016DA9">
        <w:rPr>
          <w:color w:val="231F20"/>
          <w:sz w:val="20"/>
          <w:szCs w:val="18"/>
        </w:rPr>
        <w:t xml:space="preserve"> </w:t>
      </w:r>
      <w:r w:rsidR="00817256">
        <w:rPr>
          <w:color w:val="231F20"/>
          <w:sz w:val="20"/>
          <w:szCs w:val="18"/>
        </w:rPr>
        <w:t>εκατ.</w:t>
      </w:r>
      <w:r w:rsidRPr="00016DA9">
        <w:rPr>
          <w:color w:val="231F20"/>
          <w:sz w:val="20"/>
          <w:szCs w:val="18"/>
        </w:rPr>
        <w:t xml:space="preserve"> ευρώ για την αντίστοιχη περίοδο του </w:t>
      </w:r>
      <w:r w:rsidR="00EA6D30">
        <w:rPr>
          <w:color w:val="231F20"/>
          <w:sz w:val="20"/>
          <w:szCs w:val="18"/>
        </w:rPr>
        <w:t>20</w:t>
      </w:r>
      <w:r w:rsidRPr="00016DA9">
        <w:rPr>
          <w:color w:val="231F20"/>
          <w:sz w:val="20"/>
          <w:szCs w:val="18"/>
        </w:rPr>
        <w:t>2</w:t>
      </w:r>
      <w:r w:rsidR="00094BCE" w:rsidRPr="007543D0">
        <w:rPr>
          <w:color w:val="231F20"/>
          <w:sz w:val="20"/>
          <w:szCs w:val="18"/>
        </w:rPr>
        <w:t>4</w:t>
      </w:r>
      <w:r w:rsidRPr="00016DA9">
        <w:rPr>
          <w:color w:val="231F20"/>
          <w:sz w:val="20"/>
          <w:szCs w:val="18"/>
        </w:rPr>
        <w:t xml:space="preserve"> (ή </w:t>
      </w:r>
      <w:r w:rsidR="007E2CAB" w:rsidRPr="00EA6D30">
        <w:rPr>
          <w:color w:val="231F20"/>
          <w:sz w:val="20"/>
          <w:szCs w:val="18"/>
        </w:rPr>
        <w:t>0,</w:t>
      </w:r>
      <w:r w:rsidR="00F34C97">
        <w:rPr>
          <w:color w:val="231F20"/>
          <w:sz w:val="20"/>
          <w:szCs w:val="18"/>
        </w:rPr>
        <w:t>1250</w:t>
      </w:r>
      <w:r w:rsidR="007E2CAB">
        <w:rPr>
          <w:color w:val="231F20"/>
          <w:sz w:val="20"/>
          <w:szCs w:val="18"/>
        </w:rPr>
        <w:t xml:space="preserve"> </w:t>
      </w:r>
      <w:r w:rsidRPr="00016DA9">
        <w:rPr>
          <w:color w:val="231F20"/>
          <w:sz w:val="20"/>
          <w:szCs w:val="18"/>
        </w:rPr>
        <w:t>ευρώ ανά μετοχή).</w:t>
      </w:r>
    </w:p>
    <w:p w14:paraId="6877F765" w14:textId="77777777" w:rsidR="00222E60" w:rsidRPr="00560243" w:rsidRDefault="00222E60" w:rsidP="00990B00">
      <w:pPr>
        <w:jc w:val="both"/>
        <w:rPr>
          <w:color w:val="231F20"/>
          <w:sz w:val="20"/>
          <w:szCs w:val="18"/>
        </w:rPr>
      </w:pPr>
    </w:p>
    <w:p w14:paraId="2573BE09" w14:textId="77777777" w:rsidR="00154CF7" w:rsidRDefault="00154CF7" w:rsidP="000B4EED">
      <w:pPr>
        <w:jc w:val="both"/>
        <w:rPr>
          <w:color w:val="231F20"/>
          <w:sz w:val="20"/>
          <w:szCs w:val="18"/>
        </w:rPr>
      </w:pPr>
    </w:p>
    <w:p w14:paraId="4AB8B400" w14:textId="77777777" w:rsidR="00E577C4" w:rsidRDefault="00E577C4" w:rsidP="004F103C">
      <w:pPr>
        <w:spacing w:before="29"/>
        <w:rPr>
          <w:b/>
          <w:bCs/>
          <w:color w:val="A6A6A6" w:themeColor="background1" w:themeShade="A6"/>
          <w:spacing w:val="7"/>
          <w:sz w:val="24"/>
          <w:szCs w:val="24"/>
        </w:rPr>
      </w:pPr>
    </w:p>
    <w:p w14:paraId="26894A15" w14:textId="4D571AD5" w:rsidR="00F40F8C" w:rsidRPr="00951E90" w:rsidRDefault="00877C34" w:rsidP="004F103C">
      <w:pPr>
        <w:spacing w:before="29"/>
        <w:rPr>
          <w:b/>
          <w:bCs/>
          <w:color w:val="A6A6A6" w:themeColor="background1" w:themeShade="A6"/>
          <w:spacing w:val="7"/>
          <w:sz w:val="24"/>
          <w:szCs w:val="24"/>
        </w:rPr>
      </w:pPr>
      <w:r>
        <w:rPr>
          <w:b/>
          <w:bCs/>
          <w:color w:val="A6A6A6" w:themeColor="background1" w:themeShade="A6"/>
          <w:spacing w:val="7"/>
          <w:sz w:val="24"/>
          <w:szCs w:val="24"/>
        </w:rPr>
        <w:t>Βασικά</w:t>
      </w:r>
      <w:r w:rsidR="00F40F8C" w:rsidRPr="00951E90">
        <w:rPr>
          <w:b/>
          <w:bCs/>
          <w:color w:val="A6A6A6" w:themeColor="background1" w:themeShade="A6"/>
          <w:spacing w:val="7"/>
          <w:sz w:val="24"/>
          <w:szCs w:val="24"/>
        </w:rPr>
        <w:t xml:space="preserve"> </w:t>
      </w:r>
      <w:r w:rsidR="001866CB">
        <w:rPr>
          <w:b/>
          <w:bCs/>
          <w:color w:val="A6A6A6" w:themeColor="background1" w:themeShade="A6"/>
          <w:spacing w:val="7"/>
          <w:sz w:val="24"/>
          <w:szCs w:val="24"/>
        </w:rPr>
        <w:t>ο</w:t>
      </w:r>
      <w:r w:rsidR="00F40F8C" w:rsidRPr="00951E90">
        <w:rPr>
          <w:b/>
          <w:bCs/>
          <w:color w:val="A6A6A6" w:themeColor="background1" w:themeShade="A6"/>
          <w:spacing w:val="7"/>
          <w:sz w:val="24"/>
          <w:szCs w:val="24"/>
        </w:rPr>
        <w:t xml:space="preserve">ικονομικά </w:t>
      </w:r>
      <w:r w:rsidR="001866CB">
        <w:rPr>
          <w:b/>
          <w:bCs/>
          <w:color w:val="A6A6A6" w:themeColor="background1" w:themeShade="A6"/>
          <w:spacing w:val="7"/>
          <w:sz w:val="24"/>
          <w:szCs w:val="24"/>
        </w:rPr>
        <w:t>μ</w:t>
      </w:r>
      <w:r w:rsidR="00A44594" w:rsidRPr="00951E90">
        <w:rPr>
          <w:b/>
          <w:bCs/>
          <w:color w:val="A6A6A6" w:themeColor="background1" w:themeShade="A6"/>
          <w:spacing w:val="7"/>
          <w:sz w:val="24"/>
          <w:szCs w:val="24"/>
        </w:rPr>
        <w:t>εγέθη</w:t>
      </w:r>
    </w:p>
    <w:p w14:paraId="59E9ADC9" w14:textId="77777777" w:rsidR="009209EF" w:rsidRPr="00877C34" w:rsidRDefault="009209EF" w:rsidP="000B4EED">
      <w:pPr>
        <w:jc w:val="both"/>
        <w:rPr>
          <w:color w:val="231F20"/>
          <w:sz w:val="20"/>
          <w:szCs w:val="18"/>
        </w:rPr>
      </w:pPr>
    </w:p>
    <w:p w14:paraId="7AECAAD2" w14:textId="77777777" w:rsidR="009209EF" w:rsidRPr="009209EF" w:rsidRDefault="009209EF" w:rsidP="000B4EED">
      <w:pPr>
        <w:jc w:val="both"/>
        <w:rPr>
          <w:color w:val="231F20"/>
          <w:sz w:val="20"/>
          <w:szCs w:val="18"/>
          <w:lang w:val="en-US"/>
        </w:rPr>
      </w:pPr>
    </w:p>
    <w:tbl>
      <w:tblPr>
        <w:tblW w:w="10866" w:type="dxa"/>
        <w:tblInd w:w="-5" w:type="dxa"/>
        <w:tblLook w:val="04A0" w:firstRow="1" w:lastRow="0" w:firstColumn="1" w:lastColumn="0" w:noHBand="0" w:noVBand="1"/>
      </w:tblPr>
      <w:tblGrid>
        <w:gridCol w:w="6213"/>
        <w:gridCol w:w="2081"/>
        <w:gridCol w:w="2572"/>
      </w:tblGrid>
      <w:tr w:rsidR="001C3A26" w:rsidRPr="009209EF" w14:paraId="723588E1" w14:textId="77777777" w:rsidTr="0030564C">
        <w:trPr>
          <w:trHeight w:val="20"/>
        </w:trPr>
        <w:tc>
          <w:tcPr>
            <w:tcW w:w="6213" w:type="dxa"/>
            <w:tcBorders>
              <w:top w:val="single" w:sz="4" w:space="0" w:color="4F81BD"/>
              <w:left w:val="single" w:sz="4" w:space="0" w:color="4F81BD"/>
              <w:bottom w:val="nil"/>
              <w:right w:val="nil"/>
            </w:tcBorders>
            <w:shd w:val="clear" w:color="000000" w:fill="4F81BD"/>
            <w:vAlign w:val="center"/>
            <w:hideMark/>
          </w:tcPr>
          <w:p w14:paraId="734F98C3" w14:textId="77777777" w:rsidR="001C3A26" w:rsidRPr="009209EF" w:rsidRDefault="001C3A26" w:rsidP="001C3A26">
            <w:pPr>
              <w:widowControl/>
              <w:autoSpaceDE/>
              <w:autoSpaceDN/>
              <w:jc w:val="center"/>
              <w:rPr>
                <w:rFonts w:eastAsia="Times New Roman" w:cs="Calibri"/>
                <w:b/>
                <w:bCs/>
                <w:color w:val="FFFFFF"/>
                <w:sz w:val="20"/>
                <w:szCs w:val="20"/>
                <w:lang w:val="en-US"/>
              </w:rPr>
            </w:pPr>
            <w:r w:rsidRPr="009209EF">
              <w:rPr>
                <w:rFonts w:eastAsia="Times New Roman" w:cs="Calibri"/>
                <w:b/>
                <w:bCs/>
                <w:color w:val="FFFFFF"/>
                <w:sz w:val="20"/>
                <w:szCs w:val="20"/>
                <w:lang w:val="en-US"/>
              </w:rPr>
              <w:t> </w:t>
            </w:r>
          </w:p>
        </w:tc>
        <w:tc>
          <w:tcPr>
            <w:tcW w:w="4653" w:type="dxa"/>
            <w:gridSpan w:val="2"/>
            <w:tcBorders>
              <w:top w:val="single" w:sz="4" w:space="0" w:color="4F81BD"/>
              <w:left w:val="nil"/>
              <w:bottom w:val="nil"/>
              <w:right w:val="single" w:sz="4" w:space="0" w:color="4F81BD"/>
            </w:tcBorders>
            <w:shd w:val="clear" w:color="000000" w:fill="4F81BD"/>
            <w:vAlign w:val="center"/>
            <w:hideMark/>
          </w:tcPr>
          <w:p w14:paraId="4FA46EA5" w14:textId="77777777" w:rsidR="001C3A26" w:rsidRPr="009209EF" w:rsidRDefault="001C3A26" w:rsidP="001C3A26">
            <w:pPr>
              <w:widowControl/>
              <w:autoSpaceDE/>
              <w:autoSpaceDN/>
              <w:jc w:val="center"/>
              <w:rPr>
                <w:rFonts w:eastAsia="Times New Roman" w:cs="Calibri"/>
                <w:b/>
                <w:bCs/>
                <w:color w:val="FFFFFF"/>
                <w:sz w:val="20"/>
                <w:szCs w:val="20"/>
                <w:lang w:val="en-US"/>
              </w:rPr>
            </w:pPr>
            <w:r w:rsidRPr="009209EF">
              <w:rPr>
                <w:rFonts w:eastAsia="Times New Roman" w:cs="Calibri"/>
                <w:b/>
                <w:bCs/>
                <w:color w:val="FFFFFF"/>
                <w:sz w:val="20"/>
                <w:szCs w:val="20"/>
                <w:lang w:val="en-US"/>
              </w:rPr>
              <w:t>Όμιλος</w:t>
            </w:r>
          </w:p>
        </w:tc>
      </w:tr>
      <w:tr w:rsidR="0089103E" w:rsidRPr="009209EF" w14:paraId="527BFE55" w14:textId="77777777" w:rsidTr="0030564C">
        <w:trPr>
          <w:trHeight w:val="20"/>
        </w:trPr>
        <w:tc>
          <w:tcPr>
            <w:tcW w:w="6213" w:type="dxa"/>
            <w:tcBorders>
              <w:top w:val="nil"/>
              <w:left w:val="single" w:sz="4" w:space="0" w:color="4F81BD"/>
              <w:bottom w:val="nil"/>
              <w:right w:val="nil"/>
            </w:tcBorders>
            <w:shd w:val="clear" w:color="000000" w:fill="4F81BD"/>
            <w:vAlign w:val="center"/>
            <w:hideMark/>
          </w:tcPr>
          <w:p w14:paraId="0AD110E2" w14:textId="77777777" w:rsidR="0089103E" w:rsidRPr="009209EF" w:rsidRDefault="0089103E" w:rsidP="0089103E">
            <w:pPr>
              <w:widowControl/>
              <w:autoSpaceDE/>
              <w:autoSpaceDN/>
              <w:jc w:val="center"/>
              <w:rPr>
                <w:rFonts w:eastAsia="Times New Roman" w:cs="Calibri"/>
                <w:b/>
                <w:bCs/>
                <w:color w:val="FFFFFF"/>
                <w:sz w:val="20"/>
                <w:szCs w:val="20"/>
                <w:lang w:val="en-US"/>
              </w:rPr>
            </w:pPr>
            <w:r w:rsidRPr="009209EF">
              <w:rPr>
                <w:rFonts w:eastAsia="Times New Roman" w:cs="Calibri"/>
                <w:b/>
                <w:bCs/>
                <w:color w:val="FFFFFF"/>
                <w:sz w:val="20"/>
                <w:szCs w:val="20"/>
                <w:lang w:val="en-US"/>
              </w:rPr>
              <w:t>Ποσά  σε €’ 000</w:t>
            </w:r>
          </w:p>
        </w:tc>
        <w:tc>
          <w:tcPr>
            <w:tcW w:w="2081" w:type="dxa"/>
            <w:tcBorders>
              <w:top w:val="nil"/>
              <w:left w:val="nil"/>
              <w:bottom w:val="single" w:sz="8" w:space="0" w:color="4F81BD"/>
              <w:right w:val="nil"/>
            </w:tcBorders>
            <w:shd w:val="clear" w:color="000000" w:fill="4F81BD"/>
            <w:vAlign w:val="center"/>
            <w:hideMark/>
          </w:tcPr>
          <w:p w14:paraId="11816C5F" w14:textId="3F639DE2" w:rsidR="0089103E" w:rsidRPr="0089103E" w:rsidRDefault="0089103E" w:rsidP="0089103E">
            <w:pPr>
              <w:widowControl/>
              <w:autoSpaceDE/>
              <w:autoSpaceDN/>
              <w:jc w:val="center"/>
              <w:rPr>
                <w:rFonts w:eastAsia="Times New Roman" w:cs="Calibri"/>
                <w:b/>
                <w:bCs/>
                <w:color w:val="FFFFFF"/>
                <w:sz w:val="18"/>
                <w:szCs w:val="18"/>
              </w:rPr>
            </w:pPr>
            <w:r w:rsidRPr="0089103E">
              <w:rPr>
                <w:rFonts w:cs="Calibri"/>
                <w:b/>
                <w:bCs/>
                <w:color w:val="FFFFFF"/>
                <w:sz w:val="18"/>
                <w:szCs w:val="18"/>
              </w:rPr>
              <w:t>Για τους 6 μήνες</w:t>
            </w:r>
            <w:r w:rsidRPr="0089103E">
              <w:rPr>
                <w:rFonts w:cs="Calibri"/>
                <w:b/>
                <w:bCs/>
                <w:color w:val="FFFFFF"/>
                <w:sz w:val="18"/>
                <w:szCs w:val="18"/>
              </w:rPr>
              <w:br/>
              <w:t>έως 30.06.2025</w:t>
            </w:r>
          </w:p>
        </w:tc>
        <w:tc>
          <w:tcPr>
            <w:tcW w:w="2572" w:type="dxa"/>
            <w:tcBorders>
              <w:top w:val="nil"/>
              <w:left w:val="nil"/>
              <w:bottom w:val="single" w:sz="8" w:space="0" w:color="4F81BD"/>
              <w:right w:val="single" w:sz="4" w:space="0" w:color="4F81BD"/>
            </w:tcBorders>
            <w:shd w:val="clear" w:color="000000" w:fill="4F81BD"/>
            <w:vAlign w:val="center"/>
            <w:hideMark/>
          </w:tcPr>
          <w:p w14:paraId="2D2729D1" w14:textId="5EF99DA2" w:rsidR="0089103E" w:rsidRPr="0089103E" w:rsidRDefault="0089103E" w:rsidP="0089103E">
            <w:pPr>
              <w:widowControl/>
              <w:autoSpaceDE/>
              <w:autoSpaceDN/>
              <w:jc w:val="center"/>
              <w:rPr>
                <w:rFonts w:eastAsia="Times New Roman" w:cs="Calibri"/>
                <w:b/>
                <w:bCs/>
                <w:color w:val="FFFFFF"/>
                <w:sz w:val="18"/>
                <w:szCs w:val="18"/>
              </w:rPr>
            </w:pPr>
            <w:r w:rsidRPr="0089103E">
              <w:rPr>
                <w:rFonts w:cs="Calibri"/>
                <w:b/>
                <w:bCs/>
                <w:color w:val="FFFFFF"/>
                <w:sz w:val="18"/>
                <w:szCs w:val="18"/>
              </w:rPr>
              <w:t>Για τους 6 μήνες</w:t>
            </w:r>
            <w:r w:rsidRPr="0089103E">
              <w:rPr>
                <w:rFonts w:cs="Calibri"/>
                <w:b/>
                <w:bCs/>
                <w:color w:val="FFFFFF"/>
                <w:sz w:val="18"/>
                <w:szCs w:val="18"/>
              </w:rPr>
              <w:br/>
              <w:t>έως 30.06.2024</w:t>
            </w:r>
          </w:p>
        </w:tc>
      </w:tr>
      <w:tr w:rsidR="0030564C" w:rsidRPr="009209EF" w14:paraId="5E50C5CF" w14:textId="77777777" w:rsidTr="0030564C">
        <w:trPr>
          <w:trHeight w:val="20"/>
        </w:trPr>
        <w:tc>
          <w:tcPr>
            <w:tcW w:w="6213" w:type="dxa"/>
            <w:tcBorders>
              <w:top w:val="nil"/>
              <w:left w:val="single" w:sz="4" w:space="0" w:color="4F81BD"/>
              <w:bottom w:val="nil"/>
              <w:right w:val="nil"/>
            </w:tcBorders>
            <w:vAlign w:val="center"/>
            <w:hideMark/>
          </w:tcPr>
          <w:p w14:paraId="79D8E0B0" w14:textId="77777777"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Πωλήσεις</w:t>
            </w:r>
          </w:p>
        </w:tc>
        <w:tc>
          <w:tcPr>
            <w:tcW w:w="2081" w:type="dxa"/>
            <w:tcBorders>
              <w:top w:val="single" w:sz="8" w:space="0" w:color="4F81BD"/>
              <w:left w:val="nil"/>
              <w:bottom w:val="nil"/>
              <w:right w:val="nil"/>
            </w:tcBorders>
            <w:shd w:val="clear" w:color="000000" w:fill="C5D9F1"/>
            <w:noWrap/>
            <w:vAlign w:val="center"/>
            <w:hideMark/>
          </w:tcPr>
          <w:p w14:paraId="1030A9AA" w14:textId="5E02AA24"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1.862.012</w:t>
            </w:r>
          </w:p>
        </w:tc>
        <w:tc>
          <w:tcPr>
            <w:tcW w:w="2572" w:type="dxa"/>
            <w:tcBorders>
              <w:top w:val="nil"/>
              <w:left w:val="nil"/>
              <w:bottom w:val="nil"/>
              <w:right w:val="single" w:sz="4" w:space="0" w:color="4F81BD"/>
            </w:tcBorders>
            <w:noWrap/>
            <w:vAlign w:val="center"/>
            <w:hideMark/>
          </w:tcPr>
          <w:p w14:paraId="35E99DA0" w14:textId="3BB5BBE0"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1.723.581</w:t>
            </w:r>
          </w:p>
        </w:tc>
      </w:tr>
      <w:tr w:rsidR="0030564C" w:rsidRPr="009209EF" w14:paraId="6B7C2054" w14:textId="77777777" w:rsidTr="0030564C">
        <w:trPr>
          <w:trHeight w:val="20"/>
        </w:trPr>
        <w:tc>
          <w:tcPr>
            <w:tcW w:w="6213" w:type="dxa"/>
            <w:tcBorders>
              <w:top w:val="nil"/>
              <w:left w:val="single" w:sz="4" w:space="0" w:color="4F81BD"/>
              <w:bottom w:val="nil"/>
              <w:right w:val="nil"/>
            </w:tcBorders>
            <w:vAlign w:val="center"/>
            <w:hideMark/>
          </w:tcPr>
          <w:p w14:paraId="5BC1895D" w14:textId="77777777"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Μικτό Κέρδος</w:t>
            </w:r>
          </w:p>
        </w:tc>
        <w:tc>
          <w:tcPr>
            <w:tcW w:w="2081" w:type="dxa"/>
            <w:tcBorders>
              <w:top w:val="nil"/>
              <w:left w:val="nil"/>
              <w:bottom w:val="nil"/>
              <w:right w:val="nil"/>
            </w:tcBorders>
            <w:shd w:val="clear" w:color="000000" w:fill="C5D9F1"/>
            <w:noWrap/>
            <w:vAlign w:val="center"/>
            <w:hideMark/>
          </w:tcPr>
          <w:p w14:paraId="2ABF9598" w14:textId="4832D447"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165.244</w:t>
            </w:r>
          </w:p>
        </w:tc>
        <w:tc>
          <w:tcPr>
            <w:tcW w:w="2572" w:type="dxa"/>
            <w:tcBorders>
              <w:top w:val="nil"/>
              <w:left w:val="nil"/>
              <w:bottom w:val="nil"/>
              <w:right w:val="single" w:sz="4" w:space="0" w:color="4F81BD"/>
            </w:tcBorders>
            <w:noWrap/>
            <w:vAlign w:val="center"/>
            <w:hideMark/>
          </w:tcPr>
          <w:p w14:paraId="12DAB5C6" w14:textId="25A77460"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141.186</w:t>
            </w:r>
          </w:p>
        </w:tc>
      </w:tr>
      <w:tr w:rsidR="0030564C" w:rsidRPr="009209EF" w14:paraId="3A5A2E20" w14:textId="77777777" w:rsidTr="0030564C">
        <w:trPr>
          <w:trHeight w:val="20"/>
        </w:trPr>
        <w:tc>
          <w:tcPr>
            <w:tcW w:w="6213" w:type="dxa"/>
            <w:tcBorders>
              <w:top w:val="nil"/>
              <w:left w:val="single" w:sz="4" w:space="0" w:color="4F81BD"/>
              <w:bottom w:val="nil"/>
              <w:right w:val="nil"/>
            </w:tcBorders>
            <w:vAlign w:val="center"/>
            <w:hideMark/>
          </w:tcPr>
          <w:p w14:paraId="13F12796" w14:textId="77777777"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EBITDA</w:t>
            </w:r>
          </w:p>
        </w:tc>
        <w:tc>
          <w:tcPr>
            <w:tcW w:w="2081" w:type="dxa"/>
            <w:tcBorders>
              <w:top w:val="nil"/>
              <w:left w:val="nil"/>
              <w:bottom w:val="nil"/>
              <w:right w:val="nil"/>
            </w:tcBorders>
            <w:shd w:val="clear" w:color="000000" w:fill="C5D9F1"/>
            <w:noWrap/>
            <w:vAlign w:val="center"/>
            <w:hideMark/>
          </w:tcPr>
          <w:p w14:paraId="25885CB7" w14:textId="5293AAEB"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139.052</w:t>
            </w:r>
          </w:p>
        </w:tc>
        <w:tc>
          <w:tcPr>
            <w:tcW w:w="2572" w:type="dxa"/>
            <w:tcBorders>
              <w:top w:val="nil"/>
              <w:left w:val="nil"/>
              <w:bottom w:val="nil"/>
              <w:right w:val="single" w:sz="4" w:space="0" w:color="4F81BD"/>
            </w:tcBorders>
            <w:noWrap/>
            <w:vAlign w:val="center"/>
            <w:hideMark/>
          </w:tcPr>
          <w:p w14:paraId="7B59AD4C" w14:textId="1716C3A8"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115.083</w:t>
            </w:r>
          </w:p>
        </w:tc>
      </w:tr>
      <w:tr w:rsidR="0030564C" w:rsidRPr="009209EF" w14:paraId="049F1065" w14:textId="77777777" w:rsidTr="0030564C">
        <w:trPr>
          <w:trHeight w:val="20"/>
        </w:trPr>
        <w:tc>
          <w:tcPr>
            <w:tcW w:w="6213" w:type="dxa"/>
            <w:tcBorders>
              <w:top w:val="nil"/>
              <w:left w:val="single" w:sz="4" w:space="0" w:color="4F81BD"/>
              <w:bottom w:val="nil"/>
              <w:right w:val="nil"/>
            </w:tcBorders>
            <w:vAlign w:val="center"/>
            <w:hideMark/>
          </w:tcPr>
          <w:p w14:paraId="30A862A9" w14:textId="36BD0062"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a-EBITDA*</w:t>
            </w:r>
          </w:p>
        </w:tc>
        <w:tc>
          <w:tcPr>
            <w:tcW w:w="2081" w:type="dxa"/>
            <w:tcBorders>
              <w:top w:val="nil"/>
              <w:left w:val="nil"/>
              <w:bottom w:val="nil"/>
              <w:right w:val="nil"/>
            </w:tcBorders>
            <w:shd w:val="clear" w:color="000000" w:fill="C5D9F1"/>
            <w:noWrap/>
            <w:vAlign w:val="center"/>
            <w:hideMark/>
          </w:tcPr>
          <w:p w14:paraId="46DDA97D" w14:textId="4F8C0464"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134.420</w:t>
            </w:r>
          </w:p>
        </w:tc>
        <w:tc>
          <w:tcPr>
            <w:tcW w:w="2572" w:type="dxa"/>
            <w:tcBorders>
              <w:top w:val="nil"/>
              <w:left w:val="nil"/>
              <w:bottom w:val="nil"/>
              <w:right w:val="single" w:sz="4" w:space="0" w:color="4F81BD"/>
            </w:tcBorders>
            <w:noWrap/>
            <w:vAlign w:val="center"/>
            <w:hideMark/>
          </w:tcPr>
          <w:p w14:paraId="40BBEDD0" w14:textId="4E34A606"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113.789</w:t>
            </w:r>
          </w:p>
        </w:tc>
      </w:tr>
      <w:tr w:rsidR="0030564C" w:rsidRPr="009209EF" w14:paraId="3C5A3FC9" w14:textId="77777777" w:rsidTr="0030564C">
        <w:trPr>
          <w:trHeight w:val="20"/>
        </w:trPr>
        <w:tc>
          <w:tcPr>
            <w:tcW w:w="6213" w:type="dxa"/>
            <w:tcBorders>
              <w:top w:val="nil"/>
              <w:left w:val="single" w:sz="4" w:space="0" w:color="4F81BD"/>
              <w:bottom w:val="nil"/>
              <w:right w:val="nil"/>
            </w:tcBorders>
            <w:vAlign w:val="center"/>
            <w:hideMark/>
          </w:tcPr>
          <w:p w14:paraId="65449F46" w14:textId="77777777"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Λειτουργικό Αποτέλεσμα (ΕΒΙΤ)</w:t>
            </w:r>
          </w:p>
        </w:tc>
        <w:tc>
          <w:tcPr>
            <w:tcW w:w="2081" w:type="dxa"/>
            <w:tcBorders>
              <w:top w:val="nil"/>
              <w:left w:val="nil"/>
              <w:bottom w:val="nil"/>
              <w:right w:val="nil"/>
            </w:tcBorders>
            <w:shd w:val="clear" w:color="000000" w:fill="C5D9F1"/>
            <w:noWrap/>
            <w:vAlign w:val="center"/>
            <w:hideMark/>
          </w:tcPr>
          <w:p w14:paraId="149F1D32" w14:textId="66725E4F"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104.773</w:t>
            </w:r>
          </w:p>
        </w:tc>
        <w:tc>
          <w:tcPr>
            <w:tcW w:w="2572" w:type="dxa"/>
            <w:tcBorders>
              <w:top w:val="nil"/>
              <w:left w:val="nil"/>
              <w:bottom w:val="nil"/>
              <w:right w:val="single" w:sz="4" w:space="0" w:color="4F81BD"/>
            </w:tcBorders>
            <w:noWrap/>
            <w:vAlign w:val="center"/>
            <w:hideMark/>
          </w:tcPr>
          <w:p w14:paraId="372FB5B2" w14:textId="12C73C5B"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81.965</w:t>
            </w:r>
          </w:p>
        </w:tc>
      </w:tr>
      <w:tr w:rsidR="0030564C" w:rsidRPr="009209EF" w14:paraId="56BCAEBF" w14:textId="77777777" w:rsidTr="0030564C">
        <w:trPr>
          <w:trHeight w:val="20"/>
        </w:trPr>
        <w:tc>
          <w:tcPr>
            <w:tcW w:w="6213" w:type="dxa"/>
            <w:tcBorders>
              <w:top w:val="nil"/>
              <w:left w:val="single" w:sz="4" w:space="0" w:color="4F81BD"/>
              <w:bottom w:val="nil"/>
              <w:right w:val="nil"/>
            </w:tcBorders>
            <w:vAlign w:val="center"/>
            <w:hideMark/>
          </w:tcPr>
          <w:p w14:paraId="6D4DDEDA" w14:textId="0BC47BBB"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a-EBIT**</w:t>
            </w:r>
          </w:p>
        </w:tc>
        <w:tc>
          <w:tcPr>
            <w:tcW w:w="2081" w:type="dxa"/>
            <w:tcBorders>
              <w:top w:val="nil"/>
              <w:left w:val="nil"/>
              <w:bottom w:val="nil"/>
              <w:right w:val="nil"/>
            </w:tcBorders>
            <w:shd w:val="clear" w:color="000000" w:fill="C5D9F1"/>
            <w:noWrap/>
            <w:vAlign w:val="center"/>
            <w:hideMark/>
          </w:tcPr>
          <w:p w14:paraId="5F6B536B" w14:textId="1F7F3164"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100.141</w:t>
            </w:r>
          </w:p>
        </w:tc>
        <w:tc>
          <w:tcPr>
            <w:tcW w:w="2572" w:type="dxa"/>
            <w:tcBorders>
              <w:top w:val="nil"/>
              <w:left w:val="nil"/>
              <w:bottom w:val="nil"/>
              <w:right w:val="single" w:sz="4" w:space="0" w:color="4F81BD"/>
            </w:tcBorders>
            <w:noWrap/>
            <w:vAlign w:val="center"/>
            <w:hideMark/>
          </w:tcPr>
          <w:p w14:paraId="336C2463" w14:textId="6AA11233"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80.671</w:t>
            </w:r>
          </w:p>
        </w:tc>
      </w:tr>
      <w:tr w:rsidR="0030564C" w:rsidRPr="009209EF" w14:paraId="4D6BA530" w14:textId="77777777" w:rsidTr="0030564C">
        <w:trPr>
          <w:trHeight w:val="20"/>
        </w:trPr>
        <w:tc>
          <w:tcPr>
            <w:tcW w:w="6213" w:type="dxa"/>
            <w:tcBorders>
              <w:top w:val="nil"/>
              <w:left w:val="single" w:sz="4" w:space="0" w:color="4F81BD"/>
              <w:bottom w:val="nil"/>
              <w:right w:val="nil"/>
            </w:tcBorders>
            <w:vAlign w:val="center"/>
            <w:hideMark/>
          </w:tcPr>
          <w:p w14:paraId="1F88CBDA" w14:textId="77777777"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Καθαρό Χρηματοοικονομικό αποτέλεσμα</w:t>
            </w:r>
          </w:p>
        </w:tc>
        <w:tc>
          <w:tcPr>
            <w:tcW w:w="2081" w:type="dxa"/>
            <w:tcBorders>
              <w:top w:val="nil"/>
              <w:left w:val="nil"/>
              <w:bottom w:val="nil"/>
              <w:right w:val="nil"/>
            </w:tcBorders>
            <w:shd w:val="clear" w:color="000000" w:fill="C5D9F1"/>
            <w:noWrap/>
            <w:vAlign w:val="center"/>
            <w:hideMark/>
          </w:tcPr>
          <w:p w14:paraId="5E012457" w14:textId="45214FC3"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(17.992)</w:t>
            </w:r>
          </w:p>
        </w:tc>
        <w:tc>
          <w:tcPr>
            <w:tcW w:w="2572" w:type="dxa"/>
            <w:tcBorders>
              <w:top w:val="nil"/>
              <w:left w:val="nil"/>
              <w:bottom w:val="nil"/>
              <w:right w:val="single" w:sz="4" w:space="0" w:color="4F81BD"/>
            </w:tcBorders>
            <w:noWrap/>
            <w:vAlign w:val="center"/>
            <w:hideMark/>
          </w:tcPr>
          <w:p w14:paraId="6CDBF5A5" w14:textId="545D807A"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(23.458)</w:t>
            </w:r>
          </w:p>
        </w:tc>
      </w:tr>
      <w:tr w:rsidR="0030564C" w:rsidRPr="009209EF" w14:paraId="0D361C33" w14:textId="77777777" w:rsidTr="0030564C">
        <w:trPr>
          <w:trHeight w:val="20"/>
        </w:trPr>
        <w:tc>
          <w:tcPr>
            <w:tcW w:w="6213" w:type="dxa"/>
            <w:tcBorders>
              <w:top w:val="nil"/>
              <w:left w:val="single" w:sz="4" w:space="0" w:color="4F81BD"/>
              <w:bottom w:val="nil"/>
              <w:right w:val="nil"/>
            </w:tcBorders>
            <w:vAlign w:val="center"/>
            <w:hideMark/>
          </w:tcPr>
          <w:p w14:paraId="35AD1228" w14:textId="77777777"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Κέρδη πριν από φόρους</w:t>
            </w:r>
          </w:p>
        </w:tc>
        <w:tc>
          <w:tcPr>
            <w:tcW w:w="2081" w:type="dxa"/>
            <w:tcBorders>
              <w:top w:val="nil"/>
              <w:left w:val="nil"/>
              <w:bottom w:val="nil"/>
              <w:right w:val="nil"/>
            </w:tcBorders>
            <w:shd w:val="clear" w:color="000000" w:fill="C5D9F1"/>
            <w:noWrap/>
            <w:vAlign w:val="center"/>
            <w:hideMark/>
          </w:tcPr>
          <w:p w14:paraId="4B9E5BB4" w14:textId="068D01C9"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88.732</w:t>
            </w:r>
          </w:p>
        </w:tc>
        <w:tc>
          <w:tcPr>
            <w:tcW w:w="2572" w:type="dxa"/>
            <w:tcBorders>
              <w:top w:val="nil"/>
              <w:left w:val="nil"/>
              <w:bottom w:val="nil"/>
              <w:right w:val="single" w:sz="4" w:space="0" w:color="4F81BD"/>
            </w:tcBorders>
            <w:noWrap/>
            <w:vAlign w:val="center"/>
            <w:hideMark/>
          </w:tcPr>
          <w:p w14:paraId="1530D3B2" w14:textId="40092606"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59.942</w:t>
            </w:r>
          </w:p>
        </w:tc>
      </w:tr>
      <w:tr w:rsidR="0030564C" w:rsidRPr="009209EF" w14:paraId="4361C585" w14:textId="77777777" w:rsidTr="0030564C">
        <w:trPr>
          <w:trHeight w:val="20"/>
        </w:trPr>
        <w:tc>
          <w:tcPr>
            <w:tcW w:w="6213" w:type="dxa"/>
            <w:tcBorders>
              <w:top w:val="nil"/>
              <w:left w:val="single" w:sz="4" w:space="0" w:color="4F81BD"/>
              <w:bottom w:val="nil"/>
              <w:right w:val="nil"/>
            </w:tcBorders>
            <w:vAlign w:val="center"/>
            <w:hideMark/>
          </w:tcPr>
          <w:p w14:paraId="6FE47D68" w14:textId="77777777"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Κέρδη μετά από φόρους</w:t>
            </w:r>
          </w:p>
        </w:tc>
        <w:tc>
          <w:tcPr>
            <w:tcW w:w="2081" w:type="dxa"/>
            <w:tcBorders>
              <w:top w:val="nil"/>
              <w:left w:val="nil"/>
              <w:bottom w:val="nil"/>
              <w:right w:val="nil"/>
            </w:tcBorders>
            <w:shd w:val="clear" w:color="000000" w:fill="C5D9F1"/>
            <w:noWrap/>
            <w:vAlign w:val="center"/>
            <w:hideMark/>
          </w:tcPr>
          <w:p w14:paraId="2BABF76B" w14:textId="518F3558"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74.021</w:t>
            </w:r>
          </w:p>
        </w:tc>
        <w:tc>
          <w:tcPr>
            <w:tcW w:w="2572" w:type="dxa"/>
            <w:tcBorders>
              <w:top w:val="nil"/>
              <w:left w:val="nil"/>
              <w:bottom w:val="nil"/>
              <w:right w:val="single" w:sz="4" w:space="0" w:color="4F81BD"/>
            </w:tcBorders>
            <w:noWrap/>
            <w:vAlign w:val="center"/>
            <w:hideMark/>
          </w:tcPr>
          <w:p w14:paraId="7F3F886D" w14:textId="554371CF"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50.975</w:t>
            </w:r>
          </w:p>
        </w:tc>
      </w:tr>
      <w:tr w:rsidR="0030564C" w:rsidRPr="009209EF" w14:paraId="7FED0578" w14:textId="77777777" w:rsidTr="0030564C">
        <w:trPr>
          <w:trHeight w:val="20"/>
        </w:trPr>
        <w:tc>
          <w:tcPr>
            <w:tcW w:w="6213" w:type="dxa"/>
            <w:tcBorders>
              <w:top w:val="nil"/>
              <w:left w:val="single" w:sz="4" w:space="0" w:color="4F81BD"/>
              <w:bottom w:val="nil"/>
              <w:right w:val="nil"/>
            </w:tcBorders>
            <w:vAlign w:val="center"/>
            <w:hideMark/>
          </w:tcPr>
          <w:p w14:paraId="18E345FA" w14:textId="77777777"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rPr>
            </w:pPr>
            <w:r w:rsidRPr="0030564C">
              <w:rPr>
                <w:rFonts w:eastAsia="Times New Roman" w:cs="Calibri"/>
                <w:color w:val="000000"/>
                <w:sz w:val="20"/>
                <w:szCs w:val="20"/>
              </w:rPr>
              <w:t>Κέρδη μετά από φόρους &amp; δικαιώματα μειοψηφίας</w:t>
            </w:r>
          </w:p>
        </w:tc>
        <w:tc>
          <w:tcPr>
            <w:tcW w:w="2081" w:type="dxa"/>
            <w:tcBorders>
              <w:top w:val="nil"/>
              <w:left w:val="nil"/>
              <w:right w:val="nil"/>
            </w:tcBorders>
            <w:shd w:val="clear" w:color="000000" w:fill="C5D9F1"/>
            <w:noWrap/>
            <w:vAlign w:val="center"/>
            <w:hideMark/>
          </w:tcPr>
          <w:p w14:paraId="6200464F" w14:textId="1FFBB3B3"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70.878</w:t>
            </w:r>
          </w:p>
        </w:tc>
        <w:tc>
          <w:tcPr>
            <w:tcW w:w="2572" w:type="dxa"/>
            <w:tcBorders>
              <w:top w:val="nil"/>
              <w:left w:val="nil"/>
              <w:bottom w:val="nil"/>
              <w:right w:val="single" w:sz="4" w:space="0" w:color="4F81BD"/>
            </w:tcBorders>
            <w:noWrap/>
            <w:vAlign w:val="center"/>
            <w:hideMark/>
          </w:tcPr>
          <w:p w14:paraId="3F963145" w14:textId="0E1663BE"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46.908</w:t>
            </w:r>
          </w:p>
        </w:tc>
      </w:tr>
      <w:tr w:rsidR="0030564C" w:rsidRPr="009209EF" w14:paraId="67B35343" w14:textId="77777777" w:rsidTr="0030564C">
        <w:trPr>
          <w:trHeight w:val="20"/>
        </w:trPr>
        <w:tc>
          <w:tcPr>
            <w:tcW w:w="6213" w:type="dxa"/>
            <w:tcBorders>
              <w:top w:val="nil"/>
              <w:left w:val="single" w:sz="4" w:space="0" w:color="4F81BD"/>
              <w:bottom w:val="nil"/>
              <w:right w:val="nil"/>
            </w:tcBorders>
            <w:vAlign w:val="center"/>
            <w:hideMark/>
          </w:tcPr>
          <w:p w14:paraId="42F7D1E4" w14:textId="71F25ABD"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Κέρδη ανά μετοχή (€)***</w:t>
            </w:r>
          </w:p>
        </w:tc>
        <w:tc>
          <w:tcPr>
            <w:tcW w:w="2081" w:type="dxa"/>
            <w:tcBorders>
              <w:top w:val="nil"/>
              <w:left w:val="nil"/>
              <w:right w:val="nil"/>
            </w:tcBorders>
            <w:shd w:val="clear" w:color="000000" w:fill="C5D9F1"/>
            <w:noWrap/>
            <w:vAlign w:val="center"/>
            <w:hideMark/>
          </w:tcPr>
          <w:p w14:paraId="383BF710" w14:textId="7EFC4F4D"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0,1891</w:t>
            </w:r>
          </w:p>
        </w:tc>
        <w:tc>
          <w:tcPr>
            <w:tcW w:w="2572" w:type="dxa"/>
            <w:tcBorders>
              <w:top w:val="nil"/>
              <w:left w:val="nil"/>
              <w:right w:val="single" w:sz="4" w:space="0" w:color="4F81BD"/>
            </w:tcBorders>
            <w:noWrap/>
            <w:vAlign w:val="center"/>
            <w:hideMark/>
          </w:tcPr>
          <w:p w14:paraId="6F81F57B" w14:textId="2FE61DC4"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0,1250</w:t>
            </w:r>
          </w:p>
        </w:tc>
      </w:tr>
      <w:tr w:rsidR="0030564C" w:rsidRPr="009209EF" w14:paraId="0A804F46" w14:textId="77777777" w:rsidTr="0030564C">
        <w:trPr>
          <w:trHeight w:val="20"/>
        </w:trPr>
        <w:tc>
          <w:tcPr>
            <w:tcW w:w="6213" w:type="dxa"/>
            <w:tcBorders>
              <w:top w:val="nil"/>
              <w:left w:val="single" w:sz="4" w:space="0" w:color="4F81BD"/>
              <w:bottom w:val="single" w:sz="4" w:space="0" w:color="4F81BD"/>
              <w:right w:val="nil"/>
            </w:tcBorders>
            <w:vAlign w:val="center"/>
          </w:tcPr>
          <w:p w14:paraId="4BB1013B" w14:textId="4C4E7FF4" w:rsidR="0030564C" w:rsidRPr="0030564C" w:rsidRDefault="0030564C" w:rsidP="0030564C">
            <w:pPr>
              <w:widowControl/>
              <w:autoSpaceDE/>
              <w:autoSpaceDN/>
              <w:spacing w:before="100" w:beforeAutospacing="1" w:after="100" w:afterAutospacing="1"/>
              <w:jc w:val="both"/>
              <w:rPr>
                <w:rFonts w:eastAsia="Times New Roman" w:cs="Calibri"/>
                <w:color w:val="000000"/>
                <w:sz w:val="20"/>
                <w:szCs w:val="20"/>
                <w:lang w:val="en-US"/>
              </w:rPr>
            </w:pPr>
            <w:r w:rsidRPr="0030564C">
              <w:rPr>
                <w:rFonts w:eastAsia="Times New Roman" w:cs="Calibri"/>
                <w:color w:val="000000"/>
                <w:sz w:val="20"/>
                <w:szCs w:val="20"/>
                <w:lang w:val="en-US"/>
              </w:rPr>
              <w:t>Καθαρός Δανεισμ</w:t>
            </w:r>
            <w:r w:rsidRPr="0030564C">
              <w:rPr>
                <w:rFonts w:eastAsia="Times New Roman" w:cs="Calibri"/>
                <w:color w:val="000000"/>
                <w:sz w:val="20"/>
                <w:szCs w:val="20"/>
              </w:rPr>
              <w:t>ό</w:t>
            </w:r>
            <w:r w:rsidRPr="0030564C">
              <w:rPr>
                <w:rFonts w:eastAsia="Times New Roman" w:cs="Calibri"/>
                <w:color w:val="000000"/>
                <w:sz w:val="20"/>
                <w:szCs w:val="20"/>
                <w:lang w:val="en-US"/>
              </w:rPr>
              <w:t>ς</w:t>
            </w:r>
          </w:p>
        </w:tc>
        <w:tc>
          <w:tcPr>
            <w:tcW w:w="2081" w:type="dxa"/>
            <w:tcBorders>
              <w:top w:val="nil"/>
              <w:left w:val="nil"/>
              <w:bottom w:val="single" w:sz="4" w:space="0" w:color="4F81BD"/>
              <w:right w:val="nil"/>
            </w:tcBorders>
            <w:shd w:val="clear" w:color="000000" w:fill="C5D9F1"/>
            <w:noWrap/>
            <w:vAlign w:val="center"/>
          </w:tcPr>
          <w:p w14:paraId="6089092D" w14:textId="5725B17E"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sz w:val="20"/>
                <w:szCs w:val="20"/>
              </w:rPr>
              <w:t>629.539</w:t>
            </w:r>
          </w:p>
        </w:tc>
        <w:tc>
          <w:tcPr>
            <w:tcW w:w="2572" w:type="dxa"/>
            <w:tcBorders>
              <w:top w:val="nil"/>
              <w:left w:val="nil"/>
              <w:bottom w:val="single" w:sz="4" w:space="0" w:color="4F81BD"/>
              <w:right w:val="single" w:sz="4" w:space="0" w:color="4F81BD"/>
            </w:tcBorders>
            <w:noWrap/>
            <w:vAlign w:val="center"/>
          </w:tcPr>
          <w:p w14:paraId="0431EDE6" w14:textId="319332B5" w:rsidR="0030564C" w:rsidRPr="0030564C" w:rsidRDefault="0030564C" w:rsidP="0030564C">
            <w:pPr>
              <w:widowControl/>
              <w:autoSpaceDE/>
              <w:autoSpaceDN/>
              <w:spacing w:before="100" w:beforeAutospacing="1" w:after="100" w:afterAutospacing="1"/>
              <w:jc w:val="center"/>
              <w:rPr>
                <w:rFonts w:cs="Calibri"/>
                <w:color w:val="000000"/>
                <w:sz w:val="20"/>
                <w:szCs w:val="20"/>
              </w:rPr>
            </w:pPr>
            <w:r w:rsidRPr="0030564C">
              <w:rPr>
                <w:rFonts w:cs="Calibri"/>
                <w:color w:val="000000"/>
                <w:sz w:val="20"/>
                <w:szCs w:val="20"/>
              </w:rPr>
              <w:t>740.969</w:t>
            </w:r>
          </w:p>
        </w:tc>
      </w:tr>
    </w:tbl>
    <w:p w14:paraId="5EC9F8D6" w14:textId="77777777" w:rsidR="004578EA" w:rsidRPr="00FB2EF4" w:rsidRDefault="004578EA" w:rsidP="000B4EED">
      <w:pPr>
        <w:spacing w:line="200" w:lineRule="exact"/>
        <w:rPr>
          <w:sz w:val="20"/>
          <w:szCs w:val="20"/>
        </w:rPr>
      </w:pPr>
    </w:p>
    <w:p w14:paraId="5AC59E40" w14:textId="77777777" w:rsidR="001C3A26" w:rsidRPr="00FB2EF4" w:rsidRDefault="001C3A26" w:rsidP="000B4EED">
      <w:pPr>
        <w:spacing w:line="200" w:lineRule="exact"/>
        <w:rPr>
          <w:sz w:val="20"/>
          <w:szCs w:val="20"/>
        </w:rPr>
      </w:pPr>
    </w:p>
    <w:p w14:paraId="032425E1" w14:textId="6EB0BF9B" w:rsidR="002A0AF3" w:rsidRPr="00951E90" w:rsidRDefault="002A0AF3" w:rsidP="004F103C">
      <w:pPr>
        <w:spacing w:before="29"/>
        <w:rPr>
          <w:b/>
          <w:bCs/>
          <w:color w:val="A6A6A6" w:themeColor="background1" w:themeShade="A6"/>
          <w:spacing w:val="7"/>
          <w:sz w:val="24"/>
          <w:szCs w:val="24"/>
        </w:rPr>
      </w:pPr>
      <w:r w:rsidRPr="00951E90">
        <w:rPr>
          <w:b/>
          <w:bCs/>
          <w:color w:val="A6A6A6" w:themeColor="background1" w:themeShade="A6"/>
          <w:spacing w:val="7"/>
          <w:sz w:val="24"/>
          <w:szCs w:val="24"/>
        </w:rPr>
        <w:t xml:space="preserve">Κύρια οικονομικά στοιχεία - ανά </w:t>
      </w:r>
      <w:r w:rsidR="000B399C">
        <w:rPr>
          <w:b/>
          <w:bCs/>
          <w:color w:val="A6A6A6" w:themeColor="background1" w:themeShade="A6"/>
          <w:spacing w:val="7"/>
          <w:sz w:val="24"/>
          <w:szCs w:val="24"/>
        </w:rPr>
        <w:t>κ</w:t>
      </w:r>
      <w:r w:rsidRPr="00951E90">
        <w:rPr>
          <w:b/>
          <w:bCs/>
          <w:color w:val="A6A6A6" w:themeColor="background1" w:themeShade="A6"/>
          <w:spacing w:val="7"/>
          <w:sz w:val="24"/>
          <w:szCs w:val="24"/>
        </w:rPr>
        <w:t>λάδο</w:t>
      </w:r>
    </w:p>
    <w:p w14:paraId="6B4AFF8A" w14:textId="77777777" w:rsidR="004578EA" w:rsidRPr="00016DA9" w:rsidRDefault="004578EA" w:rsidP="000B4EED">
      <w:pPr>
        <w:spacing w:before="31"/>
      </w:pPr>
    </w:p>
    <w:p w14:paraId="476DC696" w14:textId="77777777" w:rsidR="004578EA" w:rsidRDefault="004578EA" w:rsidP="000B4EED">
      <w:pPr>
        <w:spacing w:before="3" w:line="170" w:lineRule="exact"/>
        <w:rPr>
          <w:rFonts w:asciiTheme="minorHAnsi" w:hAnsiTheme="minorHAnsi"/>
          <w:sz w:val="16"/>
          <w:szCs w:val="16"/>
        </w:rPr>
      </w:pPr>
    </w:p>
    <w:tbl>
      <w:tblPr>
        <w:tblW w:w="10455" w:type="dxa"/>
        <w:tblLook w:val="04A0" w:firstRow="1" w:lastRow="0" w:firstColumn="1" w:lastColumn="0" w:noHBand="0" w:noVBand="1"/>
      </w:tblPr>
      <w:tblGrid>
        <w:gridCol w:w="1134"/>
        <w:gridCol w:w="1560"/>
        <w:gridCol w:w="1417"/>
        <w:gridCol w:w="284"/>
        <w:gridCol w:w="1673"/>
        <w:gridCol w:w="1455"/>
        <w:gridCol w:w="260"/>
        <w:gridCol w:w="1356"/>
        <w:gridCol w:w="1316"/>
      </w:tblGrid>
      <w:tr w:rsidR="00786988" w:rsidRPr="00786988" w14:paraId="6EEB3848" w14:textId="77777777" w:rsidTr="00942B15">
        <w:trPr>
          <w:trHeight w:val="315"/>
        </w:trPr>
        <w:tc>
          <w:tcPr>
            <w:tcW w:w="1134" w:type="dxa"/>
            <w:tcBorders>
              <w:top w:val="nil"/>
              <w:left w:val="nil"/>
              <w:bottom w:val="nil"/>
              <w:right w:val="nil"/>
            </w:tcBorders>
            <w:noWrap/>
            <w:vAlign w:val="center"/>
            <w:hideMark/>
          </w:tcPr>
          <w:p w14:paraId="3B19776E" w14:textId="77777777" w:rsidR="00786988" w:rsidRPr="00EA3EF8" w:rsidRDefault="00786988" w:rsidP="00786988">
            <w:pPr>
              <w:widowControl/>
              <w:autoSpaceDE/>
              <w:autoSpaceDN/>
              <w:rPr>
                <w:rFonts w:ascii="Times New Roman" w:eastAsia="Times New Roman" w:hAnsi="Times New Roman" w:cs="Times New Roman"/>
                <w:sz w:val="24"/>
                <w:szCs w:val="24"/>
              </w:rPr>
            </w:pPr>
          </w:p>
        </w:tc>
        <w:tc>
          <w:tcPr>
            <w:tcW w:w="2977" w:type="dxa"/>
            <w:gridSpan w:val="2"/>
            <w:tcBorders>
              <w:top w:val="nil"/>
              <w:left w:val="nil"/>
              <w:bottom w:val="nil"/>
              <w:right w:val="nil"/>
            </w:tcBorders>
            <w:shd w:val="clear" w:color="000000" w:fill="4F81BD"/>
            <w:vAlign w:val="center"/>
            <w:hideMark/>
          </w:tcPr>
          <w:p w14:paraId="5B077A8C" w14:textId="77777777" w:rsidR="00786988" w:rsidRPr="00786988" w:rsidRDefault="00786988" w:rsidP="00786988">
            <w:pPr>
              <w:widowControl/>
              <w:autoSpaceDE/>
              <w:autoSpaceDN/>
              <w:jc w:val="center"/>
              <w:rPr>
                <w:rFonts w:eastAsia="Times New Roman" w:cs="Calibri"/>
                <w:b/>
                <w:bCs/>
                <w:color w:val="FFFFFF"/>
                <w:sz w:val="16"/>
                <w:szCs w:val="16"/>
                <w:lang w:val="en-US"/>
              </w:rPr>
            </w:pPr>
            <w:r w:rsidRPr="00786988">
              <w:rPr>
                <w:rFonts w:eastAsia="Times New Roman" w:cs="Calibri"/>
                <w:b/>
                <w:bCs/>
                <w:color w:val="FFFFFF"/>
                <w:sz w:val="16"/>
                <w:szCs w:val="16"/>
              </w:rPr>
              <w:t>Αλουμίνιο</w:t>
            </w:r>
          </w:p>
        </w:tc>
        <w:tc>
          <w:tcPr>
            <w:tcW w:w="284" w:type="dxa"/>
            <w:tcBorders>
              <w:top w:val="nil"/>
              <w:left w:val="nil"/>
              <w:bottom w:val="nil"/>
              <w:right w:val="nil"/>
            </w:tcBorders>
            <w:noWrap/>
            <w:vAlign w:val="bottom"/>
            <w:hideMark/>
          </w:tcPr>
          <w:p w14:paraId="48F5208E" w14:textId="77777777" w:rsidR="00786988" w:rsidRPr="00786988" w:rsidRDefault="00786988" w:rsidP="00786988">
            <w:pPr>
              <w:widowControl/>
              <w:autoSpaceDE/>
              <w:autoSpaceDN/>
              <w:jc w:val="center"/>
              <w:rPr>
                <w:rFonts w:eastAsia="Times New Roman" w:cs="Calibri"/>
                <w:b/>
                <w:bCs/>
                <w:color w:val="FFFFFF"/>
                <w:sz w:val="16"/>
                <w:szCs w:val="16"/>
                <w:lang w:val="en-US"/>
              </w:rPr>
            </w:pPr>
          </w:p>
        </w:tc>
        <w:tc>
          <w:tcPr>
            <w:tcW w:w="3128" w:type="dxa"/>
            <w:gridSpan w:val="2"/>
            <w:tcBorders>
              <w:top w:val="nil"/>
              <w:left w:val="nil"/>
              <w:bottom w:val="nil"/>
              <w:right w:val="nil"/>
            </w:tcBorders>
            <w:shd w:val="clear" w:color="000000" w:fill="4F81BD"/>
            <w:vAlign w:val="center"/>
            <w:hideMark/>
          </w:tcPr>
          <w:p w14:paraId="27E12B62" w14:textId="30C69B60" w:rsidR="00786988" w:rsidRPr="00786988" w:rsidRDefault="00786988" w:rsidP="00786988">
            <w:pPr>
              <w:widowControl/>
              <w:autoSpaceDE/>
              <w:autoSpaceDN/>
              <w:jc w:val="center"/>
              <w:rPr>
                <w:rFonts w:eastAsia="Times New Roman" w:cs="Calibri"/>
                <w:b/>
                <w:bCs/>
                <w:color w:val="FFFFFF"/>
                <w:sz w:val="16"/>
                <w:szCs w:val="16"/>
                <w:lang w:val="en-US"/>
              </w:rPr>
            </w:pPr>
            <w:r w:rsidRPr="00786988">
              <w:rPr>
                <w:rFonts w:eastAsia="Times New Roman" w:cs="Calibri"/>
                <w:b/>
                <w:bCs/>
                <w:color w:val="FFFFFF"/>
                <w:sz w:val="16"/>
                <w:szCs w:val="16"/>
              </w:rPr>
              <w:t>Χαλκός</w:t>
            </w:r>
          </w:p>
        </w:tc>
        <w:tc>
          <w:tcPr>
            <w:tcW w:w="260" w:type="dxa"/>
            <w:tcBorders>
              <w:top w:val="nil"/>
              <w:left w:val="nil"/>
              <w:bottom w:val="nil"/>
              <w:right w:val="nil"/>
            </w:tcBorders>
            <w:noWrap/>
            <w:vAlign w:val="bottom"/>
            <w:hideMark/>
          </w:tcPr>
          <w:p w14:paraId="044A248C" w14:textId="77777777" w:rsidR="00786988" w:rsidRPr="00786988" w:rsidRDefault="00786988" w:rsidP="00786988">
            <w:pPr>
              <w:widowControl/>
              <w:autoSpaceDE/>
              <w:autoSpaceDN/>
              <w:jc w:val="center"/>
              <w:rPr>
                <w:rFonts w:eastAsia="Times New Roman" w:cs="Calibri"/>
                <w:b/>
                <w:bCs/>
                <w:color w:val="FFFFFF"/>
                <w:sz w:val="16"/>
                <w:szCs w:val="16"/>
                <w:lang w:val="en-US"/>
              </w:rPr>
            </w:pPr>
          </w:p>
        </w:tc>
        <w:tc>
          <w:tcPr>
            <w:tcW w:w="2672" w:type="dxa"/>
            <w:gridSpan w:val="2"/>
            <w:tcBorders>
              <w:top w:val="nil"/>
              <w:left w:val="nil"/>
              <w:bottom w:val="nil"/>
              <w:right w:val="nil"/>
            </w:tcBorders>
            <w:shd w:val="clear" w:color="000000" w:fill="4F81BD"/>
            <w:vAlign w:val="center"/>
            <w:hideMark/>
          </w:tcPr>
          <w:p w14:paraId="2B68CF73" w14:textId="77777777" w:rsidR="00786988" w:rsidRPr="00786988" w:rsidRDefault="00786988" w:rsidP="00786988">
            <w:pPr>
              <w:widowControl/>
              <w:autoSpaceDE/>
              <w:autoSpaceDN/>
              <w:jc w:val="center"/>
              <w:rPr>
                <w:rFonts w:eastAsia="Times New Roman" w:cs="Calibri"/>
                <w:b/>
                <w:bCs/>
                <w:color w:val="FFFFFF"/>
                <w:sz w:val="16"/>
                <w:szCs w:val="16"/>
                <w:lang w:val="en-US"/>
              </w:rPr>
            </w:pPr>
            <w:r w:rsidRPr="00786988">
              <w:rPr>
                <w:rFonts w:eastAsia="Times New Roman" w:cs="Calibri"/>
                <w:b/>
                <w:bCs/>
                <w:color w:val="FFFFFF"/>
                <w:sz w:val="16"/>
                <w:szCs w:val="16"/>
              </w:rPr>
              <w:t>Σύνολο</w:t>
            </w:r>
          </w:p>
        </w:tc>
      </w:tr>
      <w:tr w:rsidR="0089103E" w:rsidRPr="00786988" w14:paraId="5551C29C" w14:textId="77777777" w:rsidTr="00942B15">
        <w:trPr>
          <w:trHeight w:val="353"/>
        </w:trPr>
        <w:tc>
          <w:tcPr>
            <w:tcW w:w="1134" w:type="dxa"/>
            <w:tcBorders>
              <w:top w:val="nil"/>
              <w:left w:val="nil"/>
              <w:bottom w:val="nil"/>
              <w:right w:val="nil"/>
            </w:tcBorders>
            <w:noWrap/>
            <w:vAlign w:val="center"/>
            <w:hideMark/>
          </w:tcPr>
          <w:p w14:paraId="50DB0343" w14:textId="77777777" w:rsidR="0089103E" w:rsidRPr="00786988" w:rsidRDefault="0089103E" w:rsidP="0089103E">
            <w:pPr>
              <w:widowControl/>
              <w:autoSpaceDE/>
              <w:autoSpaceDN/>
              <w:rPr>
                <w:rFonts w:eastAsia="Times New Roman" w:cs="Calibri"/>
                <w:b/>
                <w:bCs/>
                <w:color w:val="000000"/>
                <w:sz w:val="16"/>
                <w:szCs w:val="16"/>
                <w:lang w:val="en-US"/>
              </w:rPr>
            </w:pPr>
            <w:r w:rsidRPr="00786988">
              <w:rPr>
                <w:rFonts w:eastAsia="Times New Roman" w:cs="Calibri"/>
                <w:b/>
                <w:bCs/>
                <w:color w:val="000000"/>
                <w:sz w:val="16"/>
                <w:szCs w:val="16"/>
              </w:rPr>
              <w:t>€’000</w:t>
            </w:r>
          </w:p>
        </w:tc>
        <w:tc>
          <w:tcPr>
            <w:tcW w:w="1560" w:type="dxa"/>
            <w:tcBorders>
              <w:top w:val="nil"/>
              <w:left w:val="dotted" w:sz="4" w:space="0" w:color="C4BD97"/>
              <w:bottom w:val="nil"/>
              <w:right w:val="nil"/>
            </w:tcBorders>
            <w:vAlign w:val="center"/>
            <w:hideMark/>
          </w:tcPr>
          <w:p w14:paraId="7D190AC3" w14:textId="1C418829" w:rsidR="0089103E" w:rsidRPr="00786988" w:rsidRDefault="0089103E" w:rsidP="0089103E">
            <w:pPr>
              <w:widowControl/>
              <w:autoSpaceDE/>
              <w:autoSpaceDN/>
              <w:jc w:val="center"/>
              <w:rPr>
                <w:rFonts w:eastAsia="Times New Roman" w:cs="Calibri"/>
                <w:b/>
                <w:bCs/>
                <w:color w:val="000000"/>
                <w:sz w:val="18"/>
                <w:szCs w:val="18"/>
                <w:lang w:val="en-US"/>
              </w:rPr>
            </w:pPr>
            <w:r>
              <w:rPr>
                <w:rFonts w:cs="Calibri"/>
                <w:b/>
                <w:bCs/>
                <w:color w:val="000000"/>
                <w:sz w:val="18"/>
                <w:szCs w:val="18"/>
              </w:rPr>
              <w:t>30.06.2025</w:t>
            </w:r>
          </w:p>
        </w:tc>
        <w:tc>
          <w:tcPr>
            <w:tcW w:w="1417" w:type="dxa"/>
            <w:tcBorders>
              <w:top w:val="nil"/>
              <w:left w:val="dotted" w:sz="4" w:space="0" w:color="C4BD97"/>
              <w:bottom w:val="nil"/>
              <w:right w:val="nil"/>
            </w:tcBorders>
            <w:vAlign w:val="center"/>
            <w:hideMark/>
          </w:tcPr>
          <w:p w14:paraId="44BECA7C" w14:textId="462741F4" w:rsidR="0089103E" w:rsidRPr="00786988" w:rsidRDefault="0089103E" w:rsidP="0089103E">
            <w:pPr>
              <w:widowControl/>
              <w:autoSpaceDE/>
              <w:autoSpaceDN/>
              <w:jc w:val="center"/>
              <w:rPr>
                <w:rFonts w:eastAsia="Times New Roman" w:cs="Calibri"/>
                <w:b/>
                <w:bCs/>
                <w:color w:val="000000"/>
                <w:sz w:val="18"/>
                <w:szCs w:val="18"/>
                <w:lang w:val="en-US"/>
              </w:rPr>
            </w:pPr>
            <w:r>
              <w:rPr>
                <w:rFonts w:cs="Calibri"/>
                <w:b/>
                <w:bCs/>
                <w:color w:val="000000"/>
                <w:sz w:val="18"/>
                <w:szCs w:val="18"/>
              </w:rPr>
              <w:t>30.06.2024</w:t>
            </w:r>
          </w:p>
        </w:tc>
        <w:tc>
          <w:tcPr>
            <w:tcW w:w="284" w:type="dxa"/>
            <w:tcBorders>
              <w:top w:val="nil"/>
              <w:left w:val="nil"/>
              <w:bottom w:val="nil"/>
              <w:right w:val="nil"/>
            </w:tcBorders>
            <w:noWrap/>
            <w:vAlign w:val="bottom"/>
            <w:hideMark/>
          </w:tcPr>
          <w:p w14:paraId="666AC366" w14:textId="77777777" w:rsidR="0089103E" w:rsidRPr="00786988" w:rsidRDefault="0089103E" w:rsidP="0089103E">
            <w:pPr>
              <w:widowControl/>
              <w:autoSpaceDE/>
              <w:autoSpaceDN/>
              <w:jc w:val="center"/>
              <w:rPr>
                <w:rFonts w:eastAsia="Times New Roman" w:cs="Calibri"/>
                <w:b/>
                <w:bCs/>
                <w:color w:val="000000"/>
                <w:sz w:val="18"/>
                <w:szCs w:val="18"/>
                <w:lang w:val="en-US"/>
              </w:rPr>
            </w:pPr>
          </w:p>
        </w:tc>
        <w:tc>
          <w:tcPr>
            <w:tcW w:w="1673" w:type="dxa"/>
            <w:tcBorders>
              <w:top w:val="nil"/>
              <w:left w:val="dotted" w:sz="4" w:space="0" w:color="C4BD97"/>
              <w:bottom w:val="nil"/>
              <w:right w:val="nil"/>
            </w:tcBorders>
            <w:vAlign w:val="center"/>
            <w:hideMark/>
          </w:tcPr>
          <w:p w14:paraId="28D6FD6B" w14:textId="2EE9C232" w:rsidR="0089103E" w:rsidRPr="00786988" w:rsidRDefault="0089103E" w:rsidP="0089103E">
            <w:pPr>
              <w:widowControl/>
              <w:autoSpaceDE/>
              <w:autoSpaceDN/>
              <w:jc w:val="center"/>
              <w:rPr>
                <w:rFonts w:eastAsia="Times New Roman" w:cs="Calibri"/>
                <w:b/>
                <w:bCs/>
                <w:color w:val="000000"/>
                <w:sz w:val="18"/>
                <w:szCs w:val="18"/>
                <w:lang w:val="en-US"/>
              </w:rPr>
            </w:pPr>
            <w:r>
              <w:rPr>
                <w:rFonts w:cs="Calibri"/>
                <w:b/>
                <w:bCs/>
                <w:color w:val="000000"/>
                <w:sz w:val="18"/>
                <w:szCs w:val="18"/>
              </w:rPr>
              <w:t>30.06.2025</w:t>
            </w:r>
          </w:p>
        </w:tc>
        <w:tc>
          <w:tcPr>
            <w:tcW w:w="1455" w:type="dxa"/>
            <w:tcBorders>
              <w:top w:val="nil"/>
              <w:left w:val="dotted" w:sz="4" w:space="0" w:color="C4BD97"/>
              <w:bottom w:val="nil"/>
              <w:right w:val="nil"/>
            </w:tcBorders>
            <w:vAlign w:val="center"/>
            <w:hideMark/>
          </w:tcPr>
          <w:p w14:paraId="5AC4B1C9" w14:textId="1B338558" w:rsidR="0089103E" w:rsidRPr="00786988" w:rsidRDefault="0089103E" w:rsidP="0089103E">
            <w:pPr>
              <w:widowControl/>
              <w:autoSpaceDE/>
              <w:autoSpaceDN/>
              <w:jc w:val="center"/>
              <w:rPr>
                <w:rFonts w:eastAsia="Times New Roman" w:cs="Calibri"/>
                <w:b/>
                <w:bCs/>
                <w:color w:val="000000"/>
                <w:sz w:val="18"/>
                <w:szCs w:val="18"/>
                <w:lang w:val="en-US"/>
              </w:rPr>
            </w:pPr>
            <w:r>
              <w:rPr>
                <w:rFonts w:cs="Calibri"/>
                <w:b/>
                <w:bCs/>
                <w:color w:val="000000"/>
                <w:sz w:val="18"/>
                <w:szCs w:val="18"/>
              </w:rPr>
              <w:t>30.06.2024</w:t>
            </w:r>
          </w:p>
        </w:tc>
        <w:tc>
          <w:tcPr>
            <w:tcW w:w="260" w:type="dxa"/>
            <w:tcBorders>
              <w:top w:val="nil"/>
              <w:left w:val="nil"/>
              <w:bottom w:val="nil"/>
              <w:right w:val="nil"/>
            </w:tcBorders>
            <w:noWrap/>
            <w:vAlign w:val="bottom"/>
            <w:hideMark/>
          </w:tcPr>
          <w:p w14:paraId="46E54389" w14:textId="77777777" w:rsidR="0089103E" w:rsidRPr="00786988" w:rsidRDefault="0089103E" w:rsidP="0089103E">
            <w:pPr>
              <w:widowControl/>
              <w:autoSpaceDE/>
              <w:autoSpaceDN/>
              <w:jc w:val="center"/>
              <w:rPr>
                <w:rFonts w:eastAsia="Times New Roman" w:cs="Calibri"/>
                <w:b/>
                <w:bCs/>
                <w:color w:val="000000"/>
                <w:sz w:val="18"/>
                <w:szCs w:val="18"/>
                <w:lang w:val="en-US"/>
              </w:rPr>
            </w:pPr>
          </w:p>
        </w:tc>
        <w:tc>
          <w:tcPr>
            <w:tcW w:w="1356" w:type="dxa"/>
            <w:tcBorders>
              <w:top w:val="nil"/>
              <w:left w:val="dotted" w:sz="4" w:space="0" w:color="C4BD97"/>
              <w:bottom w:val="nil"/>
              <w:right w:val="nil"/>
            </w:tcBorders>
            <w:vAlign w:val="center"/>
            <w:hideMark/>
          </w:tcPr>
          <w:p w14:paraId="645CBE9A" w14:textId="3C6E77C2" w:rsidR="0089103E" w:rsidRPr="00786988" w:rsidRDefault="0089103E" w:rsidP="0089103E">
            <w:pPr>
              <w:widowControl/>
              <w:autoSpaceDE/>
              <w:autoSpaceDN/>
              <w:jc w:val="center"/>
              <w:rPr>
                <w:rFonts w:eastAsia="Times New Roman" w:cs="Calibri"/>
                <w:b/>
                <w:bCs/>
                <w:color w:val="000000"/>
                <w:sz w:val="18"/>
                <w:szCs w:val="18"/>
                <w:lang w:val="en-US"/>
              </w:rPr>
            </w:pPr>
            <w:r>
              <w:rPr>
                <w:rFonts w:cs="Calibri"/>
                <w:b/>
                <w:bCs/>
                <w:color w:val="000000"/>
                <w:sz w:val="18"/>
                <w:szCs w:val="18"/>
              </w:rPr>
              <w:t>30.06.2025</w:t>
            </w:r>
          </w:p>
        </w:tc>
        <w:tc>
          <w:tcPr>
            <w:tcW w:w="1316" w:type="dxa"/>
            <w:tcBorders>
              <w:top w:val="nil"/>
              <w:left w:val="dotted" w:sz="4" w:space="0" w:color="C4BD97"/>
              <w:bottom w:val="nil"/>
              <w:right w:val="nil"/>
            </w:tcBorders>
            <w:vAlign w:val="center"/>
            <w:hideMark/>
          </w:tcPr>
          <w:p w14:paraId="5508FFFF" w14:textId="7A5CD254" w:rsidR="0089103E" w:rsidRPr="00786988" w:rsidRDefault="0089103E" w:rsidP="0089103E">
            <w:pPr>
              <w:widowControl/>
              <w:autoSpaceDE/>
              <w:autoSpaceDN/>
              <w:jc w:val="center"/>
              <w:rPr>
                <w:rFonts w:eastAsia="Times New Roman" w:cs="Calibri"/>
                <w:b/>
                <w:bCs/>
                <w:color w:val="000000"/>
                <w:sz w:val="18"/>
                <w:szCs w:val="18"/>
                <w:lang w:val="en-US"/>
              </w:rPr>
            </w:pPr>
            <w:r>
              <w:rPr>
                <w:rFonts w:cs="Calibri"/>
                <w:b/>
                <w:bCs/>
                <w:color w:val="000000"/>
                <w:sz w:val="18"/>
                <w:szCs w:val="18"/>
              </w:rPr>
              <w:t>30.06.2024</w:t>
            </w:r>
          </w:p>
        </w:tc>
      </w:tr>
      <w:tr w:rsidR="0089103E" w:rsidRPr="00786988" w14:paraId="242E705E" w14:textId="77777777" w:rsidTr="001651FE">
        <w:trPr>
          <w:trHeight w:val="285"/>
        </w:trPr>
        <w:tc>
          <w:tcPr>
            <w:tcW w:w="1134" w:type="dxa"/>
            <w:tcBorders>
              <w:top w:val="nil"/>
              <w:left w:val="nil"/>
              <w:bottom w:val="nil"/>
              <w:right w:val="nil"/>
            </w:tcBorders>
            <w:noWrap/>
            <w:vAlign w:val="center"/>
            <w:hideMark/>
          </w:tcPr>
          <w:p w14:paraId="3CA3C6DE" w14:textId="77777777" w:rsidR="0089103E" w:rsidRPr="00786988" w:rsidRDefault="0089103E" w:rsidP="0089103E">
            <w:pPr>
              <w:widowControl/>
              <w:autoSpaceDE/>
              <w:autoSpaceDN/>
              <w:rPr>
                <w:rFonts w:eastAsia="Times New Roman" w:cs="Calibri"/>
                <w:color w:val="000000"/>
                <w:sz w:val="16"/>
                <w:szCs w:val="16"/>
                <w:lang w:val="en-US"/>
              </w:rPr>
            </w:pPr>
            <w:r w:rsidRPr="00786988">
              <w:rPr>
                <w:rFonts w:eastAsia="Times New Roman" w:cs="Calibri"/>
                <w:color w:val="000000"/>
                <w:sz w:val="16"/>
                <w:szCs w:val="16"/>
              </w:rPr>
              <w:t>Πωλήσεις</w:t>
            </w:r>
          </w:p>
        </w:tc>
        <w:tc>
          <w:tcPr>
            <w:tcW w:w="1560" w:type="dxa"/>
            <w:tcBorders>
              <w:top w:val="nil"/>
              <w:left w:val="nil"/>
              <w:bottom w:val="nil"/>
              <w:right w:val="nil"/>
            </w:tcBorders>
            <w:shd w:val="clear" w:color="000000" w:fill="C5D9F1"/>
            <w:noWrap/>
            <w:vAlign w:val="center"/>
            <w:hideMark/>
          </w:tcPr>
          <w:p w14:paraId="72111793" w14:textId="60FF86F5"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936.273</w:t>
            </w:r>
          </w:p>
        </w:tc>
        <w:tc>
          <w:tcPr>
            <w:tcW w:w="1417" w:type="dxa"/>
            <w:tcBorders>
              <w:top w:val="nil"/>
              <w:left w:val="nil"/>
              <w:bottom w:val="nil"/>
              <w:right w:val="nil"/>
            </w:tcBorders>
            <w:noWrap/>
            <w:vAlign w:val="center"/>
            <w:hideMark/>
          </w:tcPr>
          <w:p w14:paraId="14C255F2" w14:textId="220B1FE6"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842.359</w:t>
            </w:r>
          </w:p>
        </w:tc>
        <w:tc>
          <w:tcPr>
            <w:tcW w:w="284" w:type="dxa"/>
            <w:tcBorders>
              <w:top w:val="nil"/>
              <w:left w:val="nil"/>
              <w:bottom w:val="nil"/>
              <w:right w:val="nil"/>
            </w:tcBorders>
            <w:noWrap/>
            <w:vAlign w:val="bottom"/>
            <w:hideMark/>
          </w:tcPr>
          <w:p w14:paraId="7E67DBFC"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673" w:type="dxa"/>
            <w:tcBorders>
              <w:top w:val="nil"/>
              <w:left w:val="nil"/>
              <w:bottom w:val="nil"/>
              <w:right w:val="nil"/>
            </w:tcBorders>
            <w:shd w:val="clear" w:color="000000" w:fill="C5D9F1"/>
            <w:noWrap/>
            <w:vAlign w:val="center"/>
            <w:hideMark/>
          </w:tcPr>
          <w:p w14:paraId="716F3FCA" w14:textId="6CAA9643"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925.739</w:t>
            </w:r>
          </w:p>
        </w:tc>
        <w:tc>
          <w:tcPr>
            <w:tcW w:w="1455" w:type="dxa"/>
            <w:tcBorders>
              <w:top w:val="nil"/>
              <w:left w:val="nil"/>
              <w:bottom w:val="nil"/>
              <w:right w:val="nil"/>
            </w:tcBorders>
            <w:noWrap/>
            <w:vAlign w:val="center"/>
            <w:hideMark/>
          </w:tcPr>
          <w:p w14:paraId="53EF224A" w14:textId="08E6C2A0"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881.222</w:t>
            </w:r>
          </w:p>
        </w:tc>
        <w:tc>
          <w:tcPr>
            <w:tcW w:w="260" w:type="dxa"/>
            <w:tcBorders>
              <w:top w:val="nil"/>
              <w:left w:val="nil"/>
              <w:bottom w:val="nil"/>
              <w:right w:val="nil"/>
            </w:tcBorders>
            <w:noWrap/>
            <w:vAlign w:val="bottom"/>
            <w:hideMark/>
          </w:tcPr>
          <w:p w14:paraId="18035F1B"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356" w:type="dxa"/>
            <w:tcBorders>
              <w:top w:val="nil"/>
              <w:left w:val="nil"/>
              <w:bottom w:val="nil"/>
              <w:right w:val="nil"/>
            </w:tcBorders>
            <w:shd w:val="clear" w:color="000000" w:fill="C5D9F1"/>
            <w:noWrap/>
            <w:vAlign w:val="center"/>
            <w:hideMark/>
          </w:tcPr>
          <w:p w14:paraId="546449B4" w14:textId="086BFB8B"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1.862.012</w:t>
            </w:r>
          </w:p>
        </w:tc>
        <w:tc>
          <w:tcPr>
            <w:tcW w:w="1316" w:type="dxa"/>
            <w:tcBorders>
              <w:top w:val="nil"/>
              <w:left w:val="nil"/>
              <w:bottom w:val="nil"/>
              <w:right w:val="nil"/>
            </w:tcBorders>
            <w:noWrap/>
            <w:vAlign w:val="center"/>
            <w:hideMark/>
          </w:tcPr>
          <w:p w14:paraId="266C4F64" w14:textId="087EB748"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1.723.581</w:t>
            </w:r>
          </w:p>
        </w:tc>
      </w:tr>
      <w:tr w:rsidR="0089103E" w:rsidRPr="00786988" w14:paraId="5F114970" w14:textId="77777777" w:rsidTr="001651FE">
        <w:trPr>
          <w:trHeight w:val="300"/>
        </w:trPr>
        <w:tc>
          <w:tcPr>
            <w:tcW w:w="1134" w:type="dxa"/>
            <w:tcBorders>
              <w:top w:val="nil"/>
              <w:left w:val="nil"/>
              <w:bottom w:val="nil"/>
              <w:right w:val="nil"/>
            </w:tcBorders>
            <w:noWrap/>
            <w:vAlign w:val="center"/>
            <w:hideMark/>
          </w:tcPr>
          <w:p w14:paraId="2499931A" w14:textId="77777777" w:rsidR="0089103E" w:rsidRPr="00786988" w:rsidRDefault="0089103E" w:rsidP="0089103E">
            <w:pPr>
              <w:widowControl/>
              <w:autoSpaceDE/>
              <w:autoSpaceDN/>
              <w:rPr>
                <w:rFonts w:eastAsia="Times New Roman" w:cs="Calibri"/>
                <w:color w:val="000000"/>
                <w:sz w:val="16"/>
                <w:szCs w:val="16"/>
                <w:lang w:val="en-US"/>
              </w:rPr>
            </w:pPr>
            <w:r w:rsidRPr="00786988">
              <w:rPr>
                <w:rFonts w:eastAsia="Times New Roman" w:cs="Calibri"/>
                <w:color w:val="000000"/>
                <w:sz w:val="16"/>
                <w:szCs w:val="16"/>
              </w:rPr>
              <w:t>EBITDA</w:t>
            </w:r>
          </w:p>
        </w:tc>
        <w:tc>
          <w:tcPr>
            <w:tcW w:w="1560" w:type="dxa"/>
            <w:tcBorders>
              <w:top w:val="nil"/>
              <w:left w:val="nil"/>
              <w:bottom w:val="nil"/>
              <w:right w:val="nil"/>
            </w:tcBorders>
            <w:shd w:val="clear" w:color="000000" w:fill="C5D9F1"/>
            <w:noWrap/>
            <w:vAlign w:val="center"/>
            <w:hideMark/>
          </w:tcPr>
          <w:p w14:paraId="32AD14D4" w14:textId="102218B3"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90.887</w:t>
            </w:r>
          </w:p>
        </w:tc>
        <w:tc>
          <w:tcPr>
            <w:tcW w:w="1417" w:type="dxa"/>
            <w:tcBorders>
              <w:top w:val="nil"/>
              <w:left w:val="nil"/>
              <w:bottom w:val="nil"/>
              <w:right w:val="nil"/>
            </w:tcBorders>
            <w:noWrap/>
            <w:vAlign w:val="center"/>
            <w:hideMark/>
          </w:tcPr>
          <w:p w14:paraId="3504CE53" w14:textId="13F6B6E2"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45.637</w:t>
            </w:r>
          </w:p>
        </w:tc>
        <w:tc>
          <w:tcPr>
            <w:tcW w:w="284" w:type="dxa"/>
            <w:tcBorders>
              <w:top w:val="nil"/>
              <w:left w:val="nil"/>
              <w:bottom w:val="nil"/>
              <w:right w:val="nil"/>
            </w:tcBorders>
            <w:noWrap/>
            <w:vAlign w:val="bottom"/>
            <w:hideMark/>
          </w:tcPr>
          <w:p w14:paraId="146C20AB"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673" w:type="dxa"/>
            <w:tcBorders>
              <w:top w:val="nil"/>
              <w:left w:val="nil"/>
              <w:bottom w:val="nil"/>
              <w:right w:val="nil"/>
            </w:tcBorders>
            <w:shd w:val="clear" w:color="000000" w:fill="C5D9F1"/>
            <w:noWrap/>
            <w:vAlign w:val="center"/>
            <w:hideMark/>
          </w:tcPr>
          <w:p w14:paraId="132E03C9" w14:textId="02CC2244"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48.165</w:t>
            </w:r>
          </w:p>
        </w:tc>
        <w:tc>
          <w:tcPr>
            <w:tcW w:w="1455" w:type="dxa"/>
            <w:tcBorders>
              <w:top w:val="nil"/>
              <w:left w:val="nil"/>
              <w:bottom w:val="nil"/>
              <w:right w:val="nil"/>
            </w:tcBorders>
            <w:noWrap/>
            <w:vAlign w:val="center"/>
            <w:hideMark/>
          </w:tcPr>
          <w:p w14:paraId="6753EA51" w14:textId="1DFC181F"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69.446</w:t>
            </w:r>
          </w:p>
        </w:tc>
        <w:tc>
          <w:tcPr>
            <w:tcW w:w="260" w:type="dxa"/>
            <w:tcBorders>
              <w:top w:val="nil"/>
              <w:left w:val="nil"/>
              <w:bottom w:val="nil"/>
              <w:right w:val="nil"/>
            </w:tcBorders>
            <w:noWrap/>
            <w:vAlign w:val="bottom"/>
            <w:hideMark/>
          </w:tcPr>
          <w:p w14:paraId="19511D63"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356" w:type="dxa"/>
            <w:tcBorders>
              <w:top w:val="nil"/>
              <w:left w:val="nil"/>
              <w:bottom w:val="nil"/>
              <w:right w:val="nil"/>
            </w:tcBorders>
            <w:shd w:val="clear" w:color="000000" w:fill="C5D9F1"/>
            <w:noWrap/>
            <w:vAlign w:val="center"/>
            <w:hideMark/>
          </w:tcPr>
          <w:p w14:paraId="57E13163" w14:textId="3213422B"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139.052</w:t>
            </w:r>
          </w:p>
        </w:tc>
        <w:tc>
          <w:tcPr>
            <w:tcW w:w="1316" w:type="dxa"/>
            <w:tcBorders>
              <w:top w:val="nil"/>
              <w:left w:val="nil"/>
              <w:bottom w:val="nil"/>
              <w:right w:val="nil"/>
            </w:tcBorders>
            <w:noWrap/>
            <w:vAlign w:val="center"/>
            <w:hideMark/>
          </w:tcPr>
          <w:p w14:paraId="7530754F" w14:textId="157A7BA9"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115.083</w:t>
            </w:r>
          </w:p>
        </w:tc>
      </w:tr>
      <w:tr w:rsidR="0089103E" w:rsidRPr="00786988" w14:paraId="63F2BCC0" w14:textId="77777777" w:rsidTr="001651FE">
        <w:trPr>
          <w:trHeight w:val="285"/>
        </w:trPr>
        <w:tc>
          <w:tcPr>
            <w:tcW w:w="1134" w:type="dxa"/>
            <w:tcBorders>
              <w:top w:val="nil"/>
              <w:left w:val="nil"/>
              <w:bottom w:val="nil"/>
              <w:right w:val="nil"/>
            </w:tcBorders>
            <w:noWrap/>
            <w:vAlign w:val="center"/>
            <w:hideMark/>
          </w:tcPr>
          <w:p w14:paraId="353B43B3" w14:textId="40687371" w:rsidR="0089103E" w:rsidRPr="00AE55CA" w:rsidRDefault="0089103E" w:rsidP="0089103E">
            <w:pPr>
              <w:widowControl/>
              <w:autoSpaceDE/>
              <w:autoSpaceDN/>
              <w:rPr>
                <w:rFonts w:eastAsia="Times New Roman" w:cs="Calibri"/>
                <w:color w:val="000000"/>
                <w:sz w:val="16"/>
                <w:szCs w:val="16"/>
                <w:lang w:val="en-US"/>
              </w:rPr>
            </w:pPr>
            <w:r w:rsidRPr="00786988">
              <w:rPr>
                <w:rFonts w:eastAsia="Times New Roman" w:cs="Calibri"/>
                <w:color w:val="000000"/>
                <w:sz w:val="16"/>
                <w:szCs w:val="16"/>
              </w:rPr>
              <w:footnoteReference w:customMarkFollows="1" w:id="2"/>
              <w:t>a-EBITDA</w:t>
            </w:r>
            <w:r>
              <w:rPr>
                <w:rStyle w:val="FootnoteReference"/>
                <w:rFonts w:eastAsia="Times New Roman" w:cs="Calibri"/>
                <w:color w:val="000000"/>
                <w:sz w:val="16"/>
                <w:szCs w:val="16"/>
                <w:lang w:val="en-US"/>
              </w:rPr>
              <w:footnoteReference w:customMarkFollows="1" w:id="3"/>
              <w:t>*</w:t>
            </w:r>
          </w:p>
        </w:tc>
        <w:tc>
          <w:tcPr>
            <w:tcW w:w="1560" w:type="dxa"/>
            <w:tcBorders>
              <w:top w:val="nil"/>
              <w:left w:val="nil"/>
              <w:bottom w:val="nil"/>
              <w:right w:val="nil"/>
            </w:tcBorders>
            <w:shd w:val="clear" w:color="000000" w:fill="C5D9F1"/>
            <w:noWrap/>
            <w:vAlign w:val="center"/>
            <w:hideMark/>
          </w:tcPr>
          <w:p w14:paraId="3DA10717" w14:textId="02FF2BE7"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81.419</w:t>
            </w:r>
          </w:p>
        </w:tc>
        <w:tc>
          <w:tcPr>
            <w:tcW w:w="1417" w:type="dxa"/>
            <w:tcBorders>
              <w:top w:val="nil"/>
              <w:left w:val="nil"/>
              <w:bottom w:val="nil"/>
              <w:right w:val="nil"/>
            </w:tcBorders>
            <w:noWrap/>
            <w:vAlign w:val="center"/>
            <w:hideMark/>
          </w:tcPr>
          <w:p w14:paraId="6599C7C2" w14:textId="5347A5EB"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55.907</w:t>
            </w:r>
          </w:p>
        </w:tc>
        <w:tc>
          <w:tcPr>
            <w:tcW w:w="284" w:type="dxa"/>
            <w:tcBorders>
              <w:top w:val="nil"/>
              <w:left w:val="nil"/>
              <w:bottom w:val="nil"/>
              <w:right w:val="nil"/>
            </w:tcBorders>
            <w:noWrap/>
            <w:vAlign w:val="bottom"/>
            <w:hideMark/>
          </w:tcPr>
          <w:p w14:paraId="5791457A"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673" w:type="dxa"/>
            <w:tcBorders>
              <w:top w:val="nil"/>
              <w:left w:val="nil"/>
              <w:bottom w:val="nil"/>
              <w:right w:val="nil"/>
            </w:tcBorders>
            <w:shd w:val="clear" w:color="000000" w:fill="C5D9F1"/>
            <w:noWrap/>
            <w:vAlign w:val="center"/>
            <w:hideMark/>
          </w:tcPr>
          <w:p w14:paraId="7B2337A7" w14:textId="146C317D"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53.002</w:t>
            </w:r>
          </w:p>
        </w:tc>
        <w:tc>
          <w:tcPr>
            <w:tcW w:w="1455" w:type="dxa"/>
            <w:tcBorders>
              <w:top w:val="nil"/>
              <w:left w:val="nil"/>
              <w:bottom w:val="nil"/>
              <w:right w:val="nil"/>
            </w:tcBorders>
            <w:noWrap/>
            <w:vAlign w:val="center"/>
            <w:hideMark/>
          </w:tcPr>
          <w:p w14:paraId="111AF5CF" w14:textId="1BA51BC1"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57.883</w:t>
            </w:r>
          </w:p>
        </w:tc>
        <w:tc>
          <w:tcPr>
            <w:tcW w:w="260" w:type="dxa"/>
            <w:tcBorders>
              <w:top w:val="nil"/>
              <w:left w:val="nil"/>
              <w:bottom w:val="nil"/>
              <w:right w:val="nil"/>
            </w:tcBorders>
            <w:noWrap/>
            <w:vAlign w:val="bottom"/>
            <w:hideMark/>
          </w:tcPr>
          <w:p w14:paraId="5254CEA7"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356" w:type="dxa"/>
            <w:tcBorders>
              <w:top w:val="nil"/>
              <w:left w:val="nil"/>
              <w:bottom w:val="nil"/>
              <w:right w:val="nil"/>
            </w:tcBorders>
            <w:shd w:val="clear" w:color="000000" w:fill="C5D9F1"/>
            <w:noWrap/>
            <w:vAlign w:val="center"/>
            <w:hideMark/>
          </w:tcPr>
          <w:p w14:paraId="1A88CF50" w14:textId="2DB0889B"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134.420</w:t>
            </w:r>
          </w:p>
        </w:tc>
        <w:tc>
          <w:tcPr>
            <w:tcW w:w="1316" w:type="dxa"/>
            <w:tcBorders>
              <w:top w:val="nil"/>
              <w:left w:val="nil"/>
              <w:bottom w:val="nil"/>
              <w:right w:val="nil"/>
            </w:tcBorders>
            <w:noWrap/>
            <w:vAlign w:val="center"/>
            <w:hideMark/>
          </w:tcPr>
          <w:p w14:paraId="0D85E018" w14:textId="7B291201"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113.789</w:t>
            </w:r>
          </w:p>
        </w:tc>
      </w:tr>
      <w:tr w:rsidR="0089103E" w:rsidRPr="00786988" w14:paraId="2E8F175D" w14:textId="77777777" w:rsidTr="001651FE">
        <w:trPr>
          <w:trHeight w:val="285"/>
        </w:trPr>
        <w:tc>
          <w:tcPr>
            <w:tcW w:w="1134" w:type="dxa"/>
            <w:tcBorders>
              <w:top w:val="nil"/>
              <w:left w:val="nil"/>
              <w:bottom w:val="nil"/>
              <w:right w:val="nil"/>
            </w:tcBorders>
            <w:noWrap/>
            <w:vAlign w:val="center"/>
            <w:hideMark/>
          </w:tcPr>
          <w:p w14:paraId="72400F41" w14:textId="77777777" w:rsidR="0089103E" w:rsidRPr="00786988" w:rsidRDefault="0089103E" w:rsidP="0089103E">
            <w:pPr>
              <w:widowControl/>
              <w:autoSpaceDE/>
              <w:autoSpaceDN/>
              <w:rPr>
                <w:rFonts w:eastAsia="Times New Roman" w:cs="Calibri"/>
                <w:color w:val="000000"/>
                <w:sz w:val="16"/>
                <w:szCs w:val="16"/>
                <w:lang w:val="en-US"/>
              </w:rPr>
            </w:pPr>
            <w:r w:rsidRPr="00786988">
              <w:rPr>
                <w:rFonts w:eastAsia="Times New Roman" w:cs="Calibri"/>
                <w:color w:val="000000"/>
                <w:sz w:val="16"/>
                <w:szCs w:val="16"/>
              </w:rPr>
              <w:t>EBIT</w:t>
            </w:r>
          </w:p>
        </w:tc>
        <w:tc>
          <w:tcPr>
            <w:tcW w:w="1560" w:type="dxa"/>
            <w:tcBorders>
              <w:top w:val="nil"/>
              <w:left w:val="nil"/>
              <w:bottom w:val="nil"/>
              <w:right w:val="nil"/>
            </w:tcBorders>
            <w:shd w:val="clear" w:color="000000" w:fill="C5D9F1"/>
            <w:noWrap/>
            <w:vAlign w:val="center"/>
            <w:hideMark/>
          </w:tcPr>
          <w:p w14:paraId="1E9613F8" w14:textId="006D8B71"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66.896</w:t>
            </w:r>
          </w:p>
        </w:tc>
        <w:tc>
          <w:tcPr>
            <w:tcW w:w="1417" w:type="dxa"/>
            <w:tcBorders>
              <w:top w:val="nil"/>
              <w:left w:val="nil"/>
              <w:bottom w:val="nil"/>
              <w:right w:val="nil"/>
            </w:tcBorders>
            <w:noWrap/>
            <w:vAlign w:val="center"/>
            <w:hideMark/>
          </w:tcPr>
          <w:p w14:paraId="7E88E589" w14:textId="442D99C1"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22.322</w:t>
            </w:r>
          </w:p>
        </w:tc>
        <w:tc>
          <w:tcPr>
            <w:tcW w:w="284" w:type="dxa"/>
            <w:tcBorders>
              <w:top w:val="nil"/>
              <w:left w:val="nil"/>
              <w:bottom w:val="nil"/>
              <w:right w:val="nil"/>
            </w:tcBorders>
            <w:noWrap/>
            <w:vAlign w:val="bottom"/>
            <w:hideMark/>
          </w:tcPr>
          <w:p w14:paraId="64DAADCE"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673" w:type="dxa"/>
            <w:tcBorders>
              <w:top w:val="nil"/>
              <w:left w:val="nil"/>
              <w:bottom w:val="nil"/>
              <w:right w:val="nil"/>
            </w:tcBorders>
            <w:shd w:val="clear" w:color="000000" w:fill="C5D9F1"/>
            <w:noWrap/>
            <w:vAlign w:val="center"/>
            <w:hideMark/>
          </w:tcPr>
          <w:p w14:paraId="344AAD8D" w14:textId="68F3FFEB"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37.877</w:t>
            </w:r>
          </w:p>
        </w:tc>
        <w:tc>
          <w:tcPr>
            <w:tcW w:w="1455" w:type="dxa"/>
            <w:tcBorders>
              <w:top w:val="nil"/>
              <w:left w:val="nil"/>
              <w:bottom w:val="nil"/>
              <w:right w:val="nil"/>
            </w:tcBorders>
            <w:noWrap/>
            <w:vAlign w:val="center"/>
            <w:hideMark/>
          </w:tcPr>
          <w:p w14:paraId="2FF0BB69" w14:textId="6B62BC37"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59.642</w:t>
            </w:r>
          </w:p>
        </w:tc>
        <w:tc>
          <w:tcPr>
            <w:tcW w:w="260" w:type="dxa"/>
            <w:tcBorders>
              <w:top w:val="nil"/>
              <w:left w:val="nil"/>
              <w:bottom w:val="nil"/>
              <w:right w:val="nil"/>
            </w:tcBorders>
            <w:noWrap/>
            <w:vAlign w:val="bottom"/>
            <w:hideMark/>
          </w:tcPr>
          <w:p w14:paraId="41528608"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356" w:type="dxa"/>
            <w:tcBorders>
              <w:top w:val="nil"/>
              <w:left w:val="nil"/>
              <w:bottom w:val="nil"/>
              <w:right w:val="nil"/>
            </w:tcBorders>
            <w:shd w:val="clear" w:color="000000" w:fill="C5D9F1"/>
            <w:noWrap/>
            <w:vAlign w:val="center"/>
            <w:hideMark/>
          </w:tcPr>
          <w:p w14:paraId="15ECC769" w14:textId="5430B25A"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104.773</w:t>
            </w:r>
          </w:p>
        </w:tc>
        <w:tc>
          <w:tcPr>
            <w:tcW w:w="1316" w:type="dxa"/>
            <w:tcBorders>
              <w:top w:val="nil"/>
              <w:left w:val="nil"/>
              <w:bottom w:val="nil"/>
              <w:right w:val="nil"/>
            </w:tcBorders>
            <w:noWrap/>
            <w:vAlign w:val="center"/>
            <w:hideMark/>
          </w:tcPr>
          <w:p w14:paraId="37AACD34" w14:textId="3B07B7D1"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81.965</w:t>
            </w:r>
          </w:p>
        </w:tc>
      </w:tr>
      <w:tr w:rsidR="0089103E" w:rsidRPr="00786988" w14:paraId="1E8A7004" w14:textId="77777777" w:rsidTr="001651FE">
        <w:trPr>
          <w:trHeight w:val="285"/>
        </w:trPr>
        <w:tc>
          <w:tcPr>
            <w:tcW w:w="1134" w:type="dxa"/>
            <w:tcBorders>
              <w:top w:val="nil"/>
              <w:left w:val="nil"/>
              <w:bottom w:val="nil"/>
              <w:right w:val="nil"/>
            </w:tcBorders>
            <w:noWrap/>
            <w:vAlign w:val="center"/>
            <w:hideMark/>
          </w:tcPr>
          <w:p w14:paraId="42800B99" w14:textId="5B0EEE48" w:rsidR="0089103E" w:rsidRPr="00AE55CA" w:rsidRDefault="0089103E" w:rsidP="0089103E">
            <w:pPr>
              <w:widowControl/>
              <w:autoSpaceDE/>
              <w:autoSpaceDN/>
              <w:rPr>
                <w:rFonts w:eastAsia="Times New Roman" w:cs="Calibri"/>
                <w:color w:val="000000"/>
                <w:sz w:val="16"/>
                <w:szCs w:val="16"/>
                <w:lang w:val="en-US"/>
              </w:rPr>
            </w:pPr>
            <w:r w:rsidRPr="00786988">
              <w:rPr>
                <w:rFonts w:eastAsia="Times New Roman" w:cs="Calibri"/>
                <w:color w:val="000000"/>
                <w:sz w:val="16"/>
                <w:szCs w:val="16"/>
              </w:rPr>
              <w:footnoteReference w:customMarkFollows="1" w:id="4"/>
              <w:t>a-EBIT*</w:t>
            </w:r>
            <w:r>
              <w:rPr>
                <w:rFonts w:eastAsia="Times New Roman" w:cs="Calibri"/>
                <w:color w:val="000000"/>
                <w:sz w:val="16"/>
                <w:szCs w:val="16"/>
                <w:lang w:val="en-US"/>
              </w:rPr>
              <w:t>*</w:t>
            </w:r>
          </w:p>
        </w:tc>
        <w:tc>
          <w:tcPr>
            <w:tcW w:w="1560" w:type="dxa"/>
            <w:tcBorders>
              <w:top w:val="nil"/>
              <w:left w:val="nil"/>
              <w:bottom w:val="nil"/>
              <w:right w:val="nil"/>
            </w:tcBorders>
            <w:shd w:val="clear" w:color="000000" w:fill="C5D9F1"/>
            <w:noWrap/>
            <w:vAlign w:val="center"/>
            <w:hideMark/>
          </w:tcPr>
          <w:p w14:paraId="4549CAFE" w14:textId="031D9047"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57.428</w:t>
            </w:r>
          </w:p>
        </w:tc>
        <w:tc>
          <w:tcPr>
            <w:tcW w:w="1417" w:type="dxa"/>
            <w:tcBorders>
              <w:top w:val="nil"/>
              <w:left w:val="nil"/>
              <w:bottom w:val="nil"/>
              <w:right w:val="nil"/>
            </w:tcBorders>
            <w:noWrap/>
            <w:vAlign w:val="center"/>
            <w:hideMark/>
          </w:tcPr>
          <w:p w14:paraId="3AFD4705" w14:textId="1F860DCB"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32.592</w:t>
            </w:r>
          </w:p>
        </w:tc>
        <w:tc>
          <w:tcPr>
            <w:tcW w:w="284" w:type="dxa"/>
            <w:tcBorders>
              <w:top w:val="nil"/>
              <w:left w:val="nil"/>
              <w:bottom w:val="nil"/>
              <w:right w:val="nil"/>
            </w:tcBorders>
            <w:noWrap/>
            <w:vAlign w:val="bottom"/>
            <w:hideMark/>
          </w:tcPr>
          <w:p w14:paraId="219A4F01"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673" w:type="dxa"/>
            <w:tcBorders>
              <w:top w:val="nil"/>
              <w:left w:val="nil"/>
              <w:bottom w:val="nil"/>
              <w:right w:val="nil"/>
            </w:tcBorders>
            <w:shd w:val="clear" w:color="000000" w:fill="C5D9F1"/>
            <w:noWrap/>
            <w:vAlign w:val="center"/>
            <w:hideMark/>
          </w:tcPr>
          <w:p w14:paraId="37D59814" w14:textId="113D0B3D"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42.714</w:t>
            </w:r>
          </w:p>
        </w:tc>
        <w:tc>
          <w:tcPr>
            <w:tcW w:w="1455" w:type="dxa"/>
            <w:tcBorders>
              <w:top w:val="nil"/>
              <w:left w:val="nil"/>
              <w:bottom w:val="nil"/>
              <w:right w:val="nil"/>
            </w:tcBorders>
            <w:noWrap/>
            <w:vAlign w:val="center"/>
            <w:hideMark/>
          </w:tcPr>
          <w:p w14:paraId="18381262" w14:textId="01D0FCF3"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48.079</w:t>
            </w:r>
          </w:p>
        </w:tc>
        <w:tc>
          <w:tcPr>
            <w:tcW w:w="260" w:type="dxa"/>
            <w:tcBorders>
              <w:top w:val="nil"/>
              <w:left w:val="nil"/>
              <w:bottom w:val="nil"/>
              <w:right w:val="nil"/>
            </w:tcBorders>
            <w:noWrap/>
            <w:vAlign w:val="bottom"/>
            <w:hideMark/>
          </w:tcPr>
          <w:p w14:paraId="3A25E848"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356" w:type="dxa"/>
            <w:tcBorders>
              <w:top w:val="nil"/>
              <w:left w:val="nil"/>
              <w:bottom w:val="nil"/>
              <w:right w:val="nil"/>
            </w:tcBorders>
            <w:shd w:val="clear" w:color="000000" w:fill="C5D9F1"/>
            <w:noWrap/>
            <w:vAlign w:val="center"/>
            <w:hideMark/>
          </w:tcPr>
          <w:p w14:paraId="5B4CF237" w14:textId="1D1D7ABD"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100.141</w:t>
            </w:r>
          </w:p>
        </w:tc>
        <w:tc>
          <w:tcPr>
            <w:tcW w:w="1316" w:type="dxa"/>
            <w:tcBorders>
              <w:top w:val="nil"/>
              <w:left w:val="nil"/>
              <w:bottom w:val="nil"/>
              <w:right w:val="nil"/>
            </w:tcBorders>
            <w:noWrap/>
            <w:vAlign w:val="center"/>
            <w:hideMark/>
          </w:tcPr>
          <w:p w14:paraId="31F4FC93" w14:textId="383EA3EB"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80.671</w:t>
            </w:r>
          </w:p>
        </w:tc>
      </w:tr>
      <w:tr w:rsidR="0089103E" w:rsidRPr="00786988" w14:paraId="1AF95758" w14:textId="77777777" w:rsidTr="001651FE">
        <w:trPr>
          <w:trHeight w:val="300"/>
        </w:trPr>
        <w:tc>
          <w:tcPr>
            <w:tcW w:w="1134" w:type="dxa"/>
            <w:tcBorders>
              <w:top w:val="nil"/>
              <w:left w:val="nil"/>
              <w:bottom w:val="nil"/>
              <w:right w:val="nil"/>
            </w:tcBorders>
            <w:noWrap/>
            <w:vAlign w:val="center"/>
            <w:hideMark/>
          </w:tcPr>
          <w:p w14:paraId="3FF81069" w14:textId="77777777" w:rsidR="0089103E" w:rsidRPr="00786988" w:rsidRDefault="0089103E" w:rsidP="0089103E">
            <w:pPr>
              <w:widowControl/>
              <w:autoSpaceDE/>
              <w:autoSpaceDN/>
              <w:rPr>
                <w:rFonts w:eastAsia="Times New Roman" w:cs="Calibri"/>
                <w:color w:val="000000"/>
                <w:sz w:val="16"/>
                <w:szCs w:val="16"/>
                <w:lang w:val="en-US"/>
              </w:rPr>
            </w:pPr>
            <w:r w:rsidRPr="00786988">
              <w:rPr>
                <w:rFonts w:eastAsia="Times New Roman" w:cs="Calibri"/>
                <w:color w:val="000000"/>
                <w:sz w:val="16"/>
                <w:szCs w:val="16"/>
              </w:rPr>
              <w:t>EBT</w:t>
            </w:r>
          </w:p>
        </w:tc>
        <w:tc>
          <w:tcPr>
            <w:tcW w:w="1560" w:type="dxa"/>
            <w:tcBorders>
              <w:top w:val="nil"/>
              <w:left w:val="nil"/>
              <w:bottom w:val="nil"/>
              <w:right w:val="nil"/>
            </w:tcBorders>
            <w:shd w:val="clear" w:color="000000" w:fill="C5D9F1"/>
            <w:noWrap/>
            <w:vAlign w:val="center"/>
            <w:hideMark/>
          </w:tcPr>
          <w:p w14:paraId="2A9A6682" w14:textId="4EEA4992"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57.345</w:t>
            </w:r>
          </w:p>
        </w:tc>
        <w:tc>
          <w:tcPr>
            <w:tcW w:w="1417" w:type="dxa"/>
            <w:tcBorders>
              <w:top w:val="nil"/>
              <w:left w:val="nil"/>
              <w:bottom w:val="nil"/>
              <w:right w:val="nil"/>
            </w:tcBorders>
            <w:noWrap/>
            <w:vAlign w:val="center"/>
            <w:hideMark/>
          </w:tcPr>
          <w:p w14:paraId="005B6551" w14:textId="05BE8FB4"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9.055</w:t>
            </w:r>
          </w:p>
        </w:tc>
        <w:tc>
          <w:tcPr>
            <w:tcW w:w="284" w:type="dxa"/>
            <w:tcBorders>
              <w:top w:val="nil"/>
              <w:left w:val="nil"/>
              <w:bottom w:val="nil"/>
              <w:right w:val="nil"/>
            </w:tcBorders>
            <w:noWrap/>
            <w:vAlign w:val="bottom"/>
            <w:hideMark/>
          </w:tcPr>
          <w:p w14:paraId="4D4A90F8"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673" w:type="dxa"/>
            <w:tcBorders>
              <w:top w:val="nil"/>
              <w:left w:val="nil"/>
              <w:bottom w:val="nil"/>
              <w:right w:val="nil"/>
            </w:tcBorders>
            <w:shd w:val="clear" w:color="000000" w:fill="C5D9F1"/>
            <w:noWrap/>
            <w:vAlign w:val="center"/>
            <w:hideMark/>
          </w:tcPr>
          <w:p w14:paraId="40A84AF1" w14:textId="7E5206BD"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31.388</w:t>
            </w:r>
          </w:p>
        </w:tc>
        <w:tc>
          <w:tcPr>
            <w:tcW w:w="1455" w:type="dxa"/>
            <w:tcBorders>
              <w:top w:val="nil"/>
              <w:left w:val="nil"/>
              <w:bottom w:val="nil"/>
              <w:right w:val="nil"/>
            </w:tcBorders>
            <w:noWrap/>
            <w:vAlign w:val="center"/>
            <w:hideMark/>
          </w:tcPr>
          <w:p w14:paraId="134FE768" w14:textId="4F09B472" w:rsidR="0089103E" w:rsidRPr="009209EF" w:rsidRDefault="0089103E" w:rsidP="0089103E">
            <w:pPr>
              <w:widowControl/>
              <w:autoSpaceDE/>
              <w:autoSpaceDN/>
              <w:jc w:val="center"/>
              <w:rPr>
                <w:rFonts w:eastAsia="Times New Roman" w:cs="Calibri"/>
                <w:color w:val="000000"/>
                <w:sz w:val="18"/>
                <w:szCs w:val="18"/>
                <w:lang w:val="en-US"/>
              </w:rPr>
            </w:pPr>
            <w:r>
              <w:rPr>
                <w:rFonts w:cs="Calibri"/>
                <w:color w:val="000000"/>
                <w:sz w:val="18"/>
                <w:szCs w:val="18"/>
              </w:rPr>
              <w:t>50.887</w:t>
            </w:r>
          </w:p>
        </w:tc>
        <w:tc>
          <w:tcPr>
            <w:tcW w:w="260" w:type="dxa"/>
            <w:tcBorders>
              <w:top w:val="nil"/>
              <w:left w:val="nil"/>
              <w:bottom w:val="nil"/>
              <w:right w:val="nil"/>
            </w:tcBorders>
            <w:noWrap/>
            <w:vAlign w:val="bottom"/>
            <w:hideMark/>
          </w:tcPr>
          <w:p w14:paraId="7B6D2AD0" w14:textId="77777777" w:rsidR="0089103E" w:rsidRPr="00786988" w:rsidRDefault="0089103E" w:rsidP="0089103E">
            <w:pPr>
              <w:widowControl/>
              <w:autoSpaceDE/>
              <w:autoSpaceDN/>
              <w:jc w:val="center"/>
              <w:rPr>
                <w:rFonts w:eastAsia="Times New Roman" w:cs="Calibri"/>
                <w:color w:val="000000"/>
                <w:sz w:val="16"/>
                <w:szCs w:val="16"/>
                <w:lang w:val="en-US"/>
              </w:rPr>
            </w:pPr>
          </w:p>
        </w:tc>
        <w:tc>
          <w:tcPr>
            <w:tcW w:w="1356" w:type="dxa"/>
            <w:tcBorders>
              <w:top w:val="nil"/>
              <w:left w:val="nil"/>
              <w:bottom w:val="nil"/>
              <w:right w:val="nil"/>
            </w:tcBorders>
            <w:shd w:val="clear" w:color="000000" w:fill="C5D9F1"/>
            <w:noWrap/>
            <w:vAlign w:val="center"/>
            <w:hideMark/>
          </w:tcPr>
          <w:p w14:paraId="261069F2" w14:textId="20D5A577"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88.732</w:t>
            </w:r>
          </w:p>
        </w:tc>
        <w:tc>
          <w:tcPr>
            <w:tcW w:w="1316" w:type="dxa"/>
            <w:tcBorders>
              <w:top w:val="nil"/>
              <w:left w:val="nil"/>
              <w:bottom w:val="nil"/>
              <w:right w:val="nil"/>
            </w:tcBorders>
            <w:noWrap/>
            <w:vAlign w:val="center"/>
            <w:hideMark/>
          </w:tcPr>
          <w:p w14:paraId="5EBD3078" w14:textId="1F48F507" w:rsidR="0089103E" w:rsidRPr="00786988" w:rsidRDefault="0089103E" w:rsidP="0089103E">
            <w:pPr>
              <w:widowControl/>
              <w:autoSpaceDE/>
              <w:autoSpaceDN/>
              <w:jc w:val="center"/>
              <w:rPr>
                <w:rFonts w:eastAsia="Times New Roman" w:cs="Calibri"/>
                <w:color w:val="000000"/>
                <w:sz w:val="16"/>
                <w:szCs w:val="16"/>
                <w:lang w:val="en-US"/>
              </w:rPr>
            </w:pPr>
            <w:r>
              <w:rPr>
                <w:rFonts w:cs="Calibri"/>
                <w:color w:val="000000"/>
                <w:sz w:val="18"/>
                <w:szCs w:val="18"/>
              </w:rPr>
              <w:t>59.942</w:t>
            </w:r>
          </w:p>
        </w:tc>
      </w:tr>
    </w:tbl>
    <w:p w14:paraId="6387400E" w14:textId="77777777" w:rsidR="00786988" w:rsidRDefault="00786988" w:rsidP="000B4EED">
      <w:pPr>
        <w:spacing w:before="3" w:line="170" w:lineRule="exact"/>
        <w:rPr>
          <w:rFonts w:asciiTheme="minorHAnsi" w:hAnsiTheme="minorHAnsi"/>
          <w:sz w:val="16"/>
          <w:szCs w:val="16"/>
        </w:rPr>
      </w:pPr>
    </w:p>
    <w:p w14:paraId="6709DF1F" w14:textId="77777777" w:rsidR="00786988" w:rsidRDefault="00786988" w:rsidP="000B4EED">
      <w:pPr>
        <w:spacing w:before="3" w:line="170" w:lineRule="exact"/>
        <w:rPr>
          <w:rFonts w:asciiTheme="minorHAnsi" w:hAnsiTheme="minorHAnsi"/>
          <w:sz w:val="16"/>
          <w:szCs w:val="16"/>
        </w:rPr>
      </w:pPr>
    </w:p>
    <w:p w14:paraId="4B37F014" w14:textId="77777777" w:rsidR="00E577C4" w:rsidRDefault="00E577C4" w:rsidP="000B4EED">
      <w:pPr>
        <w:spacing w:before="29"/>
        <w:rPr>
          <w:b/>
          <w:bCs/>
          <w:color w:val="A6A6A6" w:themeColor="background1" w:themeShade="A6"/>
          <w:spacing w:val="7"/>
          <w:sz w:val="24"/>
          <w:szCs w:val="24"/>
        </w:rPr>
      </w:pPr>
    </w:p>
    <w:p w14:paraId="07A316D6" w14:textId="77777777" w:rsidR="002C6903" w:rsidRDefault="002C6903" w:rsidP="000B4EED">
      <w:pPr>
        <w:spacing w:before="29"/>
        <w:rPr>
          <w:b/>
          <w:bCs/>
          <w:color w:val="A6A6A6" w:themeColor="background1" w:themeShade="A6"/>
          <w:spacing w:val="7"/>
          <w:sz w:val="24"/>
          <w:szCs w:val="24"/>
          <w:lang w:val="en-US"/>
        </w:rPr>
      </w:pPr>
    </w:p>
    <w:p w14:paraId="70066B55" w14:textId="77777777" w:rsidR="002C6903" w:rsidRDefault="002C6903" w:rsidP="000B4EED">
      <w:pPr>
        <w:spacing w:before="29"/>
        <w:rPr>
          <w:b/>
          <w:bCs/>
          <w:color w:val="A6A6A6" w:themeColor="background1" w:themeShade="A6"/>
          <w:spacing w:val="7"/>
          <w:sz w:val="24"/>
          <w:szCs w:val="24"/>
          <w:lang w:val="en-US"/>
        </w:rPr>
      </w:pPr>
    </w:p>
    <w:p w14:paraId="4A27DE7B" w14:textId="77777777" w:rsidR="002C6903" w:rsidRDefault="002C6903" w:rsidP="000B4EED">
      <w:pPr>
        <w:spacing w:before="29"/>
        <w:rPr>
          <w:b/>
          <w:bCs/>
          <w:color w:val="A6A6A6" w:themeColor="background1" w:themeShade="A6"/>
          <w:spacing w:val="7"/>
          <w:sz w:val="24"/>
          <w:szCs w:val="24"/>
          <w:lang w:val="en-US"/>
        </w:rPr>
      </w:pPr>
    </w:p>
    <w:p w14:paraId="633F0969" w14:textId="77777777" w:rsidR="002C6903" w:rsidRDefault="002C6903" w:rsidP="000B4EED">
      <w:pPr>
        <w:spacing w:before="29"/>
        <w:rPr>
          <w:b/>
          <w:bCs/>
          <w:color w:val="A6A6A6" w:themeColor="background1" w:themeShade="A6"/>
          <w:spacing w:val="7"/>
          <w:sz w:val="24"/>
          <w:szCs w:val="24"/>
          <w:lang w:val="en-US"/>
        </w:rPr>
      </w:pPr>
    </w:p>
    <w:p w14:paraId="64A9CF9B" w14:textId="77777777" w:rsidR="002C6903" w:rsidRDefault="002C6903" w:rsidP="000B4EED">
      <w:pPr>
        <w:spacing w:before="29"/>
        <w:rPr>
          <w:b/>
          <w:bCs/>
          <w:color w:val="A6A6A6" w:themeColor="background1" w:themeShade="A6"/>
          <w:spacing w:val="7"/>
          <w:sz w:val="24"/>
          <w:szCs w:val="24"/>
        </w:rPr>
      </w:pPr>
    </w:p>
    <w:p w14:paraId="5FAEEE8B" w14:textId="77777777" w:rsidR="00243317" w:rsidRDefault="00243317" w:rsidP="000B4EED">
      <w:pPr>
        <w:spacing w:before="29"/>
        <w:rPr>
          <w:b/>
          <w:bCs/>
          <w:color w:val="A6A6A6" w:themeColor="background1" w:themeShade="A6"/>
          <w:spacing w:val="7"/>
          <w:sz w:val="24"/>
          <w:szCs w:val="24"/>
        </w:rPr>
      </w:pPr>
    </w:p>
    <w:p w14:paraId="4F247E4F" w14:textId="77777777" w:rsidR="00243317" w:rsidRPr="00243317" w:rsidRDefault="00243317" w:rsidP="000B4EED">
      <w:pPr>
        <w:spacing w:before="29"/>
        <w:rPr>
          <w:b/>
          <w:bCs/>
          <w:color w:val="A6A6A6" w:themeColor="background1" w:themeShade="A6"/>
          <w:spacing w:val="7"/>
          <w:sz w:val="24"/>
          <w:szCs w:val="24"/>
        </w:rPr>
      </w:pPr>
    </w:p>
    <w:p w14:paraId="2EE119B7" w14:textId="77777777" w:rsidR="002C6903" w:rsidRDefault="002C6903" w:rsidP="000B4EED">
      <w:pPr>
        <w:spacing w:before="29"/>
        <w:rPr>
          <w:b/>
          <w:bCs/>
          <w:color w:val="A6A6A6" w:themeColor="background1" w:themeShade="A6"/>
          <w:spacing w:val="7"/>
          <w:sz w:val="24"/>
          <w:szCs w:val="24"/>
        </w:rPr>
      </w:pPr>
    </w:p>
    <w:p w14:paraId="7D6448F9" w14:textId="77777777" w:rsidR="00243317" w:rsidRDefault="00243317" w:rsidP="000B4EED">
      <w:pPr>
        <w:spacing w:before="29"/>
        <w:rPr>
          <w:b/>
          <w:bCs/>
          <w:color w:val="A6A6A6" w:themeColor="background1" w:themeShade="A6"/>
          <w:spacing w:val="7"/>
          <w:sz w:val="24"/>
          <w:szCs w:val="24"/>
        </w:rPr>
        <w:sectPr w:rsidR="00243317" w:rsidSect="00EC7C08">
          <w:headerReference w:type="even" r:id="rId17"/>
          <w:headerReference w:type="default" r:id="rId18"/>
          <w:footerReference w:type="even" r:id="rId19"/>
          <w:footerReference w:type="default" r:id="rId20"/>
          <w:headerReference w:type="first" r:id="rId21"/>
          <w:footerReference w:type="first" r:id="rId22"/>
          <w:pgSz w:w="11910" w:h="16840"/>
          <w:pgMar w:top="977" w:right="853" w:bottom="851" w:left="567" w:header="0" w:footer="749" w:gutter="0"/>
          <w:cols w:space="720"/>
          <w:docGrid w:linePitch="299"/>
        </w:sectPr>
      </w:pPr>
    </w:p>
    <w:p w14:paraId="5E9EDD2F" w14:textId="77777777" w:rsidR="006052DD" w:rsidRDefault="006052DD" w:rsidP="000B4EED">
      <w:pPr>
        <w:spacing w:before="29"/>
        <w:rPr>
          <w:b/>
          <w:bCs/>
          <w:color w:val="A6A6A6" w:themeColor="background1" w:themeShade="A6"/>
          <w:spacing w:val="7"/>
          <w:sz w:val="24"/>
          <w:szCs w:val="24"/>
        </w:rPr>
      </w:pPr>
    </w:p>
    <w:p w14:paraId="5EC6DD6A" w14:textId="77777777" w:rsidR="006052DD" w:rsidRPr="006052DD" w:rsidRDefault="006052DD" w:rsidP="000B4EED">
      <w:pPr>
        <w:spacing w:before="29"/>
        <w:rPr>
          <w:b/>
          <w:bCs/>
          <w:color w:val="A6A6A6" w:themeColor="background1" w:themeShade="A6"/>
          <w:spacing w:val="7"/>
          <w:sz w:val="24"/>
          <w:szCs w:val="24"/>
        </w:rPr>
      </w:pPr>
    </w:p>
    <w:p w14:paraId="0C5E3CA6" w14:textId="618E65B7" w:rsidR="004578EA" w:rsidRPr="00951E90" w:rsidRDefault="004578EA" w:rsidP="000B4EED">
      <w:pPr>
        <w:spacing w:before="29"/>
        <w:rPr>
          <w:b/>
          <w:bCs/>
          <w:color w:val="A6A6A6" w:themeColor="background1" w:themeShade="A6"/>
          <w:spacing w:val="7"/>
          <w:sz w:val="24"/>
          <w:szCs w:val="24"/>
        </w:rPr>
      </w:pPr>
      <w:r w:rsidRPr="00951E90">
        <w:rPr>
          <w:b/>
          <w:bCs/>
          <w:color w:val="A6A6A6" w:themeColor="background1" w:themeShade="A6"/>
          <w:spacing w:val="7"/>
          <w:sz w:val="24"/>
          <w:szCs w:val="24"/>
        </w:rPr>
        <w:t xml:space="preserve">Κλάδος </w:t>
      </w:r>
      <w:r w:rsidR="00743829" w:rsidRPr="00951E90">
        <w:rPr>
          <w:b/>
          <w:bCs/>
          <w:color w:val="A6A6A6" w:themeColor="background1" w:themeShade="A6"/>
          <w:spacing w:val="7"/>
          <w:sz w:val="24"/>
          <w:szCs w:val="24"/>
        </w:rPr>
        <w:t>Α</w:t>
      </w:r>
      <w:r w:rsidRPr="00951E90">
        <w:rPr>
          <w:b/>
          <w:bCs/>
          <w:color w:val="A6A6A6" w:themeColor="background1" w:themeShade="A6"/>
          <w:spacing w:val="7"/>
          <w:sz w:val="24"/>
          <w:szCs w:val="24"/>
        </w:rPr>
        <w:t>λουμινίου</w:t>
      </w:r>
    </w:p>
    <w:p w14:paraId="16495CB6" w14:textId="77777777" w:rsidR="004578EA" w:rsidRPr="00016DA9" w:rsidRDefault="004578EA" w:rsidP="000B4EED">
      <w:pPr>
        <w:spacing w:before="2" w:line="220" w:lineRule="exact"/>
        <w:rPr>
          <w:sz w:val="24"/>
        </w:rPr>
      </w:pPr>
    </w:p>
    <w:p w14:paraId="6E4F0501" w14:textId="261A47A8" w:rsidR="00034CD7" w:rsidRDefault="00034CD7" w:rsidP="00BA7044">
      <w:pPr>
        <w:jc w:val="both"/>
        <w:rPr>
          <w:color w:val="231F20"/>
          <w:sz w:val="20"/>
          <w:szCs w:val="20"/>
        </w:rPr>
      </w:pPr>
      <w:bookmarkStart w:id="3" w:name="_Hlk144383557"/>
      <w:r w:rsidRPr="00034CD7">
        <w:rPr>
          <w:color w:val="231F20"/>
          <w:sz w:val="20"/>
          <w:szCs w:val="20"/>
        </w:rPr>
        <w:t xml:space="preserve">Ο κύκλος εργασιών του </w:t>
      </w:r>
      <w:r w:rsidR="009D0920">
        <w:rPr>
          <w:color w:val="231F20"/>
          <w:sz w:val="20"/>
          <w:szCs w:val="20"/>
        </w:rPr>
        <w:t>κ</w:t>
      </w:r>
      <w:r w:rsidRPr="00034CD7">
        <w:rPr>
          <w:color w:val="231F20"/>
          <w:sz w:val="20"/>
          <w:szCs w:val="20"/>
        </w:rPr>
        <w:t xml:space="preserve">λάδου </w:t>
      </w:r>
      <w:r w:rsidR="009D0920">
        <w:rPr>
          <w:color w:val="231F20"/>
          <w:sz w:val="20"/>
          <w:szCs w:val="20"/>
        </w:rPr>
        <w:t>α</w:t>
      </w:r>
      <w:r w:rsidRPr="00034CD7">
        <w:rPr>
          <w:color w:val="231F20"/>
          <w:sz w:val="20"/>
          <w:szCs w:val="20"/>
        </w:rPr>
        <w:t>λουμινίου αυξήθηκε στα 936,3 εκατ. ευρώ, έναντι 842,4 εκατ. ευρώ το</w:t>
      </w:r>
      <w:r w:rsidR="006C204C">
        <w:rPr>
          <w:color w:val="231F20"/>
          <w:sz w:val="20"/>
          <w:szCs w:val="20"/>
        </w:rPr>
        <w:t>υ</w:t>
      </w:r>
      <w:r w:rsidRPr="00034CD7">
        <w:rPr>
          <w:color w:val="231F20"/>
          <w:sz w:val="20"/>
          <w:szCs w:val="20"/>
        </w:rPr>
        <w:t xml:space="preserve"> Α’ εξ</w:t>
      </w:r>
      <w:r w:rsidR="00111B2D">
        <w:rPr>
          <w:color w:val="231F20"/>
          <w:sz w:val="20"/>
          <w:szCs w:val="20"/>
        </w:rPr>
        <w:t>α</w:t>
      </w:r>
      <w:r w:rsidRPr="00034CD7">
        <w:rPr>
          <w:color w:val="231F20"/>
          <w:sz w:val="20"/>
          <w:szCs w:val="20"/>
        </w:rPr>
        <w:t>μ</w:t>
      </w:r>
      <w:r w:rsidR="00111B2D">
        <w:rPr>
          <w:color w:val="231F20"/>
          <w:sz w:val="20"/>
          <w:szCs w:val="20"/>
        </w:rPr>
        <w:t>ή</w:t>
      </w:r>
      <w:r w:rsidRPr="00034CD7">
        <w:rPr>
          <w:color w:val="231F20"/>
          <w:sz w:val="20"/>
          <w:szCs w:val="20"/>
        </w:rPr>
        <w:t>νο</w:t>
      </w:r>
      <w:r w:rsidR="006C204C">
        <w:rPr>
          <w:color w:val="231F20"/>
          <w:sz w:val="20"/>
          <w:szCs w:val="20"/>
        </w:rPr>
        <w:t>υ</w:t>
      </w:r>
      <w:r w:rsidRPr="00034CD7">
        <w:rPr>
          <w:color w:val="231F20"/>
          <w:sz w:val="20"/>
          <w:szCs w:val="20"/>
        </w:rPr>
        <w:t xml:space="preserve"> του 2024, λόγω των υψηλότερων μέσων τιμών </w:t>
      </w:r>
      <w:r w:rsidR="00260BD7">
        <w:rPr>
          <w:color w:val="231F20"/>
          <w:sz w:val="20"/>
          <w:szCs w:val="20"/>
        </w:rPr>
        <w:t xml:space="preserve">των </w:t>
      </w:r>
      <w:r w:rsidRPr="00034CD7">
        <w:rPr>
          <w:color w:val="231F20"/>
          <w:sz w:val="20"/>
          <w:szCs w:val="20"/>
        </w:rPr>
        <w:t>μετάλλ</w:t>
      </w:r>
      <w:r>
        <w:rPr>
          <w:color w:val="231F20"/>
          <w:sz w:val="20"/>
          <w:szCs w:val="20"/>
        </w:rPr>
        <w:t>ων</w:t>
      </w:r>
      <w:r w:rsidRPr="00034CD7">
        <w:rPr>
          <w:color w:val="231F20"/>
          <w:sz w:val="20"/>
          <w:szCs w:val="20"/>
        </w:rPr>
        <w:t xml:space="preserve"> στο LME, </w:t>
      </w:r>
      <w:r w:rsidR="00260BD7">
        <w:rPr>
          <w:color w:val="231F20"/>
          <w:sz w:val="20"/>
          <w:szCs w:val="20"/>
        </w:rPr>
        <w:t>του</w:t>
      </w:r>
      <w:r w:rsidRPr="00034CD7">
        <w:rPr>
          <w:color w:val="231F20"/>
          <w:sz w:val="20"/>
          <w:szCs w:val="20"/>
        </w:rPr>
        <w:t xml:space="preserve"> αυξημέν</w:t>
      </w:r>
      <w:r w:rsidR="00260BD7">
        <w:rPr>
          <w:color w:val="231F20"/>
          <w:sz w:val="20"/>
          <w:szCs w:val="20"/>
        </w:rPr>
        <w:t>ου</w:t>
      </w:r>
      <w:r w:rsidRPr="00034CD7">
        <w:rPr>
          <w:color w:val="231F20"/>
          <w:sz w:val="20"/>
          <w:szCs w:val="20"/>
        </w:rPr>
        <w:t xml:space="preserve"> </w:t>
      </w:r>
      <w:r>
        <w:rPr>
          <w:color w:val="231F20"/>
          <w:sz w:val="20"/>
          <w:szCs w:val="20"/>
        </w:rPr>
        <w:t>όγκ</w:t>
      </w:r>
      <w:r w:rsidR="00260BD7">
        <w:rPr>
          <w:color w:val="231F20"/>
          <w:sz w:val="20"/>
          <w:szCs w:val="20"/>
        </w:rPr>
        <w:t xml:space="preserve">ου </w:t>
      </w:r>
      <w:r>
        <w:rPr>
          <w:color w:val="231F20"/>
          <w:sz w:val="20"/>
          <w:szCs w:val="20"/>
        </w:rPr>
        <w:t>πωλήσεων</w:t>
      </w:r>
      <w:r w:rsidRPr="00034CD7">
        <w:rPr>
          <w:color w:val="231F20"/>
          <w:sz w:val="20"/>
          <w:szCs w:val="20"/>
        </w:rPr>
        <w:t xml:space="preserve"> και των υψηλότερων τιμών </w:t>
      </w:r>
      <w:r>
        <w:rPr>
          <w:color w:val="231F20"/>
          <w:sz w:val="20"/>
          <w:szCs w:val="20"/>
        </w:rPr>
        <w:t>κατεργασίας</w:t>
      </w:r>
      <w:r w:rsidRPr="00034CD7">
        <w:rPr>
          <w:color w:val="231F20"/>
          <w:sz w:val="20"/>
          <w:szCs w:val="20"/>
        </w:rPr>
        <w:t>. Ο όγκος πωλήσεων αυξήθηκε κατά 2,8% σε σύγκριση με το Α’ εξάμηνο του 2024, παρά τις διεθνείς προκλήσεις και τ</w:t>
      </w:r>
      <w:r>
        <w:rPr>
          <w:color w:val="231F20"/>
          <w:sz w:val="20"/>
          <w:szCs w:val="20"/>
        </w:rPr>
        <w:t>ους</w:t>
      </w:r>
      <w:r w:rsidRPr="00034CD7">
        <w:rPr>
          <w:color w:val="231F20"/>
          <w:sz w:val="20"/>
          <w:szCs w:val="20"/>
        </w:rPr>
        <w:t xml:space="preserve"> δασμ</w:t>
      </w:r>
      <w:r>
        <w:rPr>
          <w:color w:val="231F20"/>
          <w:sz w:val="20"/>
          <w:szCs w:val="20"/>
        </w:rPr>
        <w:t xml:space="preserve">ούς ύψους 25% </w:t>
      </w:r>
      <w:r w:rsidRPr="00034CD7">
        <w:rPr>
          <w:color w:val="231F20"/>
          <w:sz w:val="20"/>
          <w:szCs w:val="20"/>
        </w:rPr>
        <w:t>που επιβλήθηκ</w:t>
      </w:r>
      <w:r w:rsidR="001F408A">
        <w:rPr>
          <w:color w:val="231F20"/>
          <w:sz w:val="20"/>
          <w:szCs w:val="20"/>
        </w:rPr>
        <w:t>αν</w:t>
      </w:r>
      <w:r w:rsidRPr="00034CD7">
        <w:rPr>
          <w:color w:val="231F20"/>
          <w:sz w:val="20"/>
          <w:szCs w:val="20"/>
        </w:rPr>
        <w:t xml:space="preserve"> στις εισαγωγές στις ΗΠΑ τον Μάρτιο. Η βελτίωση αυτή οφείλεται στην αυξημένη ζήτηση </w:t>
      </w:r>
      <w:r w:rsidR="006E3B87">
        <w:rPr>
          <w:color w:val="231F20"/>
          <w:sz w:val="20"/>
          <w:szCs w:val="20"/>
        </w:rPr>
        <w:t>από το</w:t>
      </w:r>
      <w:r w:rsidR="002F183F">
        <w:rPr>
          <w:color w:val="231F20"/>
          <w:sz w:val="20"/>
          <w:szCs w:val="20"/>
        </w:rPr>
        <w:t>ν</w:t>
      </w:r>
      <w:r w:rsidRPr="00034CD7">
        <w:rPr>
          <w:color w:val="231F20"/>
          <w:sz w:val="20"/>
          <w:szCs w:val="20"/>
        </w:rPr>
        <w:t xml:space="preserve"> </w:t>
      </w:r>
      <w:r w:rsidR="006E3B87">
        <w:rPr>
          <w:color w:val="231F20"/>
          <w:sz w:val="20"/>
          <w:szCs w:val="20"/>
        </w:rPr>
        <w:t>κλάδο</w:t>
      </w:r>
      <w:r w:rsidRPr="00034CD7">
        <w:rPr>
          <w:color w:val="231F20"/>
          <w:sz w:val="20"/>
          <w:szCs w:val="20"/>
        </w:rPr>
        <w:t xml:space="preserve"> της συσκευασίας και στον όγκο πωλήσεων που κατευθύνθηκε στον τομέα των μεταφορών, με ετήσια αύξηση 8,6% και 7,8% αντίστοιχα. Η λειτουργική κερδοφορία του </w:t>
      </w:r>
      <w:r w:rsidR="009D0920">
        <w:rPr>
          <w:color w:val="231F20"/>
          <w:sz w:val="20"/>
          <w:szCs w:val="20"/>
        </w:rPr>
        <w:t>κ</w:t>
      </w:r>
      <w:r>
        <w:rPr>
          <w:color w:val="231F20"/>
          <w:sz w:val="20"/>
          <w:szCs w:val="20"/>
        </w:rPr>
        <w:t>λάδου</w:t>
      </w:r>
      <w:r w:rsidRPr="00034CD7">
        <w:rPr>
          <w:color w:val="231F20"/>
          <w:sz w:val="20"/>
          <w:szCs w:val="20"/>
        </w:rPr>
        <w:t xml:space="preserve">, </w:t>
      </w:r>
      <w:r w:rsidR="00260BD7">
        <w:rPr>
          <w:color w:val="231F20"/>
          <w:sz w:val="20"/>
          <w:szCs w:val="20"/>
        </w:rPr>
        <w:t>όπως αυτή</w:t>
      </w:r>
      <w:r w:rsidRPr="00034CD7">
        <w:rPr>
          <w:color w:val="231F20"/>
          <w:sz w:val="20"/>
          <w:szCs w:val="20"/>
        </w:rPr>
        <w:t xml:space="preserve"> </w:t>
      </w:r>
      <w:r w:rsidR="008B56DC" w:rsidRPr="008B56DC">
        <w:rPr>
          <w:color w:val="231F20"/>
          <w:sz w:val="20"/>
          <w:szCs w:val="20"/>
        </w:rPr>
        <w:t xml:space="preserve">αποτυπώνεται </w:t>
      </w:r>
      <w:r w:rsidRPr="00034CD7">
        <w:rPr>
          <w:color w:val="231F20"/>
          <w:sz w:val="20"/>
          <w:szCs w:val="20"/>
        </w:rPr>
        <w:t>με το a-EBITDA</w:t>
      </w:r>
      <w:r>
        <w:rPr>
          <w:color w:val="231F20"/>
          <w:sz w:val="20"/>
          <w:szCs w:val="20"/>
        </w:rPr>
        <w:t xml:space="preserve"> </w:t>
      </w:r>
      <w:r w:rsidRPr="00034CD7">
        <w:rPr>
          <w:color w:val="231F20"/>
          <w:sz w:val="20"/>
          <w:szCs w:val="20"/>
        </w:rPr>
        <w:t xml:space="preserve">, αυξήθηκε στα 81,4 εκατ. ευρώ έναντι 55,9 εκατ. ευρώ το Α’ εξάμηνο του 2024, λόγω </w:t>
      </w:r>
      <w:r w:rsidR="00260BD7">
        <w:rPr>
          <w:color w:val="231F20"/>
          <w:sz w:val="20"/>
          <w:szCs w:val="20"/>
        </w:rPr>
        <w:t>του</w:t>
      </w:r>
      <w:r w:rsidRPr="00034CD7">
        <w:rPr>
          <w:color w:val="231F20"/>
          <w:sz w:val="20"/>
          <w:szCs w:val="20"/>
        </w:rPr>
        <w:t xml:space="preserve"> βελτιωμένο</w:t>
      </w:r>
      <w:r w:rsidR="00260BD7">
        <w:rPr>
          <w:color w:val="231F20"/>
          <w:sz w:val="20"/>
          <w:szCs w:val="20"/>
        </w:rPr>
        <w:t>υ</w:t>
      </w:r>
      <w:r w:rsidRPr="00034CD7">
        <w:rPr>
          <w:color w:val="231F20"/>
          <w:sz w:val="20"/>
          <w:szCs w:val="20"/>
        </w:rPr>
        <w:t xml:space="preserve"> προϊοντικ</w:t>
      </w:r>
      <w:r w:rsidR="00260BD7">
        <w:rPr>
          <w:color w:val="231F20"/>
          <w:sz w:val="20"/>
          <w:szCs w:val="20"/>
        </w:rPr>
        <w:t>ού</w:t>
      </w:r>
      <w:r w:rsidRPr="00034CD7">
        <w:rPr>
          <w:color w:val="231F20"/>
          <w:sz w:val="20"/>
          <w:szCs w:val="20"/>
        </w:rPr>
        <w:t xml:space="preserve"> μίγμα</w:t>
      </w:r>
      <w:r w:rsidR="00260BD7">
        <w:rPr>
          <w:color w:val="231F20"/>
          <w:sz w:val="20"/>
          <w:szCs w:val="20"/>
        </w:rPr>
        <w:t>τος</w:t>
      </w:r>
      <w:r w:rsidRPr="00034CD7">
        <w:rPr>
          <w:color w:val="231F20"/>
          <w:sz w:val="20"/>
          <w:szCs w:val="20"/>
        </w:rPr>
        <w:t xml:space="preserve"> και των υψηλότερων τιμών </w:t>
      </w:r>
      <w:r>
        <w:rPr>
          <w:color w:val="231F20"/>
          <w:sz w:val="20"/>
          <w:szCs w:val="20"/>
        </w:rPr>
        <w:t>κατεργασίας</w:t>
      </w:r>
      <w:r w:rsidRPr="00034CD7">
        <w:rPr>
          <w:color w:val="231F20"/>
          <w:sz w:val="20"/>
          <w:szCs w:val="20"/>
        </w:rPr>
        <w:t xml:space="preserve">, ιδιαίτερα για </w:t>
      </w:r>
      <w:r w:rsidR="00260BD7">
        <w:rPr>
          <w:color w:val="231F20"/>
          <w:sz w:val="20"/>
          <w:szCs w:val="20"/>
        </w:rPr>
        <w:t xml:space="preserve">τα </w:t>
      </w:r>
      <w:r w:rsidRPr="00034CD7">
        <w:rPr>
          <w:color w:val="231F20"/>
          <w:sz w:val="20"/>
          <w:szCs w:val="20"/>
        </w:rPr>
        <w:t xml:space="preserve">προϊόντα </w:t>
      </w:r>
      <w:r w:rsidR="00260BD7">
        <w:rPr>
          <w:color w:val="231F20"/>
          <w:sz w:val="20"/>
          <w:szCs w:val="20"/>
        </w:rPr>
        <w:t xml:space="preserve">της </w:t>
      </w:r>
      <w:r w:rsidRPr="00034CD7">
        <w:rPr>
          <w:color w:val="231F20"/>
          <w:sz w:val="20"/>
          <w:szCs w:val="20"/>
        </w:rPr>
        <w:t xml:space="preserve">εύκαμπτης συσκευασίας. Οι αυξημένες τιμές ενέργειας επηρέασαν αρνητικά την κερδοφορία του </w:t>
      </w:r>
      <w:r w:rsidR="009D0920">
        <w:rPr>
          <w:color w:val="231F20"/>
          <w:sz w:val="20"/>
          <w:szCs w:val="20"/>
        </w:rPr>
        <w:t>κ</w:t>
      </w:r>
      <w:r>
        <w:rPr>
          <w:color w:val="231F20"/>
          <w:sz w:val="20"/>
          <w:szCs w:val="20"/>
        </w:rPr>
        <w:t>λάδου</w:t>
      </w:r>
      <w:r w:rsidRPr="00034CD7">
        <w:rPr>
          <w:color w:val="231F20"/>
          <w:sz w:val="20"/>
          <w:szCs w:val="20"/>
        </w:rPr>
        <w:t xml:space="preserve">. Τα λογιστικά αποτελέσματα μετάλλου </w:t>
      </w:r>
      <w:r>
        <w:rPr>
          <w:color w:val="231F20"/>
          <w:sz w:val="20"/>
          <w:szCs w:val="20"/>
        </w:rPr>
        <w:t>διαμορφώθηκαν</w:t>
      </w:r>
      <w:r w:rsidRPr="00034CD7">
        <w:rPr>
          <w:color w:val="231F20"/>
          <w:sz w:val="20"/>
          <w:szCs w:val="20"/>
        </w:rPr>
        <w:t xml:space="preserve"> σε κέρδη ύψους 8</w:t>
      </w:r>
      <w:r w:rsidR="00F5018F">
        <w:rPr>
          <w:color w:val="231F20"/>
          <w:sz w:val="20"/>
          <w:szCs w:val="20"/>
        </w:rPr>
        <w:t>,9</w:t>
      </w:r>
      <w:r w:rsidRPr="00034CD7">
        <w:rPr>
          <w:color w:val="231F20"/>
          <w:sz w:val="20"/>
          <w:szCs w:val="20"/>
        </w:rPr>
        <w:t xml:space="preserve"> εκατ. ευρώ, έναντι ζημιών 9,4 εκατ. ευρώ. </w:t>
      </w:r>
      <w:r w:rsidR="002F35F3" w:rsidRPr="002F35F3">
        <w:rPr>
          <w:color w:val="231F20"/>
          <w:sz w:val="20"/>
          <w:szCs w:val="20"/>
        </w:rPr>
        <w:t xml:space="preserve">Τα κέρδη πριν από φόρους </w:t>
      </w:r>
      <w:r w:rsidRPr="00034CD7">
        <w:rPr>
          <w:color w:val="231F20"/>
          <w:sz w:val="20"/>
          <w:szCs w:val="20"/>
        </w:rPr>
        <w:t xml:space="preserve">του </w:t>
      </w:r>
      <w:r w:rsidR="009D0920">
        <w:rPr>
          <w:color w:val="231F20"/>
          <w:sz w:val="20"/>
          <w:szCs w:val="20"/>
        </w:rPr>
        <w:t>κ</w:t>
      </w:r>
      <w:r>
        <w:rPr>
          <w:color w:val="231F20"/>
          <w:sz w:val="20"/>
          <w:szCs w:val="20"/>
        </w:rPr>
        <w:t>λάδου</w:t>
      </w:r>
      <w:r w:rsidRPr="00034CD7">
        <w:rPr>
          <w:color w:val="231F20"/>
          <w:sz w:val="20"/>
          <w:szCs w:val="20"/>
        </w:rPr>
        <w:t xml:space="preserve"> ανήλθαν σε 57,4 εκατ. ευρώ έναντι 9,1 εκατ. ευρώ το Α’ εξάμηνο του 2024, </w:t>
      </w:r>
      <w:r>
        <w:rPr>
          <w:color w:val="231F20"/>
          <w:sz w:val="20"/>
          <w:szCs w:val="20"/>
        </w:rPr>
        <w:t>επηρεασμένα</w:t>
      </w:r>
      <w:r w:rsidRPr="00034CD7">
        <w:rPr>
          <w:color w:val="231F20"/>
          <w:sz w:val="20"/>
          <w:szCs w:val="20"/>
        </w:rPr>
        <w:t xml:space="preserve"> από τ</w:t>
      </w:r>
      <w:r w:rsidR="006D40C3">
        <w:rPr>
          <w:color w:val="231F20"/>
          <w:sz w:val="20"/>
          <w:szCs w:val="20"/>
        </w:rPr>
        <w:t>α</w:t>
      </w:r>
      <w:r w:rsidRPr="00034CD7">
        <w:rPr>
          <w:color w:val="231F20"/>
          <w:sz w:val="20"/>
          <w:szCs w:val="20"/>
        </w:rPr>
        <w:t xml:space="preserve"> </w:t>
      </w:r>
      <w:r w:rsidR="006D40C3">
        <w:rPr>
          <w:color w:val="231F20"/>
          <w:sz w:val="20"/>
          <w:szCs w:val="20"/>
        </w:rPr>
        <w:t>λογιστικά κέρδη από το</w:t>
      </w:r>
      <w:r w:rsidRPr="00034CD7">
        <w:rPr>
          <w:color w:val="231F20"/>
          <w:sz w:val="20"/>
          <w:szCs w:val="20"/>
        </w:rPr>
        <w:t xml:space="preserve"> αποτέλεσμα μετάλλου.</w:t>
      </w:r>
    </w:p>
    <w:bookmarkEnd w:id="3"/>
    <w:p w14:paraId="36187364" w14:textId="77777777" w:rsidR="00282411" w:rsidRPr="00E9077F" w:rsidRDefault="00282411" w:rsidP="000B4EED">
      <w:pPr>
        <w:jc w:val="both"/>
        <w:rPr>
          <w:color w:val="231F20"/>
          <w:sz w:val="20"/>
          <w:szCs w:val="18"/>
          <w:highlight w:val="yellow"/>
        </w:rPr>
      </w:pPr>
    </w:p>
    <w:p w14:paraId="63651C71" w14:textId="66A18D2C" w:rsidR="00FF6E1B" w:rsidRPr="00EE57D2" w:rsidRDefault="00F02009" w:rsidP="000B4EED">
      <w:pPr>
        <w:jc w:val="both"/>
        <w:rPr>
          <w:color w:val="231F20"/>
          <w:sz w:val="20"/>
          <w:szCs w:val="20"/>
        </w:rPr>
      </w:pPr>
      <w:r w:rsidRPr="00F02009">
        <w:rPr>
          <w:color w:val="231F20"/>
          <w:sz w:val="20"/>
          <w:szCs w:val="20"/>
        </w:rPr>
        <w:t xml:space="preserve">Το επενδυτικό πρόγραμμα του </w:t>
      </w:r>
      <w:r w:rsidR="009D0920">
        <w:rPr>
          <w:color w:val="231F20"/>
          <w:sz w:val="20"/>
          <w:szCs w:val="20"/>
        </w:rPr>
        <w:t>κ</w:t>
      </w:r>
      <w:r>
        <w:rPr>
          <w:color w:val="231F20"/>
          <w:sz w:val="20"/>
          <w:szCs w:val="20"/>
        </w:rPr>
        <w:t>λάδου</w:t>
      </w:r>
      <w:r w:rsidRPr="00F02009">
        <w:rPr>
          <w:color w:val="231F20"/>
          <w:sz w:val="20"/>
          <w:szCs w:val="20"/>
        </w:rPr>
        <w:t xml:space="preserve"> ανήλθε σε 23,8 εκατ. ευρώ το Α’ εξάμηνο του 2025, έναντι 22,9 εκατ. ευρώ την αντίστοιχη περίοδο του προηγούμενου έτους.</w:t>
      </w:r>
    </w:p>
    <w:p w14:paraId="7032E2C2" w14:textId="77777777" w:rsidR="00F02009" w:rsidRPr="00E9077F" w:rsidRDefault="00F02009" w:rsidP="000B4EED">
      <w:pPr>
        <w:jc w:val="both"/>
        <w:rPr>
          <w:rFonts w:asciiTheme="minorHAnsi" w:hAnsiTheme="minorHAnsi"/>
          <w:color w:val="231F20"/>
          <w:sz w:val="20"/>
          <w:szCs w:val="18"/>
          <w:highlight w:val="yellow"/>
        </w:rPr>
      </w:pPr>
    </w:p>
    <w:p w14:paraId="5E3519D7" w14:textId="77777777" w:rsidR="00F25E34" w:rsidRPr="00951E90" w:rsidRDefault="00F25E34" w:rsidP="000B4EED">
      <w:pPr>
        <w:spacing w:before="29"/>
        <w:ind w:right="-20"/>
        <w:rPr>
          <w:b/>
          <w:bCs/>
          <w:color w:val="A6A6A6" w:themeColor="background1" w:themeShade="A6"/>
          <w:spacing w:val="7"/>
          <w:sz w:val="24"/>
          <w:szCs w:val="24"/>
        </w:rPr>
      </w:pPr>
      <w:r w:rsidRPr="00951E90">
        <w:rPr>
          <w:b/>
          <w:bCs/>
          <w:color w:val="A6A6A6" w:themeColor="background1" w:themeShade="A6"/>
          <w:spacing w:val="7"/>
          <w:sz w:val="24"/>
          <w:szCs w:val="24"/>
        </w:rPr>
        <w:t xml:space="preserve">Κλάδος </w:t>
      </w:r>
      <w:r w:rsidR="00743829" w:rsidRPr="00951E90">
        <w:rPr>
          <w:b/>
          <w:bCs/>
          <w:color w:val="A6A6A6" w:themeColor="background1" w:themeShade="A6"/>
          <w:spacing w:val="7"/>
          <w:sz w:val="24"/>
          <w:szCs w:val="24"/>
        </w:rPr>
        <w:t>Χ</w:t>
      </w:r>
      <w:r w:rsidRPr="00951E90">
        <w:rPr>
          <w:b/>
          <w:bCs/>
          <w:color w:val="A6A6A6" w:themeColor="background1" w:themeShade="A6"/>
          <w:spacing w:val="7"/>
          <w:sz w:val="24"/>
          <w:szCs w:val="24"/>
        </w:rPr>
        <w:t>αλκού</w:t>
      </w:r>
    </w:p>
    <w:p w14:paraId="362D2AB1" w14:textId="77777777" w:rsidR="00F25E34" w:rsidRPr="00016DA9" w:rsidRDefault="00F25E34" w:rsidP="000B4EED">
      <w:pPr>
        <w:ind w:right="426"/>
        <w:jc w:val="both"/>
        <w:rPr>
          <w:color w:val="231F20"/>
          <w:sz w:val="18"/>
          <w:szCs w:val="18"/>
        </w:rPr>
      </w:pPr>
    </w:p>
    <w:p w14:paraId="372DBAA2" w14:textId="126E2F5B" w:rsidR="002D614A" w:rsidRDefault="002D614A" w:rsidP="000B4EED">
      <w:pPr>
        <w:jc w:val="both"/>
        <w:rPr>
          <w:color w:val="231F20"/>
          <w:sz w:val="20"/>
          <w:szCs w:val="20"/>
        </w:rPr>
      </w:pPr>
      <w:r w:rsidRPr="002D614A">
        <w:rPr>
          <w:color w:val="231F20"/>
          <w:sz w:val="20"/>
          <w:szCs w:val="20"/>
        </w:rPr>
        <w:t xml:space="preserve">Ο </w:t>
      </w:r>
      <w:r w:rsidR="00B47A91" w:rsidRPr="002D614A">
        <w:rPr>
          <w:color w:val="231F20"/>
          <w:sz w:val="20"/>
          <w:szCs w:val="20"/>
        </w:rPr>
        <w:t>κύκλο</w:t>
      </w:r>
      <w:r w:rsidR="00942724">
        <w:rPr>
          <w:color w:val="231F20"/>
          <w:sz w:val="20"/>
          <w:szCs w:val="20"/>
        </w:rPr>
        <w:t>ς</w:t>
      </w:r>
      <w:r w:rsidR="00B47A91" w:rsidRPr="002D614A">
        <w:rPr>
          <w:color w:val="231F20"/>
          <w:sz w:val="20"/>
          <w:szCs w:val="20"/>
        </w:rPr>
        <w:t xml:space="preserve"> εργασιών</w:t>
      </w:r>
      <w:r w:rsidR="00B47A91">
        <w:rPr>
          <w:color w:val="231F20"/>
          <w:sz w:val="20"/>
          <w:szCs w:val="20"/>
        </w:rPr>
        <w:t xml:space="preserve"> του </w:t>
      </w:r>
      <w:r w:rsidR="009D0920">
        <w:rPr>
          <w:color w:val="231F20"/>
          <w:sz w:val="20"/>
          <w:szCs w:val="20"/>
        </w:rPr>
        <w:t>κ</w:t>
      </w:r>
      <w:r>
        <w:rPr>
          <w:color w:val="231F20"/>
          <w:sz w:val="20"/>
          <w:szCs w:val="20"/>
        </w:rPr>
        <w:t>λάδο</w:t>
      </w:r>
      <w:r w:rsidR="00B47A91">
        <w:rPr>
          <w:color w:val="231F20"/>
          <w:sz w:val="20"/>
          <w:szCs w:val="20"/>
        </w:rPr>
        <w:t>υ</w:t>
      </w:r>
      <w:r w:rsidRPr="002D614A">
        <w:rPr>
          <w:color w:val="231F20"/>
          <w:sz w:val="20"/>
          <w:szCs w:val="20"/>
        </w:rPr>
        <w:t xml:space="preserve"> </w:t>
      </w:r>
      <w:r w:rsidR="009D0920">
        <w:rPr>
          <w:color w:val="231F20"/>
          <w:sz w:val="20"/>
          <w:szCs w:val="20"/>
        </w:rPr>
        <w:t>χ</w:t>
      </w:r>
      <w:r w:rsidRPr="002D614A">
        <w:rPr>
          <w:color w:val="231F20"/>
          <w:sz w:val="20"/>
          <w:szCs w:val="20"/>
        </w:rPr>
        <w:t xml:space="preserve">αλκού </w:t>
      </w:r>
      <w:r w:rsidR="00B47A91">
        <w:rPr>
          <w:color w:val="231F20"/>
          <w:sz w:val="20"/>
          <w:szCs w:val="20"/>
        </w:rPr>
        <w:t xml:space="preserve">ανήλθε στα </w:t>
      </w:r>
      <w:r w:rsidRPr="002D614A">
        <w:rPr>
          <w:color w:val="231F20"/>
          <w:sz w:val="20"/>
          <w:szCs w:val="20"/>
        </w:rPr>
        <w:t>925,7 εκατ. ευρώ έναντι 881,2 εκατ. ευρώ το</w:t>
      </w:r>
      <w:r w:rsidR="008B56DC">
        <w:rPr>
          <w:color w:val="231F20"/>
          <w:sz w:val="20"/>
          <w:szCs w:val="20"/>
        </w:rPr>
        <w:t>υ</w:t>
      </w:r>
      <w:r w:rsidRPr="002D614A">
        <w:rPr>
          <w:color w:val="231F20"/>
          <w:sz w:val="20"/>
          <w:szCs w:val="20"/>
        </w:rPr>
        <w:t xml:space="preserve"> Α’ εξ</w:t>
      </w:r>
      <w:r w:rsidR="008B56DC">
        <w:rPr>
          <w:color w:val="231F20"/>
          <w:sz w:val="20"/>
          <w:szCs w:val="20"/>
        </w:rPr>
        <w:t>α</w:t>
      </w:r>
      <w:r w:rsidRPr="002D614A">
        <w:rPr>
          <w:color w:val="231F20"/>
          <w:sz w:val="20"/>
          <w:szCs w:val="20"/>
        </w:rPr>
        <w:t>μ</w:t>
      </w:r>
      <w:r w:rsidR="008B56DC">
        <w:rPr>
          <w:color w:val="231F20"/>
          <w:sz w:val="20"/>
          <w:szCs w:val="20"/>
        </w:rPr>
        <w:t>ή</w:t>
      </w:r>
      <w:r w:rsidRPr="002D614A">
        <w:rPr>
          <w:color w:val="231F20"/>
          <w:sz w:val="20"/>
          <w:szCs w:val="20"/>
        </w:rPr>
        <w:t>νο</w:t>
      </w:r>
      <w:r w:rsidR="008B56DC">
        <w:rPr>
          <w:color w:val="231F20"/>
          <w:sz w:val="20"/>
          <w:szCs w:val="20"/>
        </w:rPr>
        <w:t>υ</w:t>
      </w:r>
      <w:r w:rsidRPr="002D614A">
        <w:rPr>
          <w:color w:val="231F20"/>
          <w:sz w:val="20"/>
          <w:szCs w:val="20"/>
        </w:rPr>
        <w:t xml:space="preserve"> του 2024, επηρεασμένος θετικά από τις αυξημένες μέσες τιμές </w:t>
      </w:r>
      <w:r w:rsidR="00B47A91">
        <w:rPr>
          <w:color w:val="231F20"/>
          <w:sz w:val="20"/>
          <w:szCs w:val="20"/>
        </w:rPr>
        <w:t xml:space="preserve">των </w:t>
      </w:r>
      <w:r w:rsidRPr="002D614A">
        <w:rPr>
          <w:color w:val="231F20"/>
          <w:sz w:val="20"/>
          <w:szCs w:val="20"/>
        </w:rPr>
        <w:t>μετάλλ</w:t>
      </w:r>
      <w:r>
        <w:rPr>
          <w:color w:val="231F20"/>
          <w:sz w:val="20"/>
          <w:szCs w:val="20"/>
        </w:rPr>
        <w:t>ων</w:t>
      </w:r>
      <w:r w:rsidRPr="002D614A">
        <w:rPr>
          <w:color w:val="231F20"/>
          <w:sz w:val="20"/>
          <w:szCs w:val="20"/>
        </w:rPr>
        <w:t xml:space="preserve"> στο </w:t>
      </w:r>
      <w:r w:rsidRPr="0085367C">
        <w:rPr>
          <w:color w:val="231F20"/>
          <w:sz w:val="20"/>
          <w:szCs w:val="20"/>
        </w:rPr>
        <w:t xml:space="preserve">LME. Παρά τις επίμονες μακροοικονομικές προκλήσεις, ο όγκος πωλήσεων του </w:t>
      </w:r>
      <w:r w:rsidR="009D0920">
        <w:rPr>
          <w:color w:val="231F20"/>
          <w:sz w:val="20"/>
          <w:szCs w:val="20"/>
        </w:rPr>
        <w:t>κ</w:t>
      </w:r>
      <w:r w:rsidRPr="0085367C">
        <w:rPr>
          <w:color w:val="231F20"/>
          <w:sz w:val="20"/>
          <w:szCs w:val="20"/>
        </w:rPr>
        <w:t xml:space="preserve">λάδου σημείωσε οριακή αύξηση κατά </w:t>
      </w:r>
      <w:r w:rsidR="005803C9">
        <w:rPr>
          <w:color w:val="231F20"/>
          <w:sz w:val="20"/>
          <w:szCs w:val="20"/>
        </w:rPr>
        <w:t>0,6</w:t>
      </w:r>
      <w:r w:rsidRPr="0085367C">
        <w:rPr>
          <w:color w:val="231F20"/>
          <w:sz w:val="20"/>
          <w:szCs w:val="20"/>
        </w:rPr>
        <w:t>%,  λόγω της αυξημένης ζήτησης στ</w:t>
      </w:r>
      <w:r w:rsidR="00446052">
        <w:rPr>
          <w:color w:val="231F20"/>
          <w:sz w:val="20"/>
          <w:szCs w:val="20"/>
        </w:rPr>
        <w:t>ους</w:t>
      </w:r>
      <w:r w:rsidRPr="0085367C">
        <w:rPr>
          <w:color w:val="231F20"/>
          <w:sz w:val="20"/>
          <w:szCs w:val="20"/>
        </w:rPr>
        <w:t xml:space="preserve"> κλάδο</w:t>
      </w:r>
      <w:r w:rsidR="00446052">
        <w:rPr>
          <w:color w:val="231F20"/>
          <w:sz w:val="20"/>
          <w:szCs w:val="20"/>
        </w:rPr>
        <w:t>υς</w:t>
      </w:r>
      <w:r w:rsidRPr="0085367C">
        <w:rPr>
          <w:color w:val="231F20"/>
          <w:sz w:val="20"/>
          <w:szCs w:val="20"/>
        </w:rPr>
        <w:t xml:space="preserve"> </w:t>
      </w:r>
      <w:r w:rsidR="0085367C" w:rsidRPr="0085367C">
        <w:rPr>
          <w:color w:val="231F20"/>
          <w:sz w:val="20"/>
          <w:szCs w:val="20"/>
        </w:rPr>
        <w:t xml:space="preserve">της ενέργειας και </w:t>
      </w:r>
      <w:r w:rsidRPr="0085367C">
        <w:rPr>
          <w:color w:val="231F20"/>
          <w:sz w:val="20"/>
          <w:szCs w:val="20"/>
        </w:rPr>
        <w:t xml:space="preserve">των κατασκευών κατά </w:t>
      </w:r>
      <w:r w:rsidR="0085367C" w:rsidRPr="0085367C">
        <w:rPr>
          <w:color w:val="231F20"/>
          <w:sz w:val="20"/>
          <w:szCs w:val="20"/>
        </w:rPr>
        <w:t>8</w:t>
      </w:r>
      <w:r w:rsidRPr="0085367C">
        <w:rPr>
          <w:color w:val="231F20"/>
          <w:sz w:val="20"/>
          <w:szCs w:val="20"/>
        </w:rPr>
        <w:t>,</w:t>
      </w:r>
      <w:r w:rsidR="0085367C" w:rsidRPr="0085367C">
        <w:rPr>
          <w:color w:val="231F20"/>
          <w:sz w:val="20"/>
          <w:szCs w:val="20"/>
        </w:rPr>
        <w:t>3</w:t>
      </w:r>
      <w:r w:rsidRPr="0085367C">
        <w:rPr>
          <w:color w:val="231F20"/>
          <w:sz w:val="20"/>
          <w:szCs w:val="20"/>
        </w:rPr>
        <w:t>%</w:t>
      </w:r>
      <w:r w:rsidR="0085367C" w:rsidRPr="0085367C">
        <w:rPr>
          <w:color w:val="231F20"/>
          <w:sz w:val="20"/>
          <w:szCs w:val="20"/>
        </w:rPr>
        <w:t xml:space="preserve"> και 2,4% αντίστοιχα</w:t>
      </w:r>
      <w:r w:rsidRPr="0085367C">
        <w:rPr>
          <w:color w:val="231F20"/>
          <w:sz w:val="20"/>
          <w:szCs w:val="20"/>
        </w:rPr>
        <w:t xml:space="preserve">. Αντίθετα, ο όγκος πωλήσεων </w:t>
      </w:r>
      <w:r w:rsidR="00B47A91">
        <w:rPr>
          <w:color w:val="231F20"/>
          <w:sz w:val="20"/>
          <w:szCs w:val="20"/>
        </w:rPr>
        <w:t xml:space="preserve">για τα </w:t>
      </w:r>
      <w:r w:rsidRPr="0085367C">
        <w:rPr>
          <w:color w:val="231F20"/>
          <w:sz w:val="20"/>
          <w:szCs w:val="20"/>
        </w:rPr>
        <w:t>προϊόντ</w:t>
      </w:r>
      <w:r w:rsidR="00B47A91">
        <w:rPr>
          <w:color w:val="231F20"/>
          <w:sz w:val="20"/>
          <w:szCs w:val="20"/>
        </w:rPr>
        <w:t>α</w:t>
      </w:r>
      <w:r w:rsidRPr="0085367C">
        <w:rPr>
          <w:color w:val="231F20"/>
          <w:sz w:val="20"/>
          <w:szCs w:val="20"/>
        </w:rPr>
        <w:t xml:space="preserve"> που προορίζονται για βιομηχανικές εφαρμογές μειώθηκε κατά 4,4%.</w:t>
      </w:r>
      <w:r w:rsidRPr="0085367C">
        <w:t xml:space="preserve"> </w:t>
      </w:r>
      <w:r w:rsidR="00B47A91">
        <w:rPr>
          <w:color w:val="231F20"/>
          <w:sz w:val="20"/>
          <w:szCs w:val="20"/>
        </w:rPr>
        <w:t>Αξίζει να σημειωθεί</w:t>
      </w:r>
      <w:r w:rsidRPr="002D614A">
        <w:rPr>
          <w:color w:val="231F20"/>
          <w:sz w:val="20"/>
          <w:szCs w:val="20"/>
        </w:rPr>
        <w:t xml:space="preserve"> ότι οι πωλήσεις </w:t>
      </w:r>
      <w:r w:rsidR="00B47A91">
        <w:rPr>
          <w:color w:val="231F20"/>
          <w:sz w:val="20"/>
          <w:szCs w:val="20"/>
        </w:rPr>
        <w:t xml:space="preserve">των </w:t>
      </w:r>
      <w:r w:rsidRPr="002D614A">
        <w:rPr>
          <w:color w:val="231F20"/>
          <w:sz w:val="20"/>
          <w:szCs w:val="20"/>
        </w:rPr>
        <w:t xml:space="preserve">προϊόντων </w:t>
      </w:r>
      <w:r>
        <w:rPr>
          <w:color w:val="231F20"/>
          <w:sz w:val="20"/>
          <w:szCs w:val="20"/>
        </w:rPr>
        <w:t>διέλασης χαλκού</w:t>
      </w:r>
      <w:r w:rsidRPr="002D614A">
        <w:rPr>
          <w:color w:val="231F20"/>
          <w:sz w:val="20"/>
          <w:szCs w:val="20"/>
        </w:rPr>
        <w:t xml:space="preserve"> τη</w:t>
      </w:r>
      <w:r w:rsidR="00B47A91">
        <w:rPr>
          <w:color w:val="231F20"/>
          <w:sz w:val="20"/>
          <w:szCs w:val="20"/>
        </w:rPr>
        <w:t>ς</w:t>
      </w:r>
      <w:r w:rsidRPr="002D614A">
        <w:rPr>
          <w:color w:val="231F20"/>
          <w:sz w:val="20"/>
          <w:szCs w:val="20"/>
        </w:rPr>
        <w:t xml:space="preserve"> θυγατρική μας Sofia Med, αυξήθηκαν κατά το πρώτο εξάμηνο του 2025, </w:t>
      </w:r>
      <w:r w:rsidR="00B16B18">
        <w:rPr>
          <w:color w:val="231F20"/>
          <w:sz w:val="20"/>
          <w:szCs w:val="20"/>
        </w:rPr>
        <w:t>ως αποτέλεσμα</w:t>
      </w:r>
      <w:r w:rsidRPr="002D614A">
        <w:rPr>
          <w:color w:val="231F20"/>
          <w:sz w:val="20"/>
          <w:szCs w:val="20"/>
        </w:rPr>
        <w:t xml:space="preserve"> της ζήτησης</w:t>
      </w:r>
      <w:r>
        <w:rPr>
          <w:color w:val="231F20"/>
          <w:sz w:val="20"/>
          <w:szCs w:val="20"/>
        </w:rPr>
        <w:t xml:space="preserve"> </w:t>
      </w:r>
      <w:r w:rsidR="00B16B18">
        <w:rPr>
          <w:color w:val="231F20"/>
          <w:sz w:val="20"/>
          <w:szCs w:val="20"/>
        </w:rPr>
        <w:t xml:space="preserve">για </w:t>
      </w:r>
      <w:r w:rsidRPr="002D614A">
        <w:rPr>
          <w:color w:val="231F20"/>
          <w:sz w:val="20"/>
          <w:szCs w:val="20"/>
        </w:rPr>
        <w:t xml:space="preserve">εφαρμογές </w:t>
      </w:r>
      <w:r>
        <w:rPr>
          <w:color w:val="231F20"/>
          <w:sz w:val="20"/>
          <w:szCs w:val="20"/>
        </w:rPr>
        <w:t xml:space="preserve">που προορίζονται </w:t>
      </w:r>
      <w:r w:rsidRPr="002D614A">
        <w:rPr>
          <w:color w:val="231F20"/>
          <w:sz w:val="20"/>
          <w:szCs w:val="20"/>
        </w:rPr>
        <w:t xml:space="preserve">σε data </w:t>
      </w:r>
      <w:r w:rsidR="0015251C" w:rsidRPr="0015251C">
        <w:rPr>
          <w:color w:val="231F20"/>
          <w:sz w:val="20"/>
          <w:szCs w:val="20"/>
        </w:rPr>
        <w:t>centers</w:t>
      </w:r>
      <w:r w:rsidRPr="002D614A">
        <w:rPr>
          <w:color w:val="231F20"/>
          <w:sz w:val="20"/>
          <w:szCs w:val="20"/>
        </w:rPr>
        <w:t xml:space="preserve"> και δίκτυα</w:t>
      </w:r>
      <w:r>
        <w:rPr>
          <w:color w:val="231F20"/>
          <w:sz w:val="20"/>
          <w:szCs w:val="20"/>
        </w:rPr>
        <w:t xml:space="preserve"> ηλεκτρικής</w:t>
      </w:r>
      <w:r w:rsidRPr="002D614A">
        <w:rPr>
          <w:color w:val="231F20"/>
          <w:sz w:val="20"/>
          <w:szCs w:val="20"/>
        </w:rPr>
        <w:t xml:space="preserve"> ενέργειας, ιδιαίτερα στην αγορά των ΗΠΑ. Αυτό επιβεβαιώνει την ανταγωνιστικότητα και την ισχυρή θέση του </w:t>
      </w:r>
      <w:r w:rsidR="009D0920">
        <w:rPr>
          <w:color w:val="231F20"/>
          <w:sz w:val="20"/>
          <w:szCs w:val="20"/>
        </w:rPr>
        <w:t>κ</w:t>
      </w:r>
      <w:r>
        <w:rPr>
          <w:color w:val="231F20"/>
          <w:sz w:val="20"/>
          <w:szCs w:val="20"/>
        </w:rPr>
        <w:t>λάδου</w:t>
      </w:r>
      <w:r w:rsidRPr="002D614A">
        <w:rPr>
          <w:color w:val="231F20"/>
          <w:sz w:val="20"/>
          <w:szCs w:val="20"/>
        </w:rPr>
        <w:t xml:space="preserve"> </w:t>
      </w:r>
      <w:r w:rsidR="009D0920">
        <w:rPr>
          <w:color w:val="231F20"/>
          <w:sz w:val="20"/>
          <w:szCs w:val="20"/>
        </w:rPr>
        <w:t>χ</w:t>
      </w:r>
      <w:r w:rsidRPr="002D614A">
        <w:rPr>
          <w:color w:val="231F20"/>
          <w:sz w:val="20"/>
          <w:szCs w:val="20"/>
        </w:rPr>
        <w:t>αλκού στις διεθνείς αγορές.</w:t>
      </w:r>
      <w:r w:rsidRPr="002D614A">
        <w:t xml:space="preserve"> </w:t>
      </w:r>
      <w:r w:rsidRPr="002D614A">
        <w:rPr>
          <w:color w:val="231F20"/>
          <w:sz w:val="20"/>
          <w:szCs w:val="20"/>
        </w:rPr>
        <w:t xml:space="preserve">Οι </w:t>
      </w:r>
      <w:r>
        <w:rPr>
          <w:color w:val="231F20"/>
          <w:sz w:val="20"/>
          <w:szCs w:val="20"/>
        </w:rPr>
        <w:t xml:space="preserve">αναταράξεις </w:t>
      </w:r>
      <w:r w:rsidRPr="002D614A">
        <w:rPr>
          <w:color w:val="231F20"/>
          <w:sz w:val="20"/>
          <w:szCs w:val="20"/>
        </w:rPr>
        <w:t xml:space="preserve">στην εφοδιαστική αλυσίδα, ως αποτέλεσμα </w:t>
      </w:r>
      <w:r w:rsidR="00B47A91">
        <w:rPr>
          <w:color w:val="231F20"/>
          <w:sz w:val="20"/>
          <w:szCs w:val="20"/>
        </w:rPr>
        <w:t>της ανησυχίας για επιβολή</w:t>
      </w:r>
      <w:r w:rsidRPr="002D614A">
        <w:rPr>
          <w:color w:val="231F20"/>
          <w:sz w:val="20"/>
          <w:szCs w:val="20"/>
        </w:rPr>
        <w:t xml:space="preserve"> δασμών στα προϊόντα χαλκού, επηρέασαν αρνητικά τη διαθεσιμότητα </w:t>
      </w:r>
      <w:r w:rsidR="00B47A91">
        <w:rPr>
          <w:color w:val="231F20"/>
          <w:sz w:val="20"/>
          <w:szCs w:val="20"/>
        </w:rPr>
        <w:t xml:space="preserve">των </w:t>
      </w:r>
      <w:r w:rsidRPr="002D614A">
        <w:rPr>
          <w:color w:val="231F20"/>
          <w:sz w:val="20"/>
          <w:szCs w:val="20"/>
        </w:rPr>
        <w:t xml:space="preserve">πρώτων υλών και </w:t>
      </w:r>
      <w:r w:rsidR="002F35F3">
        <w:rPr>
          <w:color w:val="231F20"/>
          <w:sz w:val="20"/>
          <w:szCs w:val="20"/>
        </w:rPr>
        <w:t>σκραπ</w:t>
      </w:r>
      <w:r w:rsidRPr="002D614A">
        <w:rPr>
          <w:color w:val="231F20"/>
          <w:sz w:val="20"/>
          <w:szCs w:val="20"/>
        </w:rPr>
        <w:t xml:space="preserve">, επηρεάζοντας έτσι τη λειτουργική κερδοφορία του </w:t>
      </w:r>
      <w:r w:rsidR="009D0920">
        <w:rPr>
          <w:color w:val="231F20"/>
          <w:sz w:val="20"/>
          <w:szCs w:val="20"/>
        </w:rPr>
        <w:t>κ</w:t>
      </w:r>
      <w:r>
        <w:rPr>
          <w:color w:val="231F20"/>
          <w:sz w:val="20"/>
          <w:szCs w:val="20"/>
        </w:rPr>
        <w:t>λάδου</w:t>
      </w:r>
      <w:r w:rsidRPr="002D614A">
        <w:rPr>
          <w:color w:val="231F20"/>
          <w:sz w:val="20"/>
          <w:szCs w:val="20"/>
        </w:rPr>
        <w:t xml:space="preserve">. </w:t>
      </w:r>
      <w:r w:rsidR="00B47A91">
        <w:rPr>
          <w:color w:val="231F20"/>
          <w:sz w:val="20"/>
          <w:szCs w:val="20"/>
        </w:rPr>
        <w:t>Τα ανωτέρω</w:t>
      </w:r>
      <w:r w:rsidRPr="002D614A">
        <w:rPr>
          <w:color w:val="231F20"/>
          <w:sz w:val="20"/>
          <w:szCs w:val="20"/>
        </w:rPr>
        <w:t xml:space="preserve">, σε συνδυασμό με το δυσμενές μίγμα πωλήσεων και το αυξημένο ενεργειακό κόστος, οδήγησαν </w:t>
      </w:r>
      <w:r w:rsidR="002F35F3">
        <w:rPr>
          <w:color w:val="231F20"/>
          <w:sz w:val="20"/>
          <w:szCs w:val="20"/>
        </w:rPr>
        <w:t xml:space="preserve">το </w:t>
      </w:r>
      <w:r w:rsidRPr="002D614A">
        <w:rPr>
          <w:color w:val="231F20"/>
          <w:sz w:val="20"/>
          <w:szCs w:val="20"/>
        </w:rPr>
        <w:t xml:space="preserve">a-EBITDA </w:t>
      </w:r>
      <w:r w:rsidR="002F35F3">
        <w:rPr>
          <w:color w:val="231F20"/>
          <w:sz w:val="20"/>
          <w:szCs w:val="20"/>
        </w:rPr>
        <w:t>σ</w:t>
      </w:r>
      <w:r w:rsidR="00B47A91">
        <w:rPr>
          <w:color w:val="231F20"/>
          <w:sz w:val="20"/>
          <w:szCs w:val="20"/>
        </w:rPr>
        <w:t>τα</w:t>
      </w:r>
      <w:r w:rsidRPr="002D614A">
        <w:rPr>
          <w:color w:val="231F20"/>
          <w:sz w:val="20"/>
          <w:szCs w:val="20"/>
        </w:rPr>
        <w:t xml:space="preserve"> 53,0 εκατ. ευρώ το Α’ εξάμηνο του 2025, έναντι 57,9 εκατ. ευρώ το αντίστοιχο διάστημα του 2024. Τα λογιστικά αποτελέσματα μετάλλου για την περίοδο ανήλθαν σε ζημιές ύψους 1,8 εκατ. ευρώ έναντι κερδών 16,4 εκατ. ευρώ την αντίστοιχη περσινή περίοδο, αντανακλώντας τις αναθεωρημένες προβλέψεις για τις τιμές στο LME. </w:t>
      </w:r>
      <w:r w:rsidR="002F35F3" w:rsidRPr="002F35F3">
        <w:rPr>
          <w:color w:val="231F20"/>
          <w:sz w:val="20"/>
          <w:szCs w:val="20"/>
        </w:rPr>
        <w:t xml:space="preserve">Τα κέρδη πριν από φόρους </w:t>
      </w:r>
      <w:r w:rsidRPr="002D614A">
        <w:rPr>
          <w:color w:val="231F20"/>
          <w:sz w:val="20"/>
          <w:szCs w:val="20"/>
        </w:rPr>
        <w:t>ανήλθαν σε 31,4 εκατ. ευρώ έναντι 50,9 εκατ. ευρώ το Α’ εξάμηνο του 2024.</w:t>
      </w:r>
    </w:p>
    <w:p w14:paraId="0757796B" w14:textId="77777777" w:rsidR="00B15D2D" w:rsidRPr="00E9077F" w:rsidRDefault="00B15D2D" w:rsidP="000B4EED">
      <w:pPr>
        <w:jc w:val="both"/>
        <w:rPr>
          <w:color w:val="231F20"/>
          <w:sz w:val="20"/>
          <w:szCs w:val="18"/>
          <w:highlight w:val="yellow"/>
        </w:rPr>
      </w:pPr>
    </w:p>
    <w:p w14:paraId="144C6D77" w14:textId="1FC40A1E" w:rsidR="000349B5" w:rsidRDefault="000E2C08" w:rsidP="000349B5">
      <w:pPr>
        <w:jc w:val="both"/>
        <w:rPr>
          <w:color w:val="231F20"/>
          <w:sz w:val="20"/>
          <w:szCs w:val="18"/>
        </w:rPr>
      </w:pPr>
      <w:r w:rsidRPr="000E2C08">
        <w:rPr>
          <w:color w:val="231F20"/>
          <w:sz w:val="20"/>
          <w:szCs w:val="18"/>
        </w:rPr>
        <w:t xml:space="preserve">Παρά το </w:t>
      </w:r>
      <w:r w:rsidR="009F2A8D">
        <w:rPr>
          <w:color w:val="231F20"/>
          <w:sz w:val="20"/>
          <w:szCs w:val="18"/>
        </w:rPr>
        <w:t>αντίξοο</w:t>
      </w:r>
      <w:r w:rsidRPr="000E2C08">
        <w:rPr>
          <w:color w:val="231F20"/>
          <w:sz w:val="20"/>
          <w:szCs w:val="18"/>
        </w:rPr>
        <w:t xml:space="preserve"> εμπορικό περιβάλλον, που </w:t>
      </w:r>
      <w:r w:rsidR="00707676">
        <w:rPr>
          <w:color w:val="231F20"/>
          <w:sz w:val="20"/>
          <w:szCs w:val="18"/>
        </w:rPr>
        <w:t>χαρακτηρίστηκε</w:t>
      </w:r>
      <w:r w:rsidRPr="000E2C08">
        <w:rPr>
          <w:color w:val="231F20"/>
          <w:sz w:val="20"/>
          <w:szCs w:val="18"/>
        </w:rPr>
        <w:t xml:space="preserve"> από περιορισμένη διαθεσιμότητα πρώτων υλών λόγω </w:t>
      </w:r>
      <w:r w:rsidR="00707676">
        <w:rPr>
          <w:color w:val="231F20"/>
          <w:sz w:val="20"/>
          <w:szCs w:val="18"/>
        </w:rPr>
        <w:t xml:space="preserve">των </w:t>
      </w:r>
      <w:r w:rsidRPr="000E2C08">
        <w:rPr>
          <w:color w:val="231F20"/>
          <w:sz w:val="20"/>
          <w:szCs w:val="18"/>
        </w:rPr>
        <w:t xml:space="preserve">ανησυχιών </w:t>
      </w:r>
      <w:r w:rsidR="00707676">
        <w:rPr>
          <w:color w:val="231F20"/>
          <w:sz w:val="20"/>
          <w:szCs w:val="18"/>
        </w:rPr>
        <w:t>για την επιβολή δασμών</w:t>
      </w:r>
      <w:r w:rsidRPr="000E2C08">
        <w:rPr>
          <w:color w:val="231F20"/>
          <w:sz w:val="20"/>
          <w:szCs w:val="18"/>
        </w:rPr>
        <w:t xml:space="preserve"> και τις αυξημένες</w:t>
      </w:r>
      <w:r w:rsidR="00707676">
        <w:rPr>
          <w:color w:val="231F20"/>
          <w:sz w:val="20"/>
          <w:szCs w:val="18"/>
        </w:rPr>
        <w:t xml:space="preserve"> μέσες</w:t>
      </w:r>
      <w:r w:rsidRPr="000E2C08">
        <w:rPr>
          <w:color w:val="231F20"/>
          <w:sz w:val="20"/>
          <w:szCs w:val="18"/>
        </w:rPr>
        <w:t xml:space="preserve"> τιμές στο LME, ο </w:t>
      </w:r>
      <w:r w:rsidR="009D0920">
        <w:rPr>
          <w:color w:val="231F20"/>
          <w:sz w:val="20"/>
          <w:szCs w:val="18"/>
        </w:rPr>
        <w:t>κ</w:t>
      </w:r>
      <w:r w:rsidR="00BC5E78">
        <w:rPr>
          <w:color w:val="231F20"/>
          <w:sz w:val="20"/>
          <w:szCs w:val="18"/>
        </w:rPr>
        <w:t>λάδος</w:t>
      </w:r>
      <w:r w:rsidRPr="000E2C08">
        <w:rPr>
          <w:color w:val="231F20"/>
          <w:sz w:val="20"/>
          <w:szCs w:val="18"/>
        </w:rPr>
        <w:t xml:space="preserve"> διαχειρίστηκε αποτελεσματικά τις ανάγκες του σε κεφάλαιο κίνησης.</w:t>
      </w:r>
    </w:p>
    <w:p w14:paraId="72961763" w14:textId="77777777" w:rsidR="00BC5E78" w:rsidRDefault="00BC5E78" w:rsidP="000349B5">
      <w:pPr>
        <w:jc w:val="both"/>
        <w:rPr>
          <w:color w:val="231F20"/>
          <w:sz w:val="20"/>
          <w:szCs w:val="18"/>
        </w:rPr>
      </w:pPr>
    </w:p>
    <w:p w14:paraId="15B51729" w14:textId="471E9EB0" w:rsidR="00BC5E78" w:rsidRDefault="00BC5E78" w:rsidP="000349B5">
      <w:pPr>
        <w:jc w:val="both"/>
        <w:rPr>
          <w:color w:val="231F20"/>
          <w:sz w:val="20"/>
          <w:szCs w:val="20"/>
        </w:rPr>
      </w:pPr>
      <w:r w:rsidRPr="00BC5E78">
        <w:rPr>
          <w:color w:val="231F20"/>
          <w:sz w:val="20"/>
          <w:szCs w:val="20"/>
        </w:rPr>
        <w:t>Κατά το πρώτο εξάμηνο του 2025, ολοκληρώθηκαν με επιτυχία επενδ</w:t>
      </w:r>
      <w:r>
        <w:rPr>
          <w:color w:val="231F20"/>
          <w:sz w:val="20"/>
          <w:szCs w:val="20"/>
        </w:rPr>
        <w:t>ύσεις</w:t>
      </w:r>
      <w:r w:rsidRPr="00BC5E78">
        <w:rPr>
          <w:color w:val="231F20"/>
          <w:sz w:val="20"/>
          <w:szCs w:val="20"/>
        </w:rPr>
        <w:t xml:space="preserve"> για την ενίσχυση της παραγωγικής δυναμικότητας και την </w:t>
      </w:r>
      <w:r>
        <w:rPr>
          <w:color w:val="231F20"/>
          <w:sz w:val="20"/>
          <w:szCs w:val="20"/>
        </w:rPr>
        <w:t xml:space="preserve">διεύρυνση της </w:t>
      </w:r>
      <w:r w:rsidRPr="00BC5E78">
        <w:rPr>
          <w:color w:val="231F20"/>
          <w:sz w:val="20"/>
          <w:szCs w:val="20"/>
        </w:rPr>
        <w:t>γκάμας του υφιστάμεν</w:t>
      </w:r>
      <w:r>
        <w:rPr>
          <w:color w:val="231F20"/>
          <w:sz w:val="20"/>
          <w:szCs w:val="20"/>
        </w:rPr>
        <w:t>ων</w:t>
      </w:r>
      <w:r w:rsidRPr="00BC5E78">
        <w:rPr>
          <w:color w:val="231F20"/>
          <w:sz w:val="20"/>
          <w:szCs w:val="20"/>
        </w:rPr>
        <w:t xml:space="preserve"> προϊόντων της Sofia Med. Πιο συγκεκριμένα, οι επενδύσεις που αφορούν τον </w:t>
      </w:r>
      <w:r>
        <w:rPr>
          <w:color w:val="231F20"/>
          <w:sz w:val="20"/>
          <w:szCs w:val="20"/>
        </w:rPr>
        <w:t>τ</w:t>
      </w:r>
      <w:r w:rsidRPr="00BC5E78">
        <w:rPr>
          <w:color w:val="231F20"/>
          <w:sz w:val="20"/>
          <w:szCs w:val="20"/>
        </w:rPr>
        <w:t xml:space="preserve">ομέα διέλασης </w:t>
      </w:r>
      <w:r w:rsidR="00213F65">
        <w:rPr>
          <w:color w:val="231F20"/>
          <w:sz w:val="20"/>
          <w:szCs w:val="20"/>
        </w:rPr>
        <w:t>χ</w:t>
      </w:r>
      <w:r w:rsidRPr="00BC5E78">
        <w:rPr>
          <w:color w:val="231F20"/>
          <w:sz w:val="20"/>
          <w:szCs w:val="20"/>
        </w:rPr>
        <w:t xml:space="preserve">αλκού και </w:t>
      </w:r>
      <w:r w:rsidR="00213F65">
        <w:rPr>
          <w:color w:val="231F20"/>
          <w:sz w:val="20"/>
          <w:szCs w:val="20"/>
        </w:rPr>
        <w:t>κ</w:t>
      </w:r>
      <w:r w:rsidRPr="00BC5E78">
        <w:rPr>
          <w:color w:val="231F20"/>
          <w:sz w:val="20"/>
          <w:szCs w:val="20"/>
        </w:rPr>
        <w:t>ραμάτων της μητρικής εταιρείας ανήλθαν σε 5,8 εκατ. ευρώ, ενώ για τη θυγατρική Sofia Med ανήλθαν σε 7,0 εκατ. ευρώ.</w:t>
      </w:r>
    </w:p>
    <w:p w14:paraId="69352998" w14:textId="77777777" w:rsidR="000E2C08" w:rsidRDefault="000E2C08" w:rsidP="000349B5">
      <w:pPr>
        <w:jc w:val="both"/>
        <w:rPr>
          <w:color w:val="231F20"/>
          <w:sz w:val="20"/>
          <w:szCs w:val="20"/>
        </w:rPr>
      </w:pPr>
    </w:p>
    <w:p w14:paraId="35A8D3ED" w14:textId="77777777" w:rsidR="000E2C08" w:rsidRPr="00E842EA" w:rsidRDefault="000E2C08" w:rsidP="000349B5">
      <w:pPr>
        <w:jc w:val="both"/>
        <w:rPr>
          <w:color w:val="231F20"/>
          <w:sz w:val="20"/>
          <w:szCs w:val="20"/>
        </w:rPr>
      </w:pPr>
    </w:p>
    <w:p w14:paraId="5215F636" w14:textId="53103D5B" w:rsidR="006939E9" w:rsidRDefault="006939E9" w:rsidP="000B4EED">
      <w:pPr>
        <w:jc w:val="both"/>
        <w:rPr>
          <w:color w:val="231F20"/>
          <w:sz w:val="20"/>
          <w:szCs w:val="18"/>
        </w:rPr>
      </w:pPr>
    </w:p>
    <w:p w14:paraId="44CE8579" w14:textId="77777777" w:rsidR="006939E9" w:rsidRDefault="006939E9" w:rsidP="000B4EED">
      <w:pPr>
        <w:jc w:val="both"/>
        <w:rPr>
          <w:color w:val="231F20"/>
          <w:sz w:val="20"/>
          <w:szCs w:val="18"/>
        </w:rPr>
      </w:pPr>
    </w:p>
    <w:p w14:paraId="48145F22" w14:textId="77777777" w:rsidR="006939E9" w:rsidRDefault="006939E9" w:rsidP="000B4EED">
      <w:pPr>
        <w:jc w:val="both"/>
        <w:rPr>
          <w:color w:val="231F20"/>
          <w:sz w:val="20"/>
          <w:szCs w:val="18"/>
        </w:rPr>
      </w:pPr>
    </w:p>
    <w:p w14:paraId="203EAC9A" w14:textId="77777777" w:rsidR="006939E9" w:rsidRDefault="006939E9" w:rsidP="000B4EED">
      <w:pPr>
        <w:jc w:val="both"/>
        <w:rPr>
          <w:color w:val="231F20"/>
          <w:sz w:val="20"/>
          <w:szCs w:val="18"/>
        </w:rPr>
      </w:pPr>
    </w:p>
    <w:p w14:paraId="31D72C66" w14:textId="77777777" w:rsidR="006939E9" w:rsidRDefault="006939E9" w:rsidP="000B4EED">
      <w:pPr>
        <w:jc w:val="both"/>
        <w:rPr>
          <w:color w:val="231F20"/>
          <w:sz w:val="20"/>
          <w:szCs w:val="18"/>
        </w:rPr>
      </w:pPr>
    </w:p>
    <w:p w14:paraId="6F96CEC1" w14:textId="77777777" w:rsidR="006939E9" w:rsidRDefault="006939E9" w:rsidP="000B4EED">
      <w:pPr>
        <w:jc w:val="both"/>
        <w:rPr>
          <w:color w:val="231F20"/>
          <w:sz w:val="20"/>
          <w:szCs w:val="18"/>
        </w:rPr>
      </w:pPr>
    </w:p>
    <w:p w14:paraId="54C2F2A9" w14:textId="77777777" w:rsidR="006939E9" w:rsidRDefault="006939E9" w:rsidP="000B4EED">
      <w:pPr>
        <w:jc w:val="both"/>
        <w:rPr>
          <w:color w:val="231F20"/>
          <w:sz w:val="20"/>
          <w:szCs w:val="18"/>
        </w:rPr>
      </w:pPr>
    </w:p>
    <w:p w14:paraId="2D67276C" w14:textId="77777777" w:rsidR="006939E9" w:rsidRDefault="006939E9" w:rsidP="000B4EED">
      <w:pPr>
        <w:jc w:val="both"/>
        <w:rPr>
          <w:color w:val="231F20"/>
          <w:sz w:val="20"/>
          <w:szCs w:val="18"/>
        </w:rPr>
      </w:pPr>
    </w:p>
    <w:p w14:paraId="2A0576B9" w14:textId="77777777" w:rsidR="006939E9" w:rsidRDefault="006939E9" w:rsidP="000B4EED">
      <w:pPr>
        <w:jc w:val="both"/>
        <w:rPr>
          <w:color w:val="231F20"/>
          <w:sz w:val="20"/>
          <w:szCs w:val="18"/>
        </w:rPr>
      </w:pPr>
    </w:p>
    <w:p w14:paraId="0D9E5B33" w14:textId="77777777" w:rsidR="006939E9" w:rsidRDefault="006939E9" w:rsidP="000B4EED">
      <w:pPr>
        <w:jc w:val="both"/>
        <w:rPr>
          <w:color w:val="231F20"/>
          <w:sz w:val="20"/>
          <w:szCs w:val="18"/>
        </w:rPr>
      </w:pPr>
    </w:p>
    <w:p w14:paraId="7869A77C" w14:textId="77777777" w:rsidR="006939E9" w:rsidRDefault="006939E9" w:rsidP="000B4EED">
      <w:pPr>
        <w:jc w:val="both"/>
        <w:rPr>
          <w:color w:val="231F20"/>
          <w:sz w:val="20"/>
          <w:szCs w:val="18"/>
        </w:rPr>
      </w:pPr>
    </w:p>
    <w:p w14:paraId="4A8AC1F5" w14:textId="77777777" w:rsidR="006939E9" w:rsidRDefault="006939E9" w:rsidP="000B4EED">
      <w:pPr>
        <w:jc w:val="both"/>
        <w:rPr>
          <w:color w:val="231F20"/>
          <w:sz w:val="20"/>
          <w:szCs w:val="18"/>
        </w:rPr>
      </w:pPr>
    </w:p>
    <w:p w14:paraId="1DB0D60D" w14:textId="77777777" w:rsidR="00391037" w:rsidRPr="0085367C" w:rsidRDefault="00391037" w:rsidP="000B4EED">
      <w:pPr>
        <w:jc w:val="both"/>
        <w:rPr>
          <w:color w:val="231F20"/>
          <w:sz w:val="20"/>
          <w:szCs w:val="18"/>
        </w:rPr>
        <w:sectPr w:rsidR="00391037" w:rsidRPr="0085367C" w:rsidSect="00F538E0">
          <w:pgSz w:w="11910" w:h="16840"/>
          <w:pgMar w:top="977" w:right="853" w:bottom="851" w:left="567" w:header="0" w:footer="749" w:gutter="0"/>
          <w:cols w:space="720"/>
          <w:docGrid w:linePitch="299"/>
        </w:sectPr>
      </w:pPr>
    </w:p>
    <w:p w14:paraId="2603F4E8" w14:textId="77777777" w:rsidR="00817256" w:rsidRDefault="00817256" w:rsidP="000B4EED">
      <w:pPr>
        <w:jc w:val="both"/>
        <w:rPr>
          <w:color w:val="231F20"/>
          <w:sz w:val="20"/>
          <w:szCs w:val="18"/>
        </w:rPr>
      </w:pPr>
    </w:p>
    <w:p w14:paraId="46F44DCE" w14:textId="77777777" w:rsidR="00817B39" w:rsidRDefault="00817B39" w:rsidP="000B4EED">
      <w:pPr>
        <w:jc w:val="both"/>
        <w:rPr>
          <w:color w:val="231F20"/>
          <w:sz w:val="20"/>
          <w:szCs w:val="18"/>
        </w:rPr>
      </w:pPr>
    </w:p>
    <w:p w14:paraId="34114E57" w14:textId="521D8243" w:rsidR="004578EA" w:rsidRPr="00951E90" w:rsidRDefault="004578EA" w:rsidP="000B4EED">
      <w:pPr>
        <w:rPr>
          <w:b/>
          <w:bCs/>
          <w:color w:val="A6A6A6" w:themeColor="background1" w:themeShade="A6"/>
          <w:sz w:val="24"/>
          <w:szCs w:val="24"/>
        </w:rPr>
      </w:pPr>
      <w:r w:rsidRPr="00951E90">
        <w:rPr>
          <w:b/>
          <w:bCs/>
          <w:color w:val="A6A6A6" w:themeColor="background1" w:themeShade="A6"/>
          <w:sz w:val="24"/>
          <w:szCs w:val="24"/>
        </w:rPr>
        <w:t>Προοπτικές</w:t>
      </w:r>
    </w:p>
    <w:p w14:paraId="16F7242B" w14:textId="77777777" w:rsidR="00817B39" w:rsidRDefault="00817B39" w:rsidP="000B4EED">
      <w:pPr>
        <w:jc w:val="both"/>
        <w:rPr>
          <w:sz w:val="24"/>
          <w:szCs w:val="24"/>
        </w:rPr>
      </w:pPr>
      <w:bookmarkStart w:id="4" w:name="_Hlk40783232"/>
    </w:p>
    <w:p w14:paraId="234A586F" w14:textId="474300B1" w:rsidR="00E30870" w:rsidRDefault="00817256" w:rsidP="000F37B2">
      <w:pPr>
        <w:jc w:val="both"/>
        <w:rPr>
          <w:color w:val="231F20"/>
          <w:sz w:val="20"/>
          <w:szCs w:val="20"/>
        </w:rPr>
      </w:pPr>
      <w:r>
        <w:rPr>
          <w:color w:val="231F20"/>
          <w:sz w:val="20"/>
          <w:szCs w:val="20"/>
        </w:rPr>
        <w:t>Οι αναταραχές στο διεθνές εμπόριο, οι</w:t>
      </w:r>
      <w:r w:rsidRPr="006939E9">
        <w:rPr>
          <w:color w:val="231F20"/>
          <w:sz w:val="20"/>
          <w:szCs w:val="20"/>
        </w:rPr>
        <w:t xml:space="preserve"> αυξήσεις των τιμών </w:t>
      </w:r>
      <w:r>
        <w:rPr>
          <w:color w:val="231F20"/>
          <w:sz w:val="20"/>
          <w:szCs w:val="20"/>
        </w:rPr>
        <w:t xml:space="preserve">των </w:t>
      </w:r>
      <w:r w:rsidRPr="006939E9">
        <w:rPr>
          <w:color w:val="231F20"/>
          <w:sz w:val="20"/>
          <w:szCs w:val="20"/>
        </w:rPr>
        <w:t>πρώτων υλών και των μετάλλων</w:t>
      </w:r>
      <w:r>
        <w:rPr>
          <w:color w:val="231F20"/>
          <w:sz w:val="20"/>
          <w:szCs w:val="20"/>
        </w:rPr>
        <w:t xml:space="preserve">, οι </w:t>
      </w:r>
      <w:r w:rsidR="006939E9" w:rsidRPr="006939E9">
        <w:rPr>
          <w:color w:val="231F20"/>
          <w:sz w:val="20"/>
          <w:szCs w:val="20"/>
        </w:rPr>
        <w:t xml:space="preserve">συνεχιζόμενες γεωπολιτικές </w:t>
      </w:r>
      <w:r w:rsidR="00414D97">
        <w:rPr>
          <w:color w:val="231F20"/>
          <w:sz w:val="20"/>
          <w:szCs w:val="20"/>
        </w:rPr>
        <w:t>εντάσεις</w:t>
      </w:r>
      <w:r w:rsidR="006939E9" w:rsidRPr="006939E9">
        <w:rPr>
          <w:color w:val="231F20"/>
          <w:sz w:val="20"/>
          <w:szCs w:val="20"/>
        </w:rPr>
        <w:t xml:space="preserve">, </w:t>
      </w:r>
      <w:r w:rsidR="00EF3B3E" w:rsidRPr="00EF3B3E">
        <w:rPr>
          <w:color w:val="231F20"/>
          <w:sz w:val="20"/>
          <w:szCs w:val="20"/>
        </w:rPr>
        <w:t xml:space="preserve">οι προκλήσεις </w:t>
      </w:r>
      <w:r w:rsidR="006939E9" w:rsidRPr="006939E9">
        <w:rPr>
          <w:color w:val="231F20"/>
          <w:sz w:val="20"/>
          <w:szCs w:val="20"/>
        </w:rPr>
        <w:t>στην εφοδιαστική αλυσίδα</w:t>
      </w:r>
      <w:r w:rsidR="00EF3B3E" w:rsidRPr="00EF3B3E">
        <w:rPr>
          <w:color w:val="231F20"/>
          <w:sz w:val="20"/>
          <w:szCs w:val="20"/>
        </w:rPr>
        <w:t>,</w:t>
      </w:r>
      <w:r>
        <w:rPr>
          <w:color w:val="231F20"/>
          <w:sz w:val="20"/>
          <w:szCs w:val="20"/>
        </w:rPr>
        <w:t xml:space="preserve"> </w:t>
      </w:r>
      <w:r w:rsidR="00EF3B3E" w:rsidRPr="00EF3B3E">
        <w:rPr>
          <w:color w:val="231F20"/>
          <w:sz w:val="20"/>
          <w:szCs w:val="20"/>
        </w:rPr>
        <w:t>καθώς και τα υψηλά επιτόκια</w:t>
      </w:r>
      <w:r w:rsidR="006939E9" w:rsidRPr="006939E9">
        <w:rPr>
          <w:color w:val="231F20"/>
          <w:sz w:val="20"/>
          <w:szCs w:val="20"/>
        </w:rPr>
        <w:t xml:space="preserve"> </w:t>
      </w:r>
      <w:r>
        <w:rPr>
          <w:color w:val="231F20"/>
          <w:sz w:val="20"/>
          <w:szCs w:val="20"/>
        </w:rPr>
        <w:t xml:space="preserve">και </w:t>
      </w:r>
      <w:r w:rsidR="00EF3B3E">
        <w:rPr>
          <w:color w:val="231F20"/>
          <w:sz w:val="20"/>
          <w:szCs w:val="20"/>
          <w:lang w:val="en-US"/>
        </w:rPr>
        <w:t>o</w:t>
      </w:r>
      <w:r>
        <w:rPr>
          <w:color w:val="231F20"/>
          <w:sz w:val="20"/>
          <w:szCs w:val="20"/>
        </w:rPr>
        <w:t xml:space="preserve"> πληθωρισμ</w:t>
      </w:r>
      <w:r w:rsidR="00EF3B3E">
        <w:rPr>
          <w:color w:val="231F20"/>
          <w:sz w:val="20"/>
          <w:szCs w:val="20"/>
        </w:rPr>
        <w:t>ός</w:t>
      </w:r>
      <w:r>
        <w:rPr>
          <w:color w:val="231F20"/>
          <w:sz w:val="20"/>
          <w:szCs w:val="20"/>
        </w:rPr>
        <w:t>,</w:t>
      </w:r>
      <w:r w:rsidR="00AB482B">
        <w:rPr>
          <w:color w:val="231F20"/>
          <w:sz w:val="20"/>
          <w:szCs w:val="20"/>
        </w:rPr>
        <w:t xml:space="preserve"> </w:t>
      </w:r>
      <w:r w:rsidR="009D41C8">
        <w:rPr>
          <w:color w:val="231F20"/>
          <w:sz w:val="20"/>
          <w:szCs w:val="20"/>
        </w:rPr>
        <w:t xml:space="preserve">συνεχίζουν </w:t>
      </w:r>
      <w:r w:rsidR="00EF3B3E" w:rsidRPr="00EF3B3E">
        <w:rPr>
          <w:color w:val="231F20"/>
          <w:sz w:val="20"/>
          <w:szCs w:val="20"/>
        </w:rPr>
        <w:t>να ασκούν πιέσεις στο παγκόσμιο οικονομικό περιβάλλον</w:t>
      </w:r>
      <w:r w:rsidR="006939E9" w:rsidRPr="006939E9">
        <w:rPr>
          <w:color w:val="231F20"/>
          <w:sz w:val="20"/>
          <w:szCs w:val="20"/>
        </w:rPr>
        <w:t xml:space="preserve">. </w:t>
      </w:r>
      <w:r w:rsidR="0015251C" w:rsidRPr="0015251C">
        <w:rPr>
          <w:color w:val="231F20"/>
          <w:sz w:val="20"/>
          <w:szCs w:val="20"/>
        </w:rPr>
        <w:t xml:space="preserve">Παρά τις αντίξοες συνθήκες, </w:t>
      </w:r>
      <w:r w:rsidR="000A2AAC">
        <w:rPr>
          <w:color w:val="231F20"/>
          <w:sz w:val="20"/>
          <w:szCs w:val="20"/>
        </w:rPr>
        <w:t xml:space="preserve">ο </w:t>
      </w:r>
      <w:r w:rsidR="00091479">
        <w:rPr>
          <w:color w:val="231F20"/>
          <w:sz w:val="20"/>
          <w:szCs w:val="20"/>
        </w:rPr>
        <w:t>ό</w:t>
      </w:r>
      <w:r w:rsidR="000A2AAC">
        <w:rPr>
          <w:color w:val="231F20"/>
          <w:sz w:val="20"/>
          <w:szCs w:val="20"/>
        </w:rPr>
        <w:t>μιλος</w:t>
      </w:r>
      <w:r w:rsidR="0015251C" w:rsidRPr="0015251C">
        <w:rPr>
          <w:color w:val="231F20"/>
          <w:sz w:val="20"/>
          <w:szCs w:val="20"/>
        </w:rPr>
        <w:t xml:space="preserve"> </w:t>
      </w:r>
      <w:r w:rsidR="000A2AAC">
        <w:rPr>
          <w:color w:val="231F20"/>
          <w:sz w:val="20"/>
          <w:szCs w:val="20"/>
        </w:rPr>
        <w:t xml:space="preserve">της </w:t>
      </w:r>
      <w:r w:rsidR="0015251C" w:rsidRPr="0015251C">
        <w:rPr>
          <w:color w:val="231F20"/>
          <w:sz w:val="20"/>
          <w:szCs w:val="20"/>
        </w:rPr>
        <w:t>ElvalHalcor  πέτυχε ισχυρές επιδόσεις, ενώ διαχειρίστηκε αποτελεσματικά τις ανάγκες του σε κεφάλαιο κίνησης με αποτέλεσμα τη μείωση του καθαρού δανεισμού.</w:t>
      </w:r>
      <w:r w:rsidR="00EF3B3E" w:rsidRPr="00EF3B3E">
        <w:rPr>
          <w:color w:val="231F20"/>
          <w:sz w:val="20"/>
          <w:szCs w:val="20"/>
        </w:rPr>
        <w:t xml:space="preserve"> Κοιτάζοντας προς το μέλλον, ο Όμιλος παραμένει σε εγρήγορση όσον αφορά τις </w:t>
      </w:r>
      <w:r w:rsidR="00EF3B3E">
        <w:rPr>
          <w:color w:val="231F20"/>
          <w:sz w:val="20"/>
          <w:szCs w:val="20"/>
        </w:rPr>
        <w:t>κανονιστικές</w:t>
      </w:r>
      <w:r w:rsidR="00EF3B3E" w:rsidRPr="00EF3B3E">
        <w:rPr>
          <w:color w:val="231F20"/>
          <w:sz w:val="20"/>
          <w:szCs w:val="20"/>
        </w:rPr>
        <w:t xml:space="preserve"> και εμπορικές εξελίξεις, συμπεριλαμβανομέν</w:t>
      </w:r>
      <w:r w:rsidR="00696370">
        <w:rPr>
          <w:color w:val="231F20"/>
          <w:sz w:val="20"/>
          <w:szCs w:val="20"/>
        </w:rPr>
        <w:t>ων</w:t>
      </w:r>
      <w:r w:rsidR="00EF3B3E" w:rsidRPr="00EF3B3E">
        <w:rPr>
          <w:color w:val="231F20"/>
          <w:sz w:val="20"/>
          <w:szCs w:val="20"/>
        </w:rPr>
        <w:t xml:space="preserve"> </w:t>
      </w:r>
      <w:r w:rsidR="00232293">
        <w:rPr>
          <w:color w:val="231F20"/>
          <w:sz w:val="20"/>
          <w:szCs w:val="20"/>
        </w:rPr>
        <w:t xml:space="preserve">των </w:t>
      </w:r>
      <w:r w:rsidR="005D49F0">
        <w:rPr>
          <w:color w:val="231F20"/>
          <w:sz w:val="20"/>
          <w:szCs w:val="20"/>
        </w:rPr>
        <w:t>δυνητικών εξελίξεων που θα επιδράσουν στο διεθνές εμπόριο</w:t>
      </w:r>
      <w:r w:rsidR="00EF3B3E" w:rsidRPr="00EF3B3E">
        <w:rPr>
          <w:color w:val="231F20"/>
          <w:sz w:val="20"/>
          <w:szCs w:val="20"/>
        </w:rPr>
        <w:t xml:space="preserve">. Τα μέτρα αυτά αναμένεται να δημιουργήσουν περαιτέρω προκλήσεις για τη διεθνή ανταγωνιστικότητα, τον σχεδιασμό της εφοδιαστικής αλυσίδας και τη διαθεσιμότητα πρώτων υλών. </w:t>
      </w:r>
    </w:p>
    <w:bookmarkEnd w:id="4"/>
    <w:p w14:paraId="09C926E5" w14:textId="77777777" w:rsidR="00A760D1" w:rsidRDefault="00A760D1" w:rsidP="000F37B2">
      <w:pPr>
        <w:jc w:val="both"/>
        <w:rPr>
          <w:color w:val="231F20"/>
          <w:sz w:val="20"/>
          <w:szCs w:val="20"/>
        </w:rPr>
      </w:pPr>
    </w:p>
    <w:p w14:paraId="5BB009CA" w14:textId="5799F54C" w:rsidR="00DA3E43" w:rsidRPr="00DA3E43" w:rsidRDefault="00DA3E43" w:rsidP="000F37B2">
      <w:pPr>
        <w:jc w:val="both"/>
        <w:rPr>
          <w:color w:val="231F20"/>
          <w:sz w:val="20"/>
          <w:szCs w:val="20"/>
        </w:rPr>
      </w:pPr>
      <w:r w:rsidRPr="00DA3E43">
        <w:rPr>
          <w:color w:val="231F20"/>
          <w:sz w:val="20"/>
          <w:szCs w:val="20"/>
        </w:rPr>
        <w:t xml:space="preserve">Ο Όμιλος παρακολουθεί στενά τις εξελίξεις και αξιολογεί προληπτικά στρατηγικές μετριασμού των επιπτώσεων, με στόχο τη διασφάλιση της θέσης του στην αγορά και τη συμμόρφωση με το διαρκώς εξελισσόμενο ρυθμιστικό πλαίσιο. Η ElvalHalcor βρίσκεται σε ισχυρή θέση να αξιοποιήσει το ευρύ και διαφοροποιημένο χαρτοφυλάκιο προϊόντων της, καθώς και τα στρατηγικά της πλεονεκτήματα, όπως η πελατοκεντρική φιλοσοφία, η καινοτόμος τεχνολογία και ο έντονος διεθνής προσανατολισμός των πωλήσεων, χωρίς εξάρτηση από συγκεκριμένες χώρες ή γεωγραφικές περιοχές, γεγονός που της επιτρέπει να αξιοποιεί κάθε μελλοντική ευκαιρία. Προς αυτή την κατεύθυνση, καθοριστικό ρόλο διαδραματίζουν οι σημαντικές επενδύσεις που έχουν ολοκληρωθεί, καθώς έχουν ενισχύσει περαιτέρω την παραγωγική δυναμικότητα </w:t>
      </w:r>
      <w:r w:rsidR="00AB6003">
        <w:rPr>
          <w:color w:val="231F20"/>
          <w:sz w:val="20"/>
          <w:szCs w:val="20"/>
        </w:rPr>
        <w:t>του Ομίλου</w:t>
      </w:r>
      <w:r w:rsidRPr="00DA3E43">
        <w:rPr>
          <w:color w:val="231F20"/>
          <w:sz w:val="20"/>
          <w:szCs w:val="20"/>
        </w:rPr>
        <w:t xml:space="preserve"> σε τομείς και προϊόντα με προοπτικές δυναμικής ανάπτυξης, στο πλαίσιο των παγκόσμιων μέγα-τάσεων (megatrends) βιωσιμότητας, όπως η κυκλική οικονομία, η κλιματική ουδετερότητα, η αστικοποίηση και η τεχνολογική πρόοδος. Το γεγονός αυτό επιτρέπει στην ElvalHalcor, μακροπρόθεσμα, να ανταποκρίνεται </w:t>
      </w:r>
      <w:r w:rsidR="006E2BA1">
        <w:rPr>
          <w:color w:val="231F20"/>
          <w:sz w:val="20"/>
          <w:szCs w:val="20"/>
        </w:rPr>
        <w:t>αποτελεσματικά</w:t>
      </w:r>
      <w:r w:rsidRPr="00DA3E43">
        <w:rPr>
          <w:color w:val="231F20"/>
          <w:sz w:val="20"/>
          <w:szCs w:val="20"/>
        </w:rPr>
        <w:t xml:space="preserve"> σε αυτό το δυναμικό περιβάλλον και να διατηρεί την ανοδική της πορεία.</w:t>
      </w:r>
    </w:p>
    <w:p w14:paraId="7267698D" w14:textId="77777777" w:rsidR="000C20D1" w:rsidRDefault="000C20D1" w:rsidP="000F37B2">
      <w:pPr>
        <w:jc w:val="both"/>
        <w:rPr>
          <w:color w:val="231F20"/>
          <w:sz w:val="20"/>
          <w:szCs w:val="18"/>
        </w:rPr>
      </w:pPr>
    </w:p>
    <w:p w14:paraId="39991C13" w14:textId="77777777" w:rsidR="002B1C0E" w:rsidRDefault="002B1C0E" w:rsidP="000F37B2">
      <w:pPr>
        <w:jc w:val="both"/>
        <w:rPr>
          <w:color w:val="231F20"/>
          <w:sz w:val="20"/>
          <w:szCs w:val="18"/>
        </w:rPr>
      </w:pPr>
    </w:p>
    <w:p w14:paraId="09B81A01" w14:textId="77777777" w:rsidR="000C20D1" w:rsidRDefault="000C20D1" w:rsidP="000F37B2">
      <w:pPr>
        <w:jc w:val="both"/>
        <w:rPr>
          <w:color w:val="231F20"/>
          <w:sz w:val="20"/>
          <w:szCs w:val="18"/>
        </w:rPr>
      </w:pPr>
    </w:p>
    <w:p w14:paraId="3E2AEF59" w14:textId="77777777" w:rsidR="00F96E79" w:rsidRDefault="00F96E79" w:rsidP="000F37B2">
      <w:pPr>
        <w:jc w:val="both"/>
        <w:rPr>
          <w:color w:val="231F20"/>
          <w:sz w:val="20"/>
          <w:szCs w:val="18"/>
        </w:rPr>
      </w:pPr>
    </w:p>
    <w:p w14:paraId="2952A6FF" w14:textId="77777777" w:rsidR="00F96E79" w:rsidRDefault="00F96E79" w:rsidP="000F37B2">
      <w:pPr>
        <w:jc w:val="both"/>
        <w:rPr>
          <w:color w:val="231F20"/>
          <w:sz w:val="20"/>
          <w:szCs w:val="18"/>
        </w:rPr>
      </w:pPr>
    </w:p>
    <w:p w14:paraId="5D315186" w14:textId="77777777" w:rsidR="00F96E79" w:rsidRDefault="00F96E79" w:rsidP="000F37B2">
      <w:pPr>
        <w:jc w:val="both"/>
        <w:rPr>
          <w:color w:val="231F20"/>
          <w:sz w:val="20"/>
          <w:szCs w:val="18"/>
        </w:rPr>
      </w:pPr>
    </w:p>
    <w:p w14:paraId="62038BF2" w14:textId="50E47D7F" w:rsidR="000C20D1" w:rsidRPr="00951E90" w:rsidRDefault="00F06F15" w:rsidP="00F06F15">
      <w:pPr>
        <w:rPr>
          <w:b/>
          <w:bCs/>
          <w:color w:val="A6A6A6" w:themeColor="background1" w:themeShade="A6"/>
          <w:sz w:val="24"/>
          <w:szCs w:val="24"/>
        </w:rPr>
      </w:pPr>
      <w:r w:rsidRPr="00951E90">
        <w:rPr>
          <w:b/>
          <w:bCs/>
          <w:color w:val="A6A6A6" w:themeColor="background1" w:themeShade="A6"/>
          <w:sz w:val="24"/>
          <w:szCs w:val="24"/>
        </w:rPr>
        <w:t>Οικονομικό ημερολόγιο</w:t>
      </w:r>
    </w:p>
    <w:p w14:paraId="3D1CBCF9" w14:textId="77777777" w:rsidR="000C20D1" w:rsidRDefault="000C20D1" w:rsidP="000C20D1">
      <w:pPr>
        <w:ind w:right="570"/>
        <w:jc w:val="both"/>
        <w:rPr>
          <w:color w:val="231F20"/>
          <w:sz w:val="18"/>
          <w:szCs w:val="18"/>
        </w:rPr>
      </w:pPr>
    </w:p>
    <w:p w14:paraId="644AFA64" w14:textId="77777777" w:rsidR="000C20D1" w:rsidRDefault="000C20D1" w:rsidP="000C20D1">
      <w:pPr>
        <w:ind w:right="570"/>
        <w:jc w:val="both"/>
        <w:rPr>
          <w:color w:val="231F20"/>
          <w:sz w:val="18"/>
          <w:szCs w:val="18"/>
        </w:rPr>
      </w:pPr>
    </w:p>
    <w:tbl>
      <w:tblPr>
        <w:tblStyle w:val="GridTable4-Accent1"/>
        <w:tblW w:w="0" w:type="auto"/>
        <w:tblLayout w:type="fixed"/>
        <w:tblLook w:val="04A0" w:firstRow="1" w:lastRow="0" w:firstColumn="1" w:lastColumn="0" w:noHBand="0" w:noVBand="1"/>
      </w:tblPr>
      <w:tblGrid>
        <w:gridCol w:w="8390"/>
        <w:gridCol w:w="1645"/>
      </w:tblGrid>
      <w:tr w:rsidR="000C20D1" w:rsidRPr="00B06E83" w14:paraId="1BE93174" w14:textId="77777777" w:rsidTr="00B54A6E">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8390" w:type="dxa"/>
          </w:tcPr>
          <w:p w14:paraId="2B74CA90" w14:textId="77777777" w:rsidR="000C20D1" w:rsidRPr="00E56164" w:rsidRDefault="000C20D1" w:rsidP="00B54A6E">
            <w:pPr>
              <w:widowControl/>
              <w:autoSpaceDE/>
              <w:autoSpaceDN/>
              <w:spacing w:line="336" w:lineRule="atLeast"/>
              <w:rPr>
                <w:rFonts w:eastAsia="Times New Roman" w:cs="Times New Roman"/>
                <w:b w:val="0"/>
                <w:bCs w:val="0"/>
                <w:color w:val="727887"/>
                <w:sz w:val="20"/>
                <w:szCs w:val="20"/>
                <w:lang w:eastAsia="el-GR"/>
              </w:rPr>
            </w:pPr>
            <w:r w:rsidRPr="00E56164">
              <w:rPr>
                <w:rFonts w:eastAsia="Times New Roman" w:cs="Times New Roman"/>
                <w:sz w:val="20"/>
                <w:szCs w:val="20"/>
                <w:lang w:eastAsia="el-GR"/>
              </w:rPr>
              <w:t>ΠΕΡΙΓΡΑΦΗ</w:t>
            </w:r>
          </w:p>
        </w:tc>
        <w:tc>
          <w:tcPr>
            <w:tcW w:w="1645" w:type="dxa"/>
          </w:tcPr>
          <w:p w14:paraId="3A8BAFEF" w14:textId="77777777" w:rsidR="000C20D1" w:rsidRPr="00E56164" w:rsidRDefault="000C20D1">
            <w:pPr>
              <w:widowControl/>
              <w:autoSpaceDE/>
              <w:autoSpaceDN/>
              <w:spacing w:line="336"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727887"/>
                <w:sz w:val="20"/>
                <w:szCs w:val="20"/>
                <w:lang w:val="en-US" w:eastAsia="el-GR"/>
              </w:rPr>
            </w:pPr>
            <w:r w:rsidRPr="00E56164">
              <w:rPr>
                <w:rFonts w:eastAsia="Times New Roman" w:cs="Times New Roman"/>
                <w:sz w:val="20"/>
                <w:szCs w:val="20"/>
                <w:lang w:eastAsia="el-GR"/>
              </w:rPr>
              <w:t>ΗΜΕΡ</w:t>
            </w:r>
            <w:r w:rsidRPr="00E56164">
              <w:rPr>
                <w:rFonts w:eastAsia="Times New Roman" w:cs="Times New Roman"/>
                <w:sz w:val="20"/>
                <w:szCs w:val="20"/>
                <w:lang w:val="en-US" w:eastAsia="el-GR"/>
              </w:rPr>
              <w:t>OMH</w:t>
            </w:r>
            <w:r w:rsidRPr="00E56164">
              <w:rPr>
                <w:rFonts w:eastAsia="Times New Roman" w:cs="Times New Roman"/>
                <w:sz w:val="20"/>
                <w:szCs w:val="20"/>
                <w:lang w:eastAsia="el-GR"/>
              </w:rPr>
              <w:t>ΝΙ</w:t>
            </w:r>
            <w:r w:rsidRPr="00E56164">
              <w:rPr>
                <w:rFonts w:eastAsia="Times New Roman" w:cs="Times New Roman"/>
                <w:sz w:val="20"/>
                <w:szCs w:val="20"/>
                <w:lang w:val="en-US" w:eastAsia="el-GR"/>
              </w:rPr>
              <w:t>A</w:t>
            </w:r>
          </w:p>
        </w:tc>
      </w:tr>
      <w:tr w:rsidR="000D797C" w:rsidRPr="00B06E83" w14:paraId="7FA86CD1" w14:textId="77777777" w:rsidTr="00B54A6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8390" w:type="dxa"/>
          </w:tcPr>
          <w:p w14:paraId="44B9AC0D" w14:textId="59B77097" w:rsidR="000D797C" w:rsidRPr="008F324B" w:rsidRDefault="001E48C7" w:rsidP="000D797C">
            <w:pPr>
              <w:widowControl/>
              <w:autoSpaceDE/>
              <w:autoSpaceDN/>
              <w:spacing w:line="336" w:lineRule="atLeast"/>
              <w:rPr>
                <w:rFonts w:eastAsia="Times New Roman" w:cs="Times New Roman"/>
                <w:lang w:eastAsia="el-GR"/>
              </w:rPr>
            </w:pPr>
            <w:r w:rsidRPr="008F324B">
              <w:rPr>
                <w:rFonts w:cstheme="minorHAnsi"/>
                <w:b w:val="0"/>
                <w:bCs w:val="0"/>
              </w:rPr>
              <w:t>Ενημέρωση Αναλυτών επί των Οικονομικών Αποτελεσμάτων Α’ Εξαμήνου 202</w:t>
            </w:r>
            <w:r w:rsidR="00243317">
              <w:rPr>
                <w:rFonts w:cstheme="minorHAnsi"/>
                <w:b w:val="0"/>
                <w:bCs w:val="0"/>
              </w:rPr>
              <w:t>5</w:t>
            </w:r>
          </w:p>
        </w:tc>
        <w:tc>
          <w:tcPr>
            <w:tcW w:w="1645" w:type="dxa"/>
          </w:tcPr>
          <w:p w14:paraId="220A493D" w14:textId="2B2B8CF9" w:rsidR="000D797C" w:rsidRPr="00125DDB" w:rsidRDefault="001E48C7" w:rsidP="000D797C">
            <w:pPr>
              <w:widowControl/>
              <w:autoSpaceDE/>
              <w:autoSpaceDN/>
              <w:spacing w:line="336"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eastAsia="el-GR"/>
              </w:rPr>
            </w:pPr>
            <w:r w:rsidRPr="008F324B">
              <w:rPr>
                <w:rFonts w:eastAsia="Times New Roman" w:cs="Calibri"/>
                <w:color w:val="000000"/>
                <w:lang w:val="en-US" w:eastAsia="el-GR"/>
              </w:rPr>
              <w:t>1</w:t>
            </w:r>
            <w:r w:rsidR="00125DDB">
              <w:rPr>
                <w:rFonts w:eastAsia="Times New Roman" w:cs="Calibri"/>
                <w:color w:val="000000"/>
                <w:lang w:eastAsia="el-GR"/>
              </w:rPr>
              <w:t>1</w:t>
            </w:r>
            <w:r w:rsidRPr="008F324B">
              <w:rPr>
                <w:rFonts w:eastAsia="Times New Roman" w:cs="Calibri"/>
                <w:color w:val="000000"/>
                <w:lang w:val="en-US" w:eastAsia="el-GR"/>
              </w:rPr>
              <w:t>.09.202</w:t>
            </w:r>
            <w:r w:rsidR="00125DDB">
              <w:rPr>
                <w:rFonts w:eastAsia="Times New Roman" w:cs="Calibri"/>
                <w:color w:val="000000"/>
                <w:lang w:eastAsia="el-GR"/>
              </w:rPr>
              <w:t>5</w:t>
            </w:r>
          </w:p>
        </w:tc>
      </w:tr>
      <w:tr w:rsidR="000D797C" w:rsidRPr="00B06E83" w14:paraId="5600664F" w14:textId="77777777" w:rsidTr="00B54A6E">
        <w:trPr>
          <w:trHeight w:val="57"/>
        </w:trPr>
        <w:tc>
          <w:tcPr>
            <w:cnfStyle w:val="001000000000" w:firstRow="0" w:lastRow="0" w:firstColumn="1" w:lastColumn="0" w:oddVBand="0" w:evenVBand="0" w:oddHBand="0" w:evenHBand="0" w:firstRowFirstColumn="0" w:firstRowLastColumn="0" w:lastRowFirstColumn="0" w:lastRowLastColumn="0"/>
            <w:tcW w:w="8390" w:type="dxa"/>
          </w:tcPr>
          <w:p w14:paraId="07F0A117" w14:textId="2E7B2B2F" w:rsidR="000D797C" w:rsidRPr="008F324B" w:rsidRDefault="00745661" w:rsidP="000D797C">
            <w:pPr>
              <w:widowControl/>
              <w:autoSpaceDE/>
              <w:autoSpaceDN/>
              <w:spacing w:line="336" w:lineRule="atLeast"/>
              <w:rPr>
                <w:rFonts w:eastAsia="Times New Roman" w:cs="Times New Roman"/>
                <w:lang w:eastAsia="el-GR"/>
              </w:rPr>
            </w:pPr>
            <w:r w:rsidRPr="008F324B">
              <w:rPr>
                <w:rFonts w:cstheme="minorHAnsi"/>
                <w:b w:val="0"/>
                <w:bCs w:val="0"/>
              </w:rPr>
              <w:t>Ανακοίνωση των Βασικών Οικονομικών Μεγεθών Γ΄ Τριμήνου 202</w:t>
            </w:r>
            <w:r w:rsidR="00243317">
              <w:rPr>
                <w:rFonts w:cstheme="minorHAnsi"/>
                <w:b w:val="0"/>
                <w:bCs w:val="0"/>
              </w:rPr>
              <w:t>5</w:t>
            </w:r>
          </w:p>
        </w:tc>
        <w:tc>
          <w:tcPr>
            <w:tcW w:w="1645" w:type="dxa"/>
          </w:tcPr>
          <w:p w14:paraId="356099FE" w14:textId="44815B3C" w:rsidR="000D797C" w:rsidRPr="008F324B" w:rsidRDefault="00125DDB" w:rsidP="00125DDB">
            <w:pPr>
              <w:widowControl/>
              <w:tabs>
                <w:tab w:val="center" w:pos="714"/>
              </w:tabs>
              <w:autoSpaceDE/>
              <w:autoSpaceDN/>
              <w:spacing w:line="336"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lang w:eastAsia="el-GR"/>
              </w:rPr>
            </w:pPr>
            <w:r>
              <w:rPr>
                <w:rFonts w:eastAsia="Times New Roman" w:cs="Times New Roman"/>
                <w:lang w:eastAsia="el-GR"/>
              </w:rPr>
              <w:tab/>
              <w:t>19</w:t>
            </w:r>
            <w:r w:rsidR="00745661" w:rsidRPr="008F324B">
              <w:rPr>
                <w:rFonts w:eastAsia="Times New Roman" w:cs="Times New Roman"/>
                <w:lang w:eastAsia="el-GR"/>
              </w:rPr>
              <w:t>.11.202</w:t>
            </w:r>
            <w:r>
              <w:rPr>
                <w:rFonts w:eastAsia="Times New Roman" w:cs="Times New Roman"/>
                <w:lang w:eastAsia="el-GR"/>
              </w:rPr>
              <w:t>5</w:t>
            </w:r>
          </w:p>
        </w:tc>
      </w:tr>
      <w:tr w:rsidR="000D797C" w:rsidRPr="00B06E83" w14:paraId="70705055" w14:textId="77777777" w:rsidTr="00B54A6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8390" w:type="dxa"/>
          </w:tcPr>
          <w:p w14:paraId="0FAF7AA6" w14:textId="66C9C448" w:rsidR="000D797C" w:rsidRPr="008F324B" w:rsidRDefault="00745661" w:rsidP="000D797C">
            <w:pPr>
              <w:widowControl/>
              <w:autoSpaceDE/>
              <w:autoSpaceDN/>
              <w:spacing w:line="336" w:lineRule="atLeast"/>
              <w:rPr>
                <w:rFonts w:eastAsia="Times New Roman" w:cs="Times New Roman"/>
                <w:lang w:eastAsia="el-GR"/>
              </w:rPr>
            </w:pPr>
            <w:r w:rsidRPr="008F324B">
              <w:rPr>
                <w:rFonts w:cstheme="minorHAnsi"/>
                <w:b w:val="0"/>
                <w:bCs w:val="0"/>
              </w:rPr>
              <w:t>Ενημέρωση Αναλυτών επί των Βασικών Οικονομικών Μεγεθών Γ’ Τριμήνου 202</w:t>
            </w:r>
            <w:r w:rsidR="00243317">
              <w:rPr>
                <w:rFonts w:cstheme="minorHAnsi"/>
                <w:b w:val="0"/>
                <w:bCs w:val="0"/>
              </w:rPr>
              <w:t>5</w:t>
            </w:r>
          </w:p>
        </w:tc>
        <w:tc>
          <w:tcPr>
            <w:tcW w:w="1645" w:type="dxa"/>
          </w:tcPr>
          <w:p w14:paraId="5A00EC26" w14:textId="269EE3BB" w:rsidR="000D797C" w:rsidRPr="008F324B" w:rsidRDefault="00745661" w:rsidP="000D797C">
            <w:pPr>
              <w:widowControl/>
              <w:autoSpaceDE/>
              <w:autoSpaceDN/>
              <w:spacing w:line="336"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eastAsia="el-GR"/>
              </w:rPr>
            </w:pPr>
            <w:r w:rsidRPr="008F324B">
              <w:rPr>
                <w:rFonts w:eastAsia="Times New Roman" w:cs="Times New Roman"/>
                <w:lang w:eastAsia="el-GR"/>
              </w:rPr>
              <w:t>2</w:t>
            </w:r>
            <w:r w:rsidR="00125DDB">
              <w:rPr>
                <w:rFonts w:eastAsia="Times New Roman" w:cs="Times New Roman"/>
                <w:lang w:eastAsia="el-GR"/>
              </w:rPr>
              <w:t>0</w:t>
            </w:r>
            <w:r w:rsidRPr="008F324B">
              <w:rPr>
                <w:rFonts w:eastAsia="Times New Roman" w:cs="Times New Roman"/>
                <w:lang w:eastAsia="el-GR"/>
              </w:rPr>
              <w:t>.11.202</w:t>
            </w:r>
            <w:r w:rsidR="00125DDB">
              <w:rPr>
                <w:rFonts w:eastAsia="Times New Roman" w:cs="Times New Roman"/>
                <w:lang w:eastAsia="el-GR"/>
              </w:rPr>
              <w:t>5</w:t>
            </w:r>
          </w:p>
        </w:tc>
      </w:tr>
    </w:tbl>
    <w:p w14:paraId="68ACE7F7" w14:textId="77777777" w:rsidR="000C20D1" w:rsidRPr="00B06E83" w:rsidRDefault="000C20D1" w:rsidP="000C20D1">
      <w:pPr>
        <w:ind w:right="570"/>
        <w:jc w:val="both"/>
        <w:rPr>
          <w:color w:val="231F20"/>
          <w:sz w:val="18"/>
          <w:szCs w:val="18"/>
        </w:rPr>
      </w:pPr>
    </w:p>
    <w:p w14:paraId="4A02E652" w14:textId="77777777" w:rsidR="000C20D1" w:rsidRDefault="000C20D1" w:rsidP="000F37B2">
      <w:pPr>
        <w:jc w:val="both"/>
        <w:rPr>
          <w:color w:val="231F20"/>
          <w:sz w:val="20"/>
          <w:szCs w:val="18"/>
        </w:rPr>
      </w:pPr>
    </w:p>
    <w:p w14:paraId="3B05974E" w14:textId="77777777" w:rsidR="000C20D1" w:rsidRDefault="000C20D1" w:rsidP="000F37B2">
      <w:pPr>
        <w:jc w:val="both"/>
        <w:rPr>
          <w:color w:val="231F20"/>
          <w:sz w:val="20"/>
          <w:szCs w:val="18"/>
        </w:rPr>
      </w:pPr>
    </w:p>
    <w:p w14:paraId="37A8E8E9" w14:textId="77777777" w:rsidR="000C20D1" w:rsidRDefault="000C20D1" w:rsidP="000F37B2">
      <w:pPr>
        <w:jc w:val="both"/>
        <w:rPr>
          <w:color w:val="231F20"/>
          <w:sz w:val="20"/>
          <w:szCs w:val="18"/>
        </w:rPr>
      </w:pPr>
    </w:p>
    <w:p w14:paraId="0ED4411D" w14:textId="77777777" w:rsidR="000C20D1" w:rsidRDefault="000C20D1" w:rsidP="000F37B2">
      <w:pPr>
        <w:jc w:val="both"/>
        <w:rPr>
          <w:color w:val="231F20"/>
          <w:sz w:val="20"/>
          <w:szCs w:val="18"/>
        </w:rPr>
      </w:pPr>
    </w:p>
    <w:p w14:paraId="410DC37F" w14:textId="77777777" w:rsidR="006939E9" w:rsidRDefault="006939E9" w:rsidP="000F37B2">
      <w:pPr>
        <w:jc w:val="both"/>
        <w:rPr>
          <w:color w:val="231F20"/>
          <w:sz w:val="20"/>
          <w:szCs w:val="18"/>
        </w:rPr>
      </w:pPr>
    </w:p>
    <w:p w14:paraId="6CFA6915" w14:textId="77777777" w:rsidR="006939E9" w:rsidRDefault="006939E9" w:rsidP="000F37B2">
      <w:pPr>
        <w:jc w:val="both"/>
        <w:rPr>
          <w:color w:val="231F20"/>
          <w:sz w:val="20"/>
          <w:szCs w:val="18"/>
        </w:rPr>
      </w:pPr>
    </w:p>
    <w:p w14:paraId="1A0BDD56" w14:textId="77777777" w:rsidR="006939E9" w:rsidRDefault="006939E9" w:rsidP="000F37B2">
      <w:pPr>
        <w:jc w:val="both"/>
        <w:rPr>
          <w:color w:val="231F20"/>
          <w:sz w:val="20"/>
          <w:szCs w:val="18"/>
        </w:rPr>
      </w:pPr>
    </w:p>
    <w:p w14:paraId="5A61EE4C" w14:textId="77777777" w:rsidR="006939E9" w:rsidRDefault="006939E9" w:rsidP="000F37B2">
      <w:pPr>
        <w:jc w:val="both"/>
        <w:rPr>
          <w:color w:val="231F20"/>
          <w:sz w:val="20"/>
          <w:szCs w:val="18"/>
        </w:rPr>
      </w:pPr>
    </w:p>
    <w:p w14:paraId="61D071BB" w14:textId="77777777" w:rsidR="006939E9" w:rsidRDefault="006939E9" w:rsidP="000F37B2">
      <w:pPr>
        <w:jc w:val="both"/>
        <w:rPr>
          <w:color w:val="231F20"/>
          <w:sz w:val="20"/>
          <w:szCs w:val="18"/>
        </w:rPr>
      </w:pPr>
    </w:p>
    <w:p w14:paraId="0D6C08FA" w14:textId="77777777" w:rsidR="006939E9" w:rsidRDefault="006939E9" w:rsidP="000F37B2">
      <w:pPr>
        <w:jc w:val="both"/>
        <w:rPr>
          <w:color w:val="231F20"/>
          <w:sz w:val="20"/>
          <w:szCs w:val="18"/>
        </w:rPr>
      </w:pPr>
    </w:p>
    <w:p w14:paraId="5979D521" w14:textId="77777777" w:rsidR="006939E9" w:rsidRDefault="006939E9" w:rsidP="000F37B2">
      <w:pPr>
        <w:jc w:val="both"/>
        <w:rPr>
          <w:color w:val="231F20"/>
          <w:sz w:val="20"/>
          <w:szCs w:val="18"/>
        </w:rPr>
      </w:pPr>
    </w:p>
    <w:p w14:paraId="05857FD7" w14:textId="77777777" w:rsidR="00C16D43" w:rsidRDefault="00C16D43" w:rsidP="000F37B2">
      <w:pPr>
        <w:jc w:val="both"/>
        <w:rPr>
          <w:color w:val="231F20"/>
          <w:sz w:val="20"/>
          <w:szCs w:val="18"/>
        </w:rPr>
      </w:pPr>
    </w:p>
    <w:p w14:paraId="35CDAEBC" w14:textId="77777777" w:rsidR="006939E9" w:rsidRDefault="006939E9" w:rsidP="000F37B2">
      <w:pPr>
        <w:jc w:val="both"/>
        <w:rPr>
          <w:color w:val="231F20"/>
          <w:sz w:val="20"/>
          <w:szCs w:val="18"/>
        </w:rPr>
      </w:pPr>
    </w:p>
    <w:p w14:paraId="27658E82" w14:textId="77777777" w:rsidR="00FF5199" w:rsidRDefault="00FF5199" w:rsidP="000F37B2">
      <w:pPr>
        <w:jc w:val="both"/>
        <w:rPr>
          <w:color w:val="231F20"/>
          <w:sz w:val="20"/>
          <w:szCs w:val="18"/>
        </w:rPr>
        <w:sectPr w:rsidR="00FF5199" w:rsidSect="00F538E0">
          <w:pgSz w:w="11910" w:h="16840"/>
          <w:pgMar w:top="977" w:right="853" w:bottom="851" w:left="567" w:header="0" w:footer="749" w:gutter="0"/>
          <w:cols w:space="720"/>
          <w:docGrid w:linePitch="299"/>
        </w:sectPr>
      </w:pPr>
    </w:p>
    <w:p w14:paraId="7A88D41B" w14:textId="77777777" w:rsidR="006939E9" w:rsidRDefault="006939E9" w:rsidP="000F37B2">
      <w:pPr>
        <w:jc w:val="both"/>
        <w:rPr>
          <w:color w:val="231F20"/>
          <w:sz w:val="20"/>
          <w:szCs w:val="18"/>
        </w:rPr>
      </w:pPr>
    </w:p>
    <w:p w14:paraId="38552F3D" w14:textId="5AC0F10C" w:rsidR="00F06F15" w:rsidRPr="00951E90" w:rsidRDefault="00F06F15" w:rsidP="00F06F15">
      <w:pPr>
        <w:rPr>
          <w:b/>
          <w:bCs/>
          <w:color w:val="A6A6A6" w:themeColor="background1" w:themeShade="A6"/>
          <w:sz w:val="24"/>
          <w:szCs w:val="24"/>
        </w:rPr>
      </w:pPr>
      <w:r w:rsidRPr="00870856">
        <w:rPr>
          <w:b/>
          <w:bCs/>
          <w:color w:val="A6A6A6" w:themeColor="background1" w:themeShade="A6"/>
          <w:sz w:val="24"/>
          <w:szCs w:val="24"/>
        </w:rPr>
        <w:t>Παράρτημα</w:t>
      </w:r>
    </w:p>
    <w:p w14:paraId="126C5024" w14:textId="77777777" w:rsidR="000C20D1" w:rsidRPr="00673335" w:rsidRDefault="000C20D1" w:rsidP="000F37B2">
      <w:pPr>
        <w:jc w:val="both"/>
        <w:rPr>
          <w:rFonts w:asciiTheme="minorHAnsi" w:hAnsiTheme="minorHAnsi"/>
          <w:color w:val="231F20"/>
          <w:sz w:val="20"/>
          <w:szCs w:val="18"/>
        </w:rPr>
      </w:pPr>
    </w:p>
    <w:p w14:paraId="151825FA" w14:textId="77777777" w:rsidR="001C7162" w:rsidRDefault="001C7162" w:rsidP="000F37B2">
      <w:pPr>
        <w:jc w:val="both"/>
        <w:rPr>
          <w:rFonts w:asciiTheme="minorHAnsi" w:hAnsiTheme="minorHAnsi"/>
          <w:color w:val="231F20"/>
          <w:sz w:val="20"/>
          <w:szCs w:val="18"/>
        </w:rPr>
      </w:pPr>
    </w:p>
    <w:tbl>
      <w:tblPr>
        <w:tblW w:w="8801" w:type="dxa"/>
        <w:tblLook w:val="04A0" w:firstRow="1" w:lastRow="0" w:firstColumn="1" w:lastColumn="0" w:noHBand="0" w:noVBand="1"/>
      </w:tblPr>
      <w:tblGrid>
        <w:gridCol w:w="5954"/>
        <w:gridCol w:w="1417"/>
        <w:gridCol w:w="1430"/>
      </w:tblGrid>
      <w:tr w:rsidR="00942B15" w:rsidRPr="001714F9" w14:paraId="5D23F190" w14:textId="77777777" w:rsidTr="00942B15">
        <w:trPr>
          <w:trHeight w:val="288"/>
        </w:trPr>
        <w:tc>
          <w:tcPr>
            <w:tcW w:w="5954" w:type="dxa"/>
            <w:tcBorders>
              <w:top w:val="nil"/>
              <w:left w:val="nil"/>
              <w:bottom w:val="nil"/>
              <w:right w:val="nil"/>
            </w:tcBorders>
            <w:noWrap/>
            <w:vAlign w:val="bottom"/>
            <w:hideMark/>
          </w:tcPr>
          <w:p w14:paraId="5A75A230" w14:textId="17FDE518" w:rsidR="00942B15" w:rsidRPr="001714F9" w:rsidRDefault="00942B15" w:rsidP="00B05723">
            <w:pPr>
              <w:widowControl/>
              <w:autoSpaceDE/>
              <w:autoSpaceDN/>
              <w:rPr>
                <w:rFonts w:eastAsia="Times New Roman" w:cs="Calibri"/>
                <w:b/>
                <w:bCs/>
                <w:color w:val="365F91"/>
                <w:sz w:val="20"/>
                <w:szCs w:val="20"/>
                <w:lang w:eastAsia="el-GR"/>
              </w:rPr>
            </w:pPr>
            <w:r w:rsidRPr="001714F9">
              <w:rPr>
                <w:rFonts w:eastAsia="Times New Roman" w:cs="Calibri"/>
                <w:b/>
                <w:bCs/>
                <w:color w:val="365F91"/>
                <w:sz w:val="20"/>
                <w:szCs w:val="20"/>
                <w:lang w:eastAsia="el-GR"/>
              </w:rPr>
              <w:t>Ενοποιημένη Συνοπτική Κατάσταση Οικονομικής Θέσης  (€’000)</w:t>
            </w:r>
          </w:p>
        </w:tc>
        <w:tc>
          <w:tcPr>
            <w:tcW w:w="1417" w:type="dxa"/>
            <w:tcBorders>
              <w:top w:val="nil"/>
              <w:left w:val="nil"/>
              <w:bottom w:val="single" w:sz="4" w:space="0" w:color="auto"/>
              <w:right w:val="nil"/>
            </w:tcBorders>
            <w:noWrap/>
            <w:vAlign w:val="bottom"/>
            <w:hideMark/>
          </w:tcPr>
          <w:p w14:paraId="6DDBF861" w14:textId="6B641002" w:rsidR="00942B15" w:rsidRPr="00942B15" w:rsidRDefault="00942B15" w:rsidP="00B05723">
            <w:pPr>
              <w:widowControl/>
              <w:autoSpaceDE/>
              <w:autoSpaceDN/>
              <w:jc w:val="center"/>
              <w:rPr>
                <w:rFonts w:eastAsia="Times New Roman" w:cs="Calibri"/>
                <w:b/>
                <w:bCs/>
                <w:lang w:eastAsia="el-GR"/>
              </w:rPr>
            </w:pPr>
            <w:r w:rsidRPr="00942B15">
              <w:rPr>
                <w:rFonts w:eastAsia="Times New Roman" w:cstheme="minorBidi"/>
                <w:b/>
                <w:bCs/>
                <w:lang w:val="en-GB" w:eastAsia="el-GR"/>
              </w:rPr>
              <w:t>3</w:t>
            </w:r>
            <w:r w:rsidR="000F76CD">
              <w:rPr>
                <w:rFonts w:eastAsia="Times New Roman" w:cstheme="minorBidi"/>
                <w:b/>
                <w:bCs/>
                <w:lang w:val="en-GB" w:eastAsia="el-GR"/>
              </w:rPr>
              <w:t>0</w:t>
            </w:r>
            <w:r w:rsidRPr="00942B15">
              <w:rPr>
                <w:rFonts w:eastAsia="Times New Roman" w:cstheme="minorBidi"/>
                <w:b/>
                <w:bCs/>
                <w:lang w:val="en-GB" w:eastAsia="el-GR"/>
              </w:rPr>
              <w:t>.</w:t>
            </w:r>
            <w:r w:rsidRPr="00942B15">
              <w:rPr>
                <w:rFonts w:eastAsia="Times New Roman" w:cstheme="minorBidi"/>
                <w:b/>
                <w:bCs/>
                <w:lang w:eastAsia="el-GR"/>
              </w:rPr>
              <w:t>0</w:t>
            </w:r>
            <w:r w:rsidR="000F76CD">
              <w:rPr>
                <w:rFonts w:eastAsia="Times New Roman" w:cstheme="minorBidi"/>
                <w:b/>
                <w:bCs/>
                <w:lang w:val="en-US" w:eastAsia="el-GR"/>
              </w:rPr>
              <w:t>6</w:t>
            </w:r>
            <w:r w:rsidRPr="00942B15">
              <w:rPr>
                <w:rFonts w:eastAsia="Times New Roman" w:cstheme="minorBidi"/>
                <w:b/>
                <w:bCs/>
                <w:lang w:val="en-GB" w:eastAsia="el-GR"/>
              </w:rPr>
              <w:t>.202</w:t>
            </w:r>
            <w:r w:rsidR="006C7DC2">
              <w:rPr>
                <w:rFonts w:eastAsia="Times New Roman" w:cstheme="minorBidi"/>
                <w:b/>
                <w:bCs/>
                <w:lang w:eastAsia="el-GR"/>
              </w:rPr>
              <w:t>5</w:t>
            </w:r>
          </w:p>
        </w:tc>
        <w:tc>
          <w:tcPr>
            <w:tcW w:w="1430" w:type="dxa"/>
            <w:tcBorders>
              <w:top w:val="nil"/>
              <w:left w:val="nil"/>
              <w:bottom w:val="single" w:sz="4" w:space="0" w:color="auto"/>
              <w:right w:val="nil"/>
            </w:tcBorders>
            <w:noWrap/>
            <w:vAlign w:val="bottom"/>
            <w:hideMark/>
          </w:tcPr>
          <w:p w14:paraId="2AD4A57D" w14:textId="7546B5DA" w:rsidR="00942B15" w:rsidRPr="006C7DC2" w:rsidRDefault="00942B15" w:rsidP="00B05723">
            <w:pPr>
              <w:widowControl/>
              <w:autoSpaceDE/>
              <w:autoSpaceDN/>
              <w:jc w:val="center"/>
              <w:rPr>
                <w:rFonts w:eastAsia="Times New Roman" w:cs="Calibri"/>
                <w:b/>
                <w:bCs/>
                <w:lang w:eastAsia="el-GR"/>
              </w:rPr>
            </w:pPr>
            <w:r w:rsidRPr="00942B15">
              <w:rPr>
                <w:rFonts w:eastAsia="Times New Roman" w:cstheme="minorBidi"/>
                <w:b/>
                <w:bCs/>
                <w:lang w:val="en-GB" w:eastAsia="el-GR"/>
              </w:rPr>
              <w:t>31.12.202</w:t>
            </w:r>
            <w:r w:rsidR="006C7DC2">
              <w:rPr>
                <w:rFonts w:eastAsia="Times New Roman" w:cstheme="minorBidi"/>
                <w:b/>
                <w:bCs/>
                <w:lang w:eastAsia="el-GR"/>
              </w:rPr>
              <w:t>4</w:t>
            </w:r>
          </w:p>
        </w:tc>
      </w:tr>
      <w:tr w:rsidR="00942B15" w:rsidRPr="001714F9" w14:paraId="1D1684AE" w14:textId="77777777" w:rsidTr="00942B15">
        <w:trPr>
          <w:trHeight w:val="288"/>
        </w:trPr>
        <w:tc>
          <w:tcPr>
            <w:tcW w:w="5954" w:type="dxa"/>
            <w:tcBorders>
              <w:top w:val="nil"/>
              <w:left w:val="nil"/>
              <w:bottom w:val="nil"/>
              <w:right w:val="nil"/>
            </w:tcBorders>
            <w:shd w:val="clear" w:color="auto" w:fill="0277B6"/>
            <w:vAlign w:val="bottom"/>
            <w:hideMark/>
          </w:tcPr>
          <w:p w14:paraId="46F6FFA6" w14:textId="77777777" w:rsidR="00942B15" w:rsidRPr="001714F9" w:rsidRDefault="00942B15" w:rsidP="00B05723">
            <w:pPr>
              <w:widowControl/>
              <w:autoSpaceDE/>
              <w:autoSpaceDN/>
              <w:rPr>
                <w:rFonts w:eastAsia="Times New Roman" w:cs="Calibri"/>
                <w:b/>
                <w:bCs/>
                <w:color w:val="FFFFFF"/>
                <w:sz w:val="20"/>
                <w:szCs w:val="20"/>
                <w:lang w:eastAsia="el-GR"/>
              </w:rPr>
            </w:pPr>
            <w:r w:rsidRPr="001714F9">
              <w:rPr>
                <w:rFonts w:eastAsia="Times New Roman" w:cs="Calibri"/>
                <w:b/>
                <w:bCs/>
                <w:color w:val="FFFFFF"/>
                <w:sz w:val="20"/>
                <w:szCs w:val="20"/>
                <w:lang w:eastAsia="el-GR"/>
              </w:rPr>
              <w:t>ΕΝΕΡΓΗΤΙΚΟ</w:t>
            </w:r>
          </w:p>
        </w:tc>
        <w:tc>
          <w:tcPr>
            <w:tcW w:w="1417" w:type="dxa"/>
            <w:tcBorders>
              <w:top w:val="single" w:sz="4" w:space="0" w:color="auto"/>
              <w:left w:val="nil"/>
              <w:bottom w:val="nil"/>
              <w:right w:val="nil"/>
            </w:tcBorders>
            <w:noWrap/>
            <w:vAlign w:val="center"/>
          </w:tcPr>
          <w:p w14:paraId="0CBA5115" w14:textId="241C96DD" w:rsidR="00942B15" w:rsidRPr="00E56164" w:rsidRDefault="00942B15" w:rsidP="00E56164">
            <w:pPr>
              <w:widowControl/>
              <w:autoSpaceDE/>
              <w:autoSpaceDN/>
              <w:jc w:val="center"/>
              <w:rPr>
                <w:rFonts w:eastAsia="Times New Roman" w:cs="Calibri"/>
                <w:b/>
                <w:bCs/>
                <w:sz w:val="18"/>
                <w:szCs w:val="18"/>
                <w:lang w:eastAsia="el-GR"/>
              </w:rPr>
            </w:pPr>
          </w:p>
        </w:tc>
        <w:tc>
          <w:tcPr>
            <w:tcW w:w="1430" w:type="dxa"/>
            <w:tcBorders>
              <w:top w:val="single" w:sz="4" w:space="0" w:color="auto"/>
              <w:left w:val="nil"/>
              <w:bottom w:val="nil"/>
              <w:right w:val="nil"/>
            </w:tcBorders>
            <w:noWrap/>
            <w:vAlign w:val="center"/>
          </w:tcPr>
          <w:p w14:paraId="62C55AEF" w14:textId="012FDC21" w:rsidR="00942B15" w:rsidRPr="00E56164" w:rsidRDefault="00942B15" w:rsidP="00E56164">
            <w:pPr>
              <w:widowControl/>
              <w:autoSpaceDE/>
              <w:autoSpaceDN/>
              <w:jc w:val="center"/>
              <w:rPr>
                <w:rFonts w:eastAsia="Times New Roman" w:cs="Calibri"/>
                <w:b/>
                <w:bCs/>
                <w:sz w:val="18"/>
                <w:szCs w:val="18"/>
                <w:lang w:eastAsia="el-GR"/>
              </w:rPr>
            </w:pPr>
          </w:p>
        </w:tc>
      </w:tr>
      <w:tr w:rsidR="0084418E" w:rsidRPr="001714F9" w14:paraId="38470B3F" w14:textId="77777777" w:rsidTr="00DF5474">
        <w:trPr>
          <w:trHeight w:val="288"/>
        </w:trPr>
        <w:tc>
          <w:tcPr>
            <w:tcW w:w="5954" w:type="dxa"/>
            <w:tcBorders>
              <w:top w:val="nil"/>
              <w:left w:val="nil"/>
              <w:bottom w:val="nil"/>
              <w:right w:val="nil"/>
            </w:tcBorders>
            <w:vAlign w:val="bottom"/>
            <w:hideMark/>
          </w:tcPr>
          <w:p w14:paraId="03ECCA80" w14:textId="77777777" w:rsidR="0084418E" w:rsidRPr="001714F9" w:rsidRDefault="0084418E" w:rsidP="0084418E">
            <w:pPr>
              <w:widowControl/>
              <w:autoSpaceDE/>
              <w:autoSpaceDN/>
              <w:rPr>
                <w:rFonts w:eastAsia="Times New Roman" w:cs="Calibri"/>
                <w:color w:val="000000"/>
                <w:sz w:val="20"/>
                <w:szCs w:val="20"/>
                <w:lang w:eastAsia="el-GR"/>
              </w:rPr>
            </w:pPr>
            <w:r w:rsidRPr="001714F9">
              <w:rPr>
                <w:rFonts w:eastAsia="Times New Roman" w:cs="Calibri"/>
                <w:color w:val="000000"/>
                <w:sz w:val="20"/>
                <w:szCs w:val="20"/>
                <w:lang w:eastAsia="el-GR"/>
              </w:rPr>
              <w:t>Μη κυκλοφορούντα στοιχεία ενεργητικού</w:t>
            </w:r>
          </w:p>
        </w:tc>
        <w:tc>
          <w:tcPr>
            <w:tcW w:w="1417" w:type="dxa"/>
            <w:tcBorders>
              <w:top w:val="nil"/>
              <w:left w:val="nil"/>
              <w:bottom w:val="nil"/>
              <w:right w:val="nil"/>
            </w:tcBorders>
            <w:shd w:val="clear" w:color="000000" w:fill="C5D9F1"/>
            <w:noWrap/>
            <w:vAlign w:val="center"/>
            <w:hideMark/>
          </w:tcPr>
          <w:p w14:paraId="2E214853" w14:textId="35725B9D" w:rsidR="0084418E" w:rsidRPr="000F76CD" w:rsidRDefault="0084418E" w:rsidP="0084418E">
            <w:pPr>
              <w:widowControl/>
              <w:autoSpaceDE/>
              <w:autoSpaceDN/>
              <w:jc w:val="right"/>
              <w:rPr>
                <w:rFonts w:eastAsia="Times New Roman" w:cs="Calibri"/>
                <w:color w:val="000000"/>
                <w:sz w:val="20"/>
                <w:szCs w:val="20"/>
                <w:lang w:eastAsia="el-GR"/>
              </w:rPr>
            </w:pPr>
            <w:r w:rsidRPr="00111E4D">
              <w:rPr>
                <w:rFonts w:cs="Calibri"/>
                <w:color w:val="000000"/>
                <w:sz w:val="20"/>
                <w:szCs w:val="20"/>
              </w:rPr>
              <w:t>1</w:t>
            </w:r>
            <w:r w:rsidR="000F74CF">
              <w:rPr>
                <w:rFonts w:cs="Calibri"/>
                <w:color w:val="000000"/>
                <w:sz w:val="20"/>
                <w:szCs w:val="20"/>
                <w:lang w:val="en-US"/>
              </w:rPr>
              <w:t>.</w:t>
            </w:r>
            <w:r w:rsidRPr="00111E4D">
              <w:rPr>
                <w:rFonts w:cs="Calibri"/>
                <w:color w:val="000000"/>
                <w:sz w:val="20"/>
                <w:szCs w:val="20"/>
              </w:rPr>
              <w:t>255</w:t>
            </w:r>
            <w:r w:rsidR="000F74CF">
              <w:rPr>
                <w:rFonts w:cs="Calibri"/>
                <w:color w:val="000000"/>
                <w:sz w:val="20"/>
                <w:szCs w:val="20"/>
                <w:lang w:val="en-US"/>
              </w:rPr>
              <w:t>.</w:t>
            </w:r>
            <w:r w:rsidRPr="00111E4D">
              <w:rPr>
                <w:rFonts w:cs="Calibri"/>
                <w:color w:val="000000"/>
                <w:sz w:val="20"/>
                <w:szCs w:val="20"/>
              </w:rPr>
              <w:t>119</w:t>
            </w:r>
          </w:p>
        </w:tc>
        <w:tc>
          <w:tcPr>
            <w:tcW w:w="1430" w:type="dxa"/>
            <w:tcBorders>
              <w:top w:val="nil"/>
              <w:left w:val="nil"/>
              <w:bottom w:val="nil"/>
              <w:right w:val="nil"/>
            </w:tcBorders>
            <w:noWrap/>
            <w:vAlign w:val="center"/>
            <w:hideMark/>
          </w:tcPr>
          <w:p w14:paraId="4DE057FE" w14:textId="5DAABF39" w:rsidR="0084418E" w:rsidRPr="0076532B" w:rsidRDefault="0084418E" w:rsidP="0084418E">
            <w:pPr>
              <w:widowControl/>
              <w:autoSpaceDE/>
              <w:autoSpaceDN/>
              <w:jc w:val="right"/>
              <w:rPr>
                <w:rFonts w:eastAsia="Times New Roman" w:cs="Calibri"/>
                <w:color w:val="000000"/>
                <w:sz w:val="20"/>
                <w:szCs w:val="20"/>
                <w:lang w:eastAsia="el-GR"/>
              </w:rPr>
            </w:pPr>
            <w:r w:rsidRPr="0076532B">
              <w:rPr>
                <w:rFonts w:cs="Calibri"/>
                <w:color w:val="000000"/>
                <w:sz w:val="20"/>
                <w:szCs w:val="20"/>
              </w:rPr>
              <w:t>1.256.791</w:t>
            </w:r>
          </w:p>
        </w:tc>
      </w:tr>
      <w:tr w:rsidR="0084418E" w:rsidRPr="001714F9" w14:paraId="6F4784EC" w14:textId="77777777" w:rsidTr="00DF5474">
        <w:trPr>
          <w:trHeight w:val="288"/>
        </w:trPr>
        <w:tc>
          <w:tcPr>
            <w:tcW w:w="5954" w:type="dxa"/>
            <w:tcBorders>
              <w:top w:val="nil"/>
              <w:left w:val="nil"/>
              <w:bottom w:val="nil"/>
              <w:right w:val="nil"/>
            </w:tcBorders>
            <w:vAlign w:val="bottom"/>
            <w:hideMark/>
          </w:tcPr>
          <w:p w14:paraId="18872F34" w14:textId="77777777" w:rsidR="0084418E" w:rsidRPr="001714F9" w:rsidRDefault="0084418E" w:rsidP="0084418E">
            <w:pPr>
              <w:widowControl/>
              <w:autoSpaceDE/>
              <w:autoSpaceDN/>
              <w:rPr>
                <w:rFonts w:eastAsia="Times New Roman" w:cs="Calibri"/>
                <w:color w:val="000000"/>
                <w:sz w:val="20"/>
                <w:szCs w:val="20"/>
                <w:lang w:eastAsia="el-GR"/>
              </w:rPr>
            </w:pPr>
            <w:r w:rsidRPr="001714F9">
              <w:rPr>
                <w:rFonts w:eastAsia="Times New Roman" w:cs="Calibri"/>
                <w:color w:val="000000"/>
                <w:sz w:val="20"/>
                <w:szCs w:val="20"/>
                <w:lang w:eastAsia="el-GR"/>
              </w:rPr>
              <w:t>Αποθέματα</w:t>
            </w:r>
          </w:p>
        </w:tc>
        <w:tc>
          <w:tcPr>
            <w:tcW w:w="1417" w:type="dxa"/>
            <w:tcBorders>
              <w:top w:val="nil"/>
              <w:left w:val="nil"/>
              <w:bottom w:val="nil"/>
              <w:right w:val="nil"/>
            </w:tcBorders>
            <w:shd w:val="clear" w:color="000000" w:fill="C5D9F1"/>
            <w:noWrap/>
            <w:vAlign w:val="center"/>
            <w:hideMark/>
          </w:tcPr>
          <w:p w14:paraId="152AA407" w14:textId="2716709E" w:rsidR="0084418E" w:rsidRPr="000F76CD" w:rsidRDefault="0084418E" w:rsidP="0084418E">
            <w:pPr>
              <w:widowControl/>
              <w:autoSpaceDE/>
              <w:autoSpaceDN/>
              <w:jc w:val="right"/>
              <w:rPr>
                <w:rFonts w:eastAsia="Times New Roman" w:cs="Calibri"/>
                <w:color w:val="000000"/>
                <w:sz w:val="20"/>
                <w:szCs w:val="20"/>
                <w:lang w:eastAsia="el-GR"/>
              </w:rPr>
            </w:pPr>
            <w:r w:rsidRPr="00111E4D">
              <w:rPr>
                <w:rFonts w:cs="Calibri"/>
                <w:color w:val="000000"/>
                <w:sz w:val="20"/>
                <w:szCs w:val="20"/>
              </w:rPr>
              <w:t>886</w:t>
            </w:r>
            <w:r w:rsidR="000F74CF">
              <w:rPr>
                <w:rFonts w:cs="Calibri"/>
                <w:color w:val="000000"/>
                <w:sz w:val="20"/>
                <w:szCs w:val="20"/>
                <w:lang w:val="en-US"/>
              </w:rPr>
              <w:t>.</w:t>
            </w:r>
            <w:r w:rsidRPr="00111E4D">
              <w:rPr>
                <w:rFonts w:cs="Calibri"/>
                <w:color w:val="000000"/>
                <w:sz w:val="20"/>
                <w:szCs w:val="20"/>
              </w:rPr>
              <w:t>082</w:t>
            </w:r>
          </w:p>
        </w:tc>
        <w:tc>
          <w:tcPr>
            <w:tcW w:w="1430" w:type="dxa"/>
            <w:tcBorders>
              <w:top w:val="nil"/>
              <w:left w:val="nil"/>
              <w:bottom w:val="nil"/>
              <w:right w:val="nil"/>
            </w:tcBorders>
            <w:noWrap/>
            <w:vAlign w:val="center"/>
            <w:hideMark/>
          </w:tcPr>
          <w:p w14:paraId="1FE3549F" w14:textId="3B19C8CA" w:rsidR="0084418E" w:rsidRPr="0076532B" w:rsidRDefault="0084418E" w:rsidP="0084418E">
            <w:pPr>
              <w:widowControl/>
              <w:autoSpaceDE/>
              <w:autoSpaceDN/>
              <w:jc w:val="right"/>
              <w:rPr>
                <w:rFonts w:eastAsia="Times New Roman" w:cs="Calibri"/>
                <w:color w:val="000000"/>
                <w:sz w:val="20"/>
                <w:szCs w:val="20"/>
                <w:lang w:eastAsia="el-GR"/>
              </w:rPr>
            </w:pPr>
            <w:r w:rsidRPr="0076532B">
              <w:rPr>
                <w:rFonts w:cs="Calibri"/>
                <w:color w:val="000000"/>
                <w:sz w:val="20"/>
                <w:szCs w:val="20"/>
              </w:rPr>
              <w:t>802.017</w:t>
            </w:r>
          </w:p>
        </w:tc>
      </w:tr>
      <w:tr w:rsidR="0084418E" w:rsidRPr="001714F9" w14:paraId="506E2BC6" w14:textId="77777777" w:rsidTr="00DF5474">
        <w:trPr>
          <w:trHeight w:val="288"/>
        </w:trPr>
        <w:tc>
          <w:tcPr>
            <w:tcW w:w="5954" w:type="dxa"/>
            <w:tcBorders>
              <w:top w:val="nil"/>
              <w:left w:val="nil"/>
              <w:bottom w:val="nil"/>
              <w:right w:val="nil"/>
            </w:tcBorders>
            <w:vAlign w:val="bottom"/>
            <w:hideMark/>
          </w:tcPr>
          <w:p w14:paraId="25C34966" w14:textId="77777777" w:rsidR="0084418E" w:rsidRPr="001714F9" w:rsidRDefault="0084418E" w:rsidP="0084418E">
            <w:pPr>
              <w:widowControl/>
              <w:autoSpaceDE/>
              <w:autoSpaceDN/>
              <w:rPr>
                <w:rFonts w:eastAsia="Times New Roman" w:cs="Calibri"/>
                <w:color w:val="000000"/>
                <w:sz w:val="20"/>
                <w:szCs w:val="20"/>
                <w:lang w:eastAsia="el-GR"/>
              </w:rPr>
            </w:pPr>
            <w:r w:rsidRPr="001714F9">
              <w:rPr>
                <w:rFonts w:eastAsia="Times New Roman" w:cs="Calibri"/>
                <w:color w:val="000000"/>
                <w:sz w:val="20"/>
                <w:szCs w:val="20"/>
                <w:lang w:eastAsia="el-GR"/>
              </w:rPr>
              <w:t>Απαιτήσεις από πελάτες</w:t>
            </w:r>
          </w:p>
        </w:tc>
        <w:tc>
          <w:tcPr>
            <w:tcW w:w="1417" w:type="dxa"/>
            <w:tcBorders>
              <w:top w:val="nil"/>
              <w:left w:val="nil"/>
              <w:bottom w:val="nil"/>
              <w:right w:val="nil"/>
            </w:tcBorders>
            <w:shd w:val="clear" w:color="000000" w:fill="C5D9F1"/>
            <w:noWrap/>
            <w:vAlign w:val="center"/>
            <w:hideMark/>
          </w:tcPr>
          <w:p w14:paraId="4FE384AD" w14:textId="31B0937E" w:rsidR="0084418E" w:rsidRPr="000F76CD" w:rsidRDefault="0084418E" w:rsidP="0084418E">
            <w:pPr>
              <w:widowControl/>
              <w:autoSpaceDE/>
              <w:autoSpaceDN/>
              <w:jc w:val="right"/>
              <w:rPr>
                <w:rFonts w:eastAsia="Times New Roman" w:cs="Calibri"/>
                <w:color w:val="000000"/>
                <w:sz w:val="20"/>
                <w:szCs w:val="20"/>
                <w:lang w:eastAsia="el-GR"/>
              </w:rPr>
            </w:pPr>
            <w:r w:rsidRPr="00111E4D">
              <w:rPr>
                <w:rFonts w:cs="Calibri"/>
                <w:color w:val="000000"/>
                <w:sz w:val="20"/>
                <w:szCs w:val="20"/>
              </w:rPr>
              <w:t>314</w:t>
            </w:r>
            <w:r w:rsidR="000F74CF">
              <w:rPr>
                <w:rFonts w:cs="Calibri"/>
                <w:color w:val="000000"/>
                <w:sz w:val="20"/>
                <w:szCs w:val="20"/>
              </w:rPr>
              <w:t>.</w:t>
            </w:r>
            <w:r w:rsidRPr="00111E4D">
              <w:rPr>
                <w:rFonts w:cs="Calibri"/>
                <w:color w:val="000000"/>
                <w:sz w:val="20"/>
                <w:szCs w:val="20"/>
              </w:rPr>
              <w:t>391</w:t>
            </w:r>
          </w:p>
        </w:tc>
        <w:tc>
          <w:tcPr>
            <w:tcW w:w="1430" w:type="dxa"/>
            <w:tcBorders>
              <w:top w:val="nil"/>
              <w:left w:val="nil"/>
              <w:bottom w:val="nil"/>
              <w:right w:val="nil"/>
            </w:tcBorders>
            <w:noWrap/>
            <w:vAlign w:val="center"/>
            <w:hideMark/>
          </w:tcPr>
          <w:p w14:paraId="6665CAA5" w14:textId="06C43874" w:rsidR="0084418E" w:rsidRPr="003E0F8A" w:rsidRDefault="0084418E" w:rsidP="0084418E">
            <w:pPr>
              <w:widowControl/>
              <w:autoSpaceDE/>
              <w:autoSpaceDN/>
              <w:jc w:val="right"/>
              <w:rPr>
                <w:rFonts w:eastAsia="Times New Roman" w:cs="Calibri"/>
                <w:color w:val="000000"/>
                <w:sz w:val="20"/>
                <w:szCs w:val="20"/>
                <w:lang w:val="en-US" w:eastAsia="el-GR"/>
              </w:rPr>
            </w:pPr>
            <w:r w:rsidRPr="0076532B">
              <w:rPr>
                <w:rFonts w:cs="Calibri"/>
                <w:color w:val="000000"/>
                <w:sz w:val="20"/>
                <w:szCs w:val="20"/>
              </w:rPr>
              <w:t>301.717</w:t>
            </w:r>
          </w:p>
        </w:tc>
      </w:tr>
      <w:tr w:rsidR="0084418E" w:rsidRPr="001714F9" w14:paraId="20EFAE77" w14:textId="77777777" w:rsidTr="00DF5474">
        <w:trPr>
          <w:trHeight w:val="288"/>
        </w:trPr>
        <w:tc>
          <w:tcPr>
            <w:tcW w:w="5954" w:type="dxa"/>
            <w:tcBorders>
              <w:top w:val="nil"/>
              <w:left w:val="nil"/>
              <w:bottom w:val="nil"/>
              <w:right w:val="nil"/>
            </w:tcBorders>
            <w:vAlign w:val="bottom"/>
            <w:hideMark/>
          </w:tcPr>
          <w:p w14:paraId="2D921C3A" w14:textId="77777777" w:rsidR="0084418E" w:rsidRPr="001714F9" w:rsidRDefault="0084418E" w:rsidP="0084418E">
            <w:pPr>
              <w:widowControl/>
              <w:autoSpaceDE/>
              <w:autoSpaceDN/>
              <w:rPr>
                <w:rFonts w:eastAsia="Times New Roman" w:cs="Calibri"/>
                <w:color w:val="000000"/>
                <w:sz w:val="20"/>
                <w:szCs w:val="20"/>
                <w:lang w:eastAsia="el-GR"/>
              </w:rPr>
            </w:pPr>
            <w:r w:rsidRPr="001714F9">
              <w:rPr>
                <w:rFonts w:eastAsia="Times New Roman" w:cs="Calibri"/>
                <w:color w:val="000000"/>
                <w:sz w:val="20"/>
                <w:szCs w:val="20"/>
                <w:lang w:eastAsia="el-GR"/>
              </w:rPr>
              <w:t>Λοιπά κυκλοφορούντα περιουσιακά στοιχεία</w:t>
            </w:r>
          </w:p>
        </w:tc>
        <w:tc>
          <w:tcPr>
            <w:tcW w:w="1417" w:type="dxa"/>
            <w:tcBorders>
              <w:top w:val="nil"/>
              <w:left w:val="nil"/>
              <w:bottom w:val="nil"/>
              <w:right w:val="nil"/>
            </w:tcBorders>
            <w:shd w:val="clear" w:color="000000" w:fill="C5D9F1"/>
            <w:noWrap/>
            <w:vAlign w:val="center"/>
            <w:hideMark/>
          </w:tcPr>
          <w:p w14:paraId="5951B9FB" w14:textId="37500173" w:rsidR="0084418E" w:rsidRPr="000F76CD" w:rsidRDefault="0084418E" w:rsidP="0084418E">
            <w:pPr>
              <w:widowControl/>
              <w:autoSpaceDE/>
              <w:autoSpaceDN/>
              <w:jc w:val="right"/>
              <w:rPr>
                <w:rFonts w:eastAsia="Times New Roman" w:cs="Calibri"/>
                <w:color w:val="000000"/>
                <w:sz w:val="20"/>
                <w:szCs w:val="20"/>
                <w:lang w:eastAsia="el-GR"/>
              </w:rPr>
            </w:pPr>
            <w:r w:rsidRPr="00111E4D">
              <w:rPr>
                <w:rFonts w:cs="Calibri"/>
                <w:color w:val="000000"/>
                <w:sz w:val="20"/>
                <w:szCs w:val="20"/>
              </w:rPr>
              <w:t>3</w:t>
            </w:r>
            <w:r w:rsidR="000F74CF">
              <w:rPr>
                <w:rFonts w:cs="Calibri"/>
                <w:color w:val="000000"/>
                <w:sz w:val="20"/>
                <w:szCs w:val="20"/>
              </w:rPr>
              <w:t>.</w:t>
            </w:r>
            <w:r w:rsidRPr="00111E4D">
              <w:rPr>
                <w:rFonts w:cs="Calibri"/>
                <w:color w:val="000000"/>
                <w:sz w:val="20"/>
                <w:szCs w:val="20"/>
              </w:rPr>
              <w:t>6</w:t>
            </w:r>
            <w:r>
              <w:rPr>
                <w:rFonts w:cs="Calibri"/>
                <w:color w:val="000000"/>
                <w:sz w:val="20"/>
                <w:szCs w:val="20"/>
              </w:rPr>
              <w:t>79</w:t>
            </w:r>
          </w:p>
        </w:tc>
        <w:tc>
          <w:tcPr>
            <w:tcW w:w="1430" w:type="dxa"/>
            <w:tcBorders>
              <w:top w:val="nil"/>
              <w:left w:val="nil"/>
              <w:bottom w:val="nil"/>
              <w:right w:val="nil"/>
            </w:tcBorders>
            <w:noWrap/>
            <w:vAlign w:val="center"/>
            <w:hideMark/>
          </w:tcPr>
          <w:p w14:paraId="2F58B504" w14:textId="628F4CF2" w:rsidR="0084418E" w:rsidRPr="0076532B" w:rsidRDefault="0084418E" w:rsidP="0084418E">
            <w:pPr>
              <w:widowControl/>
              <w:autoSpaceDE/>
              <w:autoSpaceDN/>
              <w:jc w:val="right"/>
              <w:rPr>
                <w:rFonts w:eastAsia="Times New Roman" w:cs="Calibri"/>
                <w:color w:val="000000"/>
                <w:sz w:val="20"/>
                <w:szCs w:val="20"/>
                <w:lang w:eastAsia="el-GR"/>
              </w:rPr>
            </w:pPr>
            <w:r w:rsidRPr="0076532B">
              <w:rPr>
                <w:rFonts w:cs="Calibri"/>
                <w:color w:val="000000"/>
                <w:sz w:val="20"/>
                <w:szCs w:val="20"/>
              </w:rPr>
              <w:t>5.693</w:t>
            </w:r>
          </w:p>
        </w:tc>
      </w:tr>
      <w:tr w:rsidR="0084418E" w:rsidRPr="001714F9" w14:paraId="48460A0A" w14:textId="77777777" w:rsidTr="00DF5474">
        <w:trPr>
          <w:trHeight w:val="288"/>
        </w:trPr>
        <w:tc>
          <w:tcPr>
            <w:tcW w:w="5954" w:type="dxa"/>
            <w:tcBorders>
              <w:top w:val="nil"/>
              <w:left w:val="nil"/>
              <w:bottom w:val="nil"/>
              <w:right w:val="nil"/>
            </w:tcBorders>
            <w:vAlign w:val="bottom"/>
            <w:hideMark/>
          </w:tcPr>
          <w:p w14:paraId="2604E020" w14:textId="77777777" w:rsidR="0084418E" w:rsidRPr="001714F9" w:rsidRDefault="0084418E" w:rsidP="0084418E">
            <w:pPr>
              <w:widowControl/>
              <w:autoSpaceDE/>
              <w:autoSpaceDN/>
              <w:rPr>
                <w:rFonts w:eastAsia="Times New Roman" w:cs="Calibri"/>
                <w:color w:val="000000"/>
                <w:sz w:val="20"/>
                <w:szCs w:val="20"/>
                <w:lang w:eastAsia="el-GR"/>
              </w:rPr>
            </w:pPr>
            <w:r w:rsidRPr="001714F9">
              <w:rPr>
                <w:rFonts w:eastAsia="Times New Roman" w:cs="Calibri"/>
                <w:color w:val="000000"/>
                <w:sz w:val="20"/>
                <w:szCs w:val="20"/>
                <w:lang w:eastAsia="el-GR"/>
              </w:rPr>
              <w:t>Διαθέσιμα και ταμειακά ισοδύναμα</w:t>
            </w:r>
          </w:p>
        </w:tc>
        <w:tc>
          <w:tcPr>
            <w:tcW w:w="1417" w:type="dxa"/>
            <w:tcBorders>
              <w:top w:val="nil"/>
              <w:left w:val="nil"/>
              <w:bottom w:val="nil"/>
              <w:right w:val="nil"/>
            </w:tcBorders>
            <w:shd w:val="clear" w:color="000000" w:fill="C5D9F1"/>
            <w:noWrap/>
            <w:vAlign w:val="center"/>
            <w:hideMark/>
          </w:tcPr>
          <w:p w14:paraId="2416FDC0" w14:textId="2B16D98E" w:rsidR="0084418E" w:rsidRPr="000F76CD" w:rsidRDefault="0084418E" w:rsidP="0084418E">
            <w:pPr>
              <w:widowControl/>
              <w:autoSpaceDE/>
              <w:autoSpaceDN/>
              <w:jc w:val="right"/>
              <w:rPr>
                <w:rFonts w:eastAsia="Times New Roman" w:cs="Calibri"/>
                <w:color w:val="000000"/>
                <w:sz w:val="20"/>
                <w:szCs w:val="20"/>
                <w:lang w:eastAsia="el-GR"/>
              </w:rPr>
            </w:pPr>
            <w:r w:rsidRPr="00111E4D">
              <w:rPr>
                <w:rFonts w:cs="Calibri"/>
                <w:color w:val="000000"/>
                <w:sz w:val="20"/>
                <w:szCs w:val="20"/>
              </w:rPr>
              <w:t>42</w:t>
            </w:r>
            <w:r w:rsidR="000F74CF">
              <w:rPr>
                <w:rFonts w:cs="Calibri"/>
                <w:color w:val="000000"/>
                <w:sz w:val="20"/>
                <w:szCs w:val="20"/>
              </w:rPr>
              <w:t>.</w:t>
            </w:r>
            <w:r w:rsidRPr="00111E4D">
              <w:rPr>
                <w:rFonts w:cs="Calibri"/>
                <w:color w:val="000000"/>
                <w:sz w:val="20"/>
                <w:szCs w:val="20"/>
              </w:rPr>
              <w:t>479</w:t>
            </w:r>
          </w:p>
        </w:tc>
        <w:tc>
          <w:tcPr>
            <w:tcW w:w="1430" w:type="dxa"/>
            <w:tcBorders>
              <w:top w:val="nil"/>
              <w:left w:val="nil"/>
              <w:bottom w:val="nil"/>
              <w:right w:val="nil"/>
            </w:tcBorders>
            <w:noWrap/>
            <w:vAlign w:val="center"/>
            <w:hideMark/>
          </w:tcPr>
          <w:p w14:paraId="2111653A" w14:textId="2C3DC120" w:rsidR="0084418E" w:rsidRPr="0076532B" w:rsidRDefault="0084418E" w:rsidP="0084418E">
            <w:pPr>
              <w:widowControl/>
              <w:autoSpaceDE/>
              <w:autoSpaceDN/>
              <w:jc w:val="right"/>
              <w:rPr>
                <w:rFonts w:eastAsia="Times New Roman" w:cs="Calibri"/>
                <w:color w:val="000000"/>
                <w:sz w:val="20"/>
                <w:szCs w:val="20"/>
                <w:lang w:eastAsia="el-GR"/>
              </w:rPr>
            </w:pPr>
            <w:r w:rsidRPr="0076532B">
              <w:rPr>
                <w:rFonts w:cs="Calibri"/>
                <w:color w:val="000000"/>
                <w:sz w:val="20"/>
                <w:szCs w:val="20"/>
              </w:rPr>
              <w:t>79.687</w:t>
            </w:r>
          </w:p>
        </w:tc>
      </w:tr>
      <w:tr w:rsidR="0084418E" w:rsidRPr="001714F9" w14:paraId="0C3F9DE2" w14:textId="77777777" w:rsidTr="00DF5474">
        <w:trPr>
          <w:trHeight w:val="288"/>
        </w:trPr>
        <w:tc>
          <w:tcPr>
            <w:tcW w:w="5954" w:type="dxa"/>
            <w:tcBorders>
              <w:top w:val="nil"/>
              <w:left w:val="nil"/>
              <w:bottom w:val="nil"/>
              <w:right w:val="nil"/>
            </w:tcBorders>
            <w:vAlign w:val="bottom"/>
          </w:tcPr>
          <w:p w14:paraId="55982692" w14:textId="373F445A" w:rsidR="0084418E" w:rsidRPr="001714F9" w:rsidRDefault="0084418E" w:rsidP="0084418E">
            <w:pPr>
              <w:widowControl/>
              <w:autoSpaceDE/>
              <w:autoSpaceDN/>
              <w:rPr>
                <w:rFonts w:eastAsia="Times New Roman" w:cs="Calibri"/>
                <w:color w:val="000000"/>
                <w:sz w:val="20"/>
                <w:szCs w:val="20"/>
                <w:lang w:eastAsia="el-GR"/>
              </w:rPr>
            </w:pPr>
            <w:r w:rsidRPr="000F76CD">
              <w:rPr>
                <w:rFonts w:eastAsia="Times New Roman" w:cs="Calibri"/>
                <w:color w:val="000000"/>
                <w:sz w:val="20"/>
                <w:szCs w:val="20"/>
                <w:lang w:eastAsia="el-GR"/>
              </w:rPr>
              <w:t>Περιουσιακά στοιχεία διακρατούμενα προς πώληση</w:t>
            </w:r>
          </w:p>
        </w:tc>
        <w:tc>
          <w:tcPr>
            <w:tcW w:w="1417" w:type="dxa"/>
            <w:tcBorders>
              <w:top w:val="nil"/>
              <w:left w:val="nil"/>
              <w:bottom w:val="nil"/>
              <w:right w:val="nil"/>
            </w:tcBorders>
            <w:shd w:val="clear" w:color="000000" w:fill="C5D9F1"/>
            <w:noWrap/>
            <w:vAlign w:val="center"/>
          </w:tcPr>
          <w:p w14:paraId="490C8954" w14:textId="1C5E8105" w:rsidR="0084418E" w:rsidRPr="000F76CD" w:rsidRDefault="0084418E" w:rsidP="0084418E">
            <w:pPr>
              <w:widowControl/>
              <w:autoSpaceDE/>
              <w:autoSpaceDN/>
              <w:jc w:val="right"/>
              <w:rPr>
                <w:rFonts w:cs="Calibri"/>
                <w:color w:val="000000"/>
                <w:sz w:val="20"/>
                <w:szCs w:val="20"/>
              </w:rPr>
            </w:pPr>
            <w:r w:rsidRPr="00111E4D">
              <w:rPr>
                <w:rFonts w:cs="Calibri"/>
                <w:color w:val="000000"/>
                <w:sz w:val="20"/>
                <w:szCs w:val="20"/>
              </w:rPr>
              <w:t>1</w:t>
            </w:r>
            <w:r w:rsidR="000F74CF">
              <w:rPr>
                <w:rFonts w:cs="Calibri"/>
                <w:color w:val="000000"/>
                <w:sz w:val="20"/>
                <w:szCs w:val="20"/>
              </w:rPr>
              <w:t>.</w:t>
            </w:r>
            <w:r w:rsidRPr="00111E4D">
              <w:rPr>
                <w:rFonts w:cs="Calibri"/>
                <w:color w:val="000000"/>
                <w:sz w:val="20"/>
                <w:szCs w:val="20"/>
              </w:rPr>
              <w:t>871</w:t>
            </w:r>
          </w:p>
        </w:tc>
        <w:tc>
          <w:tcPr>
            <w:tcW w:w="1430" w:type="dxa"/>
            <w:tcBorders>
              <w:top w:val="nil"/>
              <w:left w:val="nil"/>
              <w:bottom w:val="nil"/>
              <w:right w:val="nil"/>
            </w:tcBorders>
            <w:noWrap/>
            <w:vAlign w:val="center"/>
          </w:tcPr>
          <w:p w14:paraId="00FD30A3" w14:textId="57BF8139" w:rsidR="0084418E" w:rsidRPr="000F76CD" w:rsidRDefault="0084418E" w:rsidP="0084418E">
            <w:pPr>
              <w:widowControl/>
              <w:autoSpaceDE/>
              <w:autoSpaceDN/>
              <w:jc w:val="right"/>
              <w:rPr>
                <w:rFonts w:cs="Calibri"/>
                <w:color w:val="000000"/>
                <w:sz w:val="20"/>
                <w:szCs w:val="20"/>
                <w:lang w:val="en-US"/>
              </w:rPr>
            </w:pPr>
            <w:r>
              <w:rPr>
                <w:rFonts w:cs="Calibri"/>
                <w:color w:val="000000"/>
                <w:sz w:val="20"/>
                <w:szCs w:val="20"/>
                <w:lang w:val="en-US"/>
              </w:rPr>
              <w:t>-</w:t>
            </w:r>
          </w:p>
        </w:tc>
      </w:tr>
      <w:tr w:rsidR="0084418E" w:rsidRPr="00632008" w14:paraId="15BB96B6" w14:textId="77777777" w:rsidTr="00DF5474">
        <w:trPr>
          <w:trHeight w:val="288"/>
        </w:trPr>
        <w:tc>
          <w:tcPr>
            <w:tcW w:w="5954" w:type="dxa"/>
            <w:tcBorders>
              <w:top w:val="single" w:sz="4" w:space="0" w:color="auto"/>
              <w:left w:val="nil"/>
              <w:bottom w:val="single" w:sz="4" w:space="0" w:color="auto"/>
              <w:right w:val="nil"/>
            </w:tcBorders>
            <w:noWrap/>
            <w:vAlign w:val="bottom"/>
            <w:hideMark/>
          </w:tcPr>
          <w:p w14:paraId="3C153699" w14:textId="77777777" w:rsidR="0084418E" w:rsidRPr="00632008" w:rsidRDefault="0084418E" w:rsidP="0084418E">
            <w:pPr>
              <w:widowControl/>
              <w:autoSpaceDE/>
              <w:autoSpaceDN/>
              <w:rPr>
                <w:rFonts w:eastAsia="Times New Roman" w:cs="Calibri"/>
                <w:b/>
                <w:bCs/>
                <w:sz w:val="20"/>
                <w:szCs w:val="20"/>
                <w:lang w:eastAsia="el-GR"/>
              </w:rPr>
            </w:pPr>
            <w:r w:rsidRPr="00632008">
              <w:rPr>
                <w:rFonts w:eastAsia="Times New Roman" w:cs="Calibri"/>
                <w:b/>
                <w:bCs/>
                <w:sz w:val="20"/>
                <w:szCs w:val="20"/>
                <w:lang w:eastAsia="el-GR"/>
              </w:rPr>
              <w:t>ΣΥΝΟΛΟ ΕΝΕΡΓΗΤΙΚΟΥ</w:t>
            </w:r>
          </w:p>
        </w:tc>
        <w:tc>
          <w:tcPr>
            <w:tcW w:w="1417" w:type="dxa"/>
            <w:tcBorders>
              <w:top w:val="single" w:sz="4" w:space="0" w:color="auto"/>
              <w:left w:val="nil"/>
              <w:bottom w:val="single" w:sz="4" w:space="0" w:color="auto"/>
              <w:right w:val="nil"/>
            </w:tcBorders>
            <w:shd w:val="clear" w:color="000000" w:fill="C5D9F1"/>
            <w:noWrap/>
            <w:vAlign w:val="center"/>
            <w:hideMark/>
          </w:tcPr>
          <w:p w14:paraId="14DC656D" w14:textId="4B9B24E1" w:rsidR="0084418E" w:rsidRPr="000F76CD" w:rsidRDefault="0084418E" w:rsidP="0084418E">
            <w:pPr>
              <w:widowControl/>
              <w:autoSpaceDE/>
              <w:autoSpaceDN/>
              <w:jc w:val="right"/>
              <w:rPr>
                <w:rFonts w:eastAsia="Times New Roman" w:cs="Calibri"/>
                <w:b/>
                <w:bCs/>
                <w:color w:val="000000"/>
                <w:sz w:val="20"/>
                <w:szCs w:val="20"/>
                <w:lang w:eastAsia="el-GR"/>
              </w:rPr>
            </w:pPr>
            <w:r w:rsidRPr="00111E4D">
              <w:rPr>
                <w:rFonts w:cs="Calibri"/>
                <w:b/>
                <w:bCs/>
                <w:color w:val="000000"/>
                <w:sz w:val="20"/>
                <w:szCs w:val="20"/>
              </w:rPr>
              <w:t>2</w:t>
            </w:r>
            <w:r w:rsidR="000F74CF">
              <w:rPr>
                <w:rFonts w:cs="Calibri"/>
                <w:b/>
                <w:bCs/>
                <w:color w:val="000000"/>
                <w:sz w:val="20"/>
                <w:szCs w:val="20"/>
              </w:rPr>
              <w:t>.</w:t>
            </w:r>
            <w:r w:rsidRPr="00111E4D">
              <w:rPr>
                <w:rFonts w:cs="Calibri"/>
                <w:b/>
                <w:bCs/>
                <w:color w:val="000000"/>
                <w:sz w:val="20"/>
                <w:szCs w:val="20"/>
              </w:rPr>
              <w:t>503</w:t>
            </w:r>
            <w:r w:rsidR="000F74CF">
              <w:rPr>
                <w:rFonts w:cs="Calibri"/>
                <w:b/>
                <w:bCs/>
                <w:color w:val="000000"/>
                <w:sz w:val="20"/>
                <w:szCs w:val="20"/>
              </w:rPr>
              <w:t>.</w:t>
            </w:r>
            <w:r w:rsidRPr="00111E4D">
              <w:rPr>
                <w:rFonts w:cs="Calibri"/>
                <w:b/>
                <w:bCs/>
                <w:color w:val="000000"/>
                <w:sz w:val="20"/>
                <w:szCs w:val="20"/>
              </w:rPr>
              <w:t>621</w:t>
            </w:r>
          </w:p>
        </w:tc>
        <w:tc>
          <w:tcPr>
            <w:tcW w:w="1430" w:type="dxa"/>
            <w:tcBorders>
              <w:top w:val="single" w:sz="4" w:space="0" w:color="auto"/>
              <w:left w:val="nil"/>
              <w:bottom w:val="single" w:sz="4" w:space="0" w:color="auto"/>
              <w:right w:val="nil"/>
            </w:tcBorders>
            <w:noWrap/>
            <w:vAlign w:val="center"/>
            <w:hideMark/>
          </w:tcPr>
          <w:p w14:paraId="662BB1E7" w14:textId="78FF04C0" w:rsidR="0084418E" w:rsidRPr="0076532B" w:rsidRDefault="0084418E" w:rsidP="0084418E">
            <w:pPr>
              <w:widowControl/>
              <w:autoSpaceDE/>
              <w:autoSpaceDN/>
              <w:jc w:val="right"/>
              <w:rPr>
                <w:rFonts w:eastAsia="Times New Roman" w:cs="Calibri"/>
                <w:b/>
                <w:bCs/>
                <w:color w:val="000000"/>
                <w:sz w:val="20"/>
                <w:szCs w:val="20"/>
                <w:lang w:val="en-US" w:eastAsia="el-GR"/>
              </w:rPr>
            </w:pPr>
            <w:r w:rsidRPr="0076532B">
              <w:rPr>
                <w:rFonts w:cs="Calibri"/>
                <w:b/>
                <w:bCs/>
                <w:color w:val="000000"/>
                <w:sz w:val="20"/>
                <w:szCs w:val="20"/>
              </w:rPr>
              <w:t>2.445.906</w:t>
            </w:r>
          </w:p>
        </w:tc>
      </w:tr>
      <w:tr w:rsidR="00942B15" w:rsidRPr="00632008" w14:paraId="58C5AD58" w14:textId="77777777" w:rsidTr="00942B15">
        <w:trPr>
          <w:trHeight w:hRule="exact" w:val="288"/>
        </w:trPr>
        <w:tc>
          <w:tcPr>
            <w:tcW w:w="5954" w:type="dxa"/>
            <w:tcBorders>
              <w:top w:val="nil"/>
              <w:left w:val="nil"/>
              <w:bottom w:val="nil"/>
              <w:right w:val="nil"/>
            </w:tcBorders>
            <w:vAlign w:val="bottom"/>
            <w:hideMark/>
          </w:tcPr>
          <w:p w14:paraId="58918FDE" w14:textId="77777777" w:rsidR="00942B15" w:rsidRPr="00632008" w:rsidRDefault="00942B15" w:rsidP="00B05723">
            <w:pPr>
              <w:widowControl/>
              <w:autoSpaceDE/>
              <w:autoSpaceDN/>
              <w:rPr>
                <w:rFonts w:eastAsia="Times New Roman" w:cs="Calibri"/>
                <w:b/>
                <w:bCs/>
                <w:color w:val="FFFFFF"/>
                <w:sz w:val="20"/>
                <w:szCs w:val="20"/>
                <w:lang w:eastAsia="el-GR"/>
              </w:rPr>
            </w:pPr>
            <w:r w:rsidRPr="00632008">
              <w:rPr>
                <w:rFonts w:eastAsia="Times New Roman" w:cs="Calibri"/>
                <w:b/>
                <w:bCs/>
                <w:color w:val="FFFFFF"/>
                <w:sz w:val="20"/>
                <w:szCs w:val="20"/>
                <w:lang w:eastAsia="el-GR"/>
              </w:rPr>
              <w:t>ΙΔΙΑ ΚΕΦΑΛΑΙΑ ΚΑΙ ΥΠΟΧΡΕΩΣΕΙΣ</w:t>
            </w:r>
          </w:p>
        </w:tc>
        <w:tc>
          <w:tcPr>
            <w:tcW w:w="1417" w:type="dxa"/>
            <w:tcBorders>
              <w:top w:val="nil"/>
              <w:left w:val="nil"/>
              <w:bottom w:val="nil"/>
              <w:right w:val="nil"/>
            </w:tcBorders>
            <w:noWrap/>
            <w:vAlign w:val="bottom"/>
            <w:hideMark/>
          </w:tcPr>
          <w:p w14:paraId="634929FD" w14:textId="77777777" w:rsidR="00942B15" w:rsidRPr="00942B15" w:rsidRDefault="00942B15" w:rsidP="00B05723">
            <w:pPr>
              <w:widowControl/>
              <w:autoSpaceDE/>
              <w:autoSpaceDN/>
              <w:rPr>
                <w:rFonts w:eastAsia="Times New Roman" w:cs="Calibri"/>
                <w:b/>
                <w:bCs/>
                <w:color w:val="FFFFFF"/>
                <w:sz w:val="20"/>
                <w:szCs w:val="20"/>
                <w:lang w:eastAsia="el-GR"/>
              </w:rPr>
            </w:pPr>
          </w:p>
        </w:tc>
        <w:tc>
          <w:tcPr>
            <w:tcW w:w="1430" w:type="dxa"/>
            <w:tcBorders>
              <w:top w:val="nil"/>
              <w:left w:val="nil"/>
              <w:bottom w:val="nil"/>
              <w:right w:val="nil"/>
            </w:tcBorders>
            <w:noWrap/>
            <w:vAlign w:val="bottom"/>
            <w:hideMark/>
          </w:tcPr>
          <w:p w14:paraId="08DCAFCC" w14:textId="77777777" w:rsidR="00942B15" w:rsidRPr="00942B15" w:rsidRDefault="00942B15" w:rsidP="00B05723">
            <w:pPr>
              <w:widowControl/>
              <w:autoSpaceDE/>
              <w:autoSpaceDN/>
              <w:rPr>
                <w:rFonts w:eastAsia="Times New Roman" w:cs="Times New Roman"/>
                <w:sz w:val="20"/>
                <w:szCs w:val="20"/>
                <w:lang w:eastAsia="el-GR"/>
              </w:rPr>
            </w:pPr>
          </w:p>
        </w:tc>
      </w:tr>
      <w:tr w:rsidR="00942B15" w:rsidRPr="00632008" w14:paraId="5BDEC3ED" w14:textId="77777777" w:rsidTr="00942B15">
        <w:trPr>
          <w:trHeight w:val="288"/>
        </w:trPr>
        <w:tc>
          <w:tcPr>
            <w:tcW w:w="5954" w:type="dxa"/>
            <w:tcBorders>
              <w:top w:val="nil"/>
              <w:left w:val="nil"/>
              <w:bottom w:val="nil"/>
              <w:right w:val="nil"/>
            </w:tcBorders>
            <w:shd w:val="clear" w:color="auto" w:fill="0277B6"/>
            <w:vAlign w:val="bottom"/>
            <w:hideMark/>
          </w:tcPr>
          <w:p w14:paraId="3297FA69" w14:textId="77777777" w:rsidR="00942B15" w:rsidRPr="00632008" w:rsidRDefault="00942B15" w:rsidP="00B05723">
            <w:pPr>
              <w:widowControl/>
              <w:autoSpaceDE/>
              <w:autoSpaceDN/>
              <w:rPr>
                <w:rFonts w:eastAsia="Times New Roman" w:cs="Calibri"/>
                <w:b/>
                <w:bCs/>
                <w:color w:val="FFFFFF"/>
                <w:sz w:val="20"/>
                <w:szCs w:val="20"/>
                <w:lang w:eastAsia="el-GR"/>
              </w:rPr>
            </w:pPr>
            <w:r w:rsidRPr="00632008">
              <w:rPr>
                <w:rFonts w:eastAsia="Times New Roman" w:cs="Calibri"/>
                <w:b/>
                <w:bCs/>
                <w:color w:val="FFFFFF"/>
                <w:sz w:val="20"/>
                <w:szCs w:val="20"/>
                <w:lang w:eastAsia="el-GR"/>
              </w:rPr>
              <w:t>ΙΔΙΑ ΚΕΦΑΛΑΙΑ ΚΑΙ ΥΠΟΧΡΕΩΣΕΙΣ</w:t>
            </w:r>
          </w:p>
        </w:tc>
        <w:tc>
          <w:tcPr>
            <w:tcW w:w="1417" w:type="dxa"/>
            <w:tcBorders>
              <w:top w:val="nil"/>
              <w:left w:val="nil"/>
              <w:bottom w:val="nil"/>
              <w:right w:val="nil"/>
            </w:tcBorders>
            <w:noWrap/>
            <w:vAlign w:val="bottom"/>
            <w:hideMark/>
          </w:tcPr>
          <w:p w14:paraId="0B6E6823" w14:textId="77777777" w:rsidR="00942B15" w:rsidRPr="00942B15" w:rsidRDefault="00942B15" w:rsidP="00B05723">
            <w:pPr>
              <w:widowControl/>
              <w:autoSpaceDE/>
              <w:autoSpaceDN/>
              <w:rPr>
                <w:rFonts w:eastAsia="Times New Roman" w:cs="Calibri"/>
                <w:b/>
                <w:bCs/>
                <w:color w:val="FFFFFF"/>
                <w:sz w:val="20"/>
                <w:szCs w:val="20"/>
                <w:lang w:eastAsia="el-GR"/>
              </w:rPr>
            </w:pPr>
          </w:p>
        </w:tc>
        <w:tc>
          <w:tcPr>
            <w:tcW w:w="1430" w:type="dxa"/>
            <w:tcBorders>
              <w:top w:val="nil"/>
              <w:left w:val="nil"/>
              <w:bottom w:val="nil"/>
              <w:right w:val="nil"/>
            </w:tcBorders>
            <w:noWrap/>
            <w:vAlign w:val="bottom"/>
            <w:hideMark/>
          </w:tcPr>
          <w:p w14:paraId="259DBFF6" w14:textId="77777777" w:rsidR="00942B15" w:rsidRPr="00942B15" w:rsidRDefault="00942B15" w:rsidP="00B05723">
            <w:pPr>
              <w:widowControl/>
              <w:autoSpaceDE/>
              <w:autoSpaceDN/>
              <w:rPr>
                <w:rFonts w:eastAsia="Times New Roman" w:cs="Times New Roman"/>
                <w:sz w:val="20"/>
                <w:szCs w:val="20"/>
                <w:lang w:eastAsia="el-GR"/>
              </w:rPr>
            </w:pPr>
          </w:p>
        </w:tc>
      </w:tr>
      <w:tr w:rsidR="0084418E" w:rsidRPr="00632008" w14:paraId="218C9582" w14:textId="77777777" w:rsidTr="002030CB">
        <w:trPr>
          <w:trHeight w:hRule="exact" w:val="288"/>
        </w:trPr>
        <w:tc>
          <w:tcPr>
            <w:tcW w:w="5954" w:type="dxa"/>
            <w:tcBorders>
              <w:top w:val="nil"/>
              <w:left w:val="nil"/>
              <w:bottom w:val="nil"/>
              <w:right w:val="nil"/>
            </w:tcBorders>
            <w:vAlign w:val="bottom"/>
            <w:hideMark/>
          </w:tcPr>
          <w:p w14:paraId="0C0F462C" w14:textId="77777777" w:rsidR="0084418E" w:rsidRPr="00632008" w:rsidRDefault="0084418E" w:rsidP="0084418E">
            <w:pPr>
              <w:widowControl/>
              <w:autoSpaceDE/>
              <w:autoSpaceDN/>
              <w:rPr>
                <w:rFonts w:eastAsia="Times New Roman" w:cs="Calibri"/>
                <w:color w:val="000000"/>
                <w:sz w:val="20"/>
                <w:szCs w:val="20"/>
                <w:lang w:eastAsia="el-GR"/>
              </w:rPr>
            </w:pPr>
            <w:r w:rsidRPr="00632008">
              <w:rPr>
                <w:rFonts w:eastAsia="Times New Roman" w:cs="Calibri"/>
                <w:color w:val="000000"/>
                <w:sz w:val="20"/>
                <w:szCs w:val="20"/>
                <w:lang w:eastAsia="el-GR"/>
              </w:rPr>
              <w:t>Μετοχικό κεφάλαιο</w:t>
            </w:r>
          </w:p>
        </w:tc>
        <w:tc>
          <w:tcPr>
            <w:tcW w:w="1417" w:type="dxa"/>
            <w:tcBorders>
              <w:top w:val="nil"/>
              <w:left w:val="nil"/>
              <w:bottom w:val="nil"/>
              <w:right w:val="nil"/>
            </w:tcBorders>
            <w:shd w:val="clear" w:color="000000" w:fill="C5D9F1"/>
            <w:noWrap/>
            <w:vAlign w:val="center"/>
            <w:hideMark/>
          </w:tcPr>
          <w:p w14:paraId="4103CF1D" w14:textId="29529548"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146</w:t>
            </w:r>
            <w:r w:rsidR="000F74CF">
              <w:rPr>
                <w:rFonts w:cs="Calibri"/>
                <w:color w:val="000000"/>
                <w:sz w:val="20"/>
                <w:szCs w:val="20"/>
              </w:rPr>
              <w:t>.</w:t>
            </w:r>
            <w:r w:rsidRPr="000F74CF">
              <w:rPr>
                <w:rFonts w:cs="Calibri"/>
                <w:color w:val="000000"/>
                <w:sz w:val="20"/>
                <w:szCs w:val="20"/>
              </w:rPr>
              <w:t>344</w:t>
            </w:r>
          </w:p>
        </w:tc>
        <w:tc>
          <w:tcPr>
            <w:tcW w:w="1430" w:type="dxa"/>
            <w:tcBorders>
              <w:top w:val="nil"/>
              <w:left w:val="nil"/>
              <w:bottom w:val="nil"/>
              <w:right w:val="nil"/>
            </w:tcBorders>
            <w:noWrap/>
            <w:vAlign w:val="center"/>
            <w:hideMark/>
          </w:tcPr>
          <w:p w14:paraId="4A2D702A" w14:textId="29150213"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146.344</w:t>
            </w:r>
          </w:p>
        </w:tc>
      </w:tr>
      <w:tr w:rsidR="0084418E" w:rsidRPr="00632008" w14:paraId="3AC36335" w14:textId="77777777" w:rsidTr="002030CB">
        <w:trPr>
          <w:trHeight w:val="288"/>
        </w:trPr>
        <w:tc>
          <w:tcPr>
            <w:tcW w:w="5954" w:type="dxa"/>
            <w:tcBorders>
              <w:top w:val="nil"/>
              <w:left w:val="nil"/>
              <w:bottom w:val="single" w:sz="4" w:space="0" w:color="auto"/>
              <w:right w:val="nil"/>
            </w:tcBorders>
            <w:vAlign w:val="bottom"/>
            <w:hideMark/>
          </w:tcPr>
          <w:p w14:paraId="295053AD" w14:textId="77777777" w:rsidR="0084418E" w:rsidRPr="00632008" w:rsidRDefault="0084418E" w:rsidP="0084418E">
            <w:pPr>
              <w:widowControl/>
              <w:autoSpaceDE/>
              <w:autoSpaceDN/>
              <w:rPr>
                <w:rFonts w:eastAsia="Times New Roman" w:cs="Calibri"/>
                <w:color w:val="000000"/>
                <w:sz w:val="20"/>
                <w:szCs w:val="20"/>
                <w:lang w:eastAsia="el-GR"/>
              </w:rPr>
            </w:pPr>
            <w:r w:rsidRPr="00632008">
              <w:rPr>
                <w:rFonts w:eastAsia="Times New Roman" w:cs="Calibri"/>
                <w:color w:val="000000"/>
                <w:sz w:val="20"/>
                <w:szCs w:val="20"/>
                <w:lang w:eastAsia="el-GR"/>
              </w:rPr>
              <w:t>Λοιπά στοιχεία ιδίων κεφαλαίων</w:t>
            </w:r>
          </w:p>
        </w:tc>
        <w:tc>
          <w:tcPr>
            <w:tcW w:w="1417" w:type="dxa"/>
            <w:tcBorders>
              <w:top w:val="nil"/>
              <w:left w:val="nil"/>
              <w:bottom w:val="nil"/>
              <w:right w:val="nil"/>
            </w:tcBorders>
            <w:shd w:val="clear" w:color="000000" w:fill="C5D9F1"/>
            <w:noWrap/>
            <w:vAlign w:val="center"/>
            <w:hideMark/>
          </w:tcPr>
          <w:p w14:paraId="09A6D736" w14:textId="068BE213" w:rsidR="0084418E" w:rsidRPr="000F74CF" w:rsidRDefault="0084418E" w:rsidP="0084418E">
            <w:pPr>
              <w:widowControl/>
              <w:autoSpaceDE/>
              <w:autoSpaceDN/>
              <w:jc w:val="right"/>
              <w:rPr>
                <w:rFonts w:eastAsia="Times New Roman" w:cs="Calibri"/>
                <w:color w:val="000000"/>
                <w:sz w:val="20"/>
                <w:szCs w:val="20"/>
                <w:lang w:val="en-US" w:eastAsia="el-GR"/>
              </w:rPr>
            </w:pPr>
            <w:r w:rsidRPr="000F74CF">
              <w:rPr>
                <w:rFonts w:cs="Calibri"/>
                <w:color w:val="000000"/>
                <w:sz w:val="20"/>
                <w:szCs w:val="20"/>
              </w:rPr>
              <w:t>910</w:t>
            </w:r>
            <w:r w:rsidR="000F74CF">
              <w:rPr>
                <w:rFonts w:cs="Calibri"/>
                <w:color w:val="000000"/>
                <w:sz w:val="20"/>
                <w:szCs w:val="20"/>
              </w:rPr>
              <w:t>.</w:t>
            </w:r>
            <w:r w:rsidRPr="000F74CF">
              <w:rPr>
                <w:rFonts w:cs="Calibri"/>
                <w:color w:val="000000"/>
                <w:sz w:val="20"/>
                <w:szCs w:val="20"/>
              </w:rPr>
              <w:t>957</w:t>
            </w:r>
          </w:p>
        </w:tc>
        <w:tc>
          <w:tcPr>
            <w:tcW w:w="1430" w:type="dxa"/>
            <w:tcBorders>
              <w:top w:val="nil"/>
              <w:left w:val="nil"/>
              <w:bottom w:val="nil"/>
              <w:right w:val="nil"/>
            </w:tcBorders>
            <w:noWrap/>
            <w:vAlign w:val="center"/>
            <w:hideMark/>
          </w:tcPr>
          <w:p w14:paraId="609AF168" w14:textId="033C497D"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878.632</w:t>
            </w:r>
          </w:p>
        </w:tc>
      </w:tr>
      <w:tr w:rsidR="0084418E" w:rsidRPr="00632008" w14:paraId="1A72488C" w14:textId="77777777" w:rsidTr="002030CB">
        <w:trPr>
          <w:trHeight w:val="292"/>
        </w:trPr>
        <w:tc>
          <w:tcPr>
            <w:tcW w:w="5954" w:type="dxa"/>
            <w:tcBorders>
              <w:top w:val="nil"/>
              <w:left w:val="nil"/>
              <w:bottom w:val="nil"/>
              <w:right w:val="nil"/>
            </w:tcBorders>
            <w:vAlign w:val="bottom"/>
            <w:hideMark/>
          </w:tcPr>
          <w:p w14:paraId="74C1C8AF" w14:textId="77777777" w:rsidR="0084418E" w:rsidRPr="00632008" w:rsidRDefault="0084418E" w:rsidP="0084418E">
            <w:pPr>
              <w:widowControl/>
              <w:autoSpaceDE/>
              <w:autoSpaceDN/>
              <w:rPr>
                <w:rFonts w:eastAsia="Times New Roman" w:cs="Calibri"/>
                <w:b/>
                <w:bCs/>
                <w:color w:val="000000"/>
                <w:sz w:val="20"/>
                <w:szCs w:val="20"/>
                <w:lang w:eastAsia="el-GR"/>
              </w:rPr>
            </w:pPr>
            <w:r w:rsidRPr="00632008">
              <w:rPr>
                <w:rFonts w:eastAsia="Times New Roman" w:cs="Calibri"/>
                <w:b/>
                <w:bCs/>
                <w:color w:val="000000"/>
                <w:sz w:val="20"/>
                <w:szCs w:val="20"/>
                <w:lang w:eastAsia="el-GR"/>
              </w:rPr>
              <w:t>Σύνολο ιδίων κεφαλαίων αποδιδόμενα σε μετόχους</w:t>
            </w:r>
          </w:p>
        </w:tc>
        <w:tc>
          <w:tcPr>
            <w:tcW w:w="1417" w:type="dxa"/>
            <w:tcBorders>
              <w:top w:val="single" w:sz="4" w:space="0" w:color="auto"/>
              <w:left w:val="nil"/>
              <w:bottom w:val="nil"/>
              <w:right w:val="nil"/>
            </w:tcBorders>
            <w:shd w:val="clear" w:color="000000" w:fill="C5D9F1"/>
            <w:noWrap/>
            <w:vAlign w:val="center"/>
            <w:hideMark/>
          </w:tcPr>
          <w:p w14:paraId="493CD902" w14:textId="7B7C4865" w:rsidR="0084418E" w:rsidRPr="000F74CF" w:rsidRDefault="0084418E" w:rsidP="0084418E">
            <w:pPr>
              <w:widowControl/>
              <w:autoSpaceDE/>
              <w:autoSpaceDN/>
              <w:jc w:val="right"/>
              <w:rPr>
                <w:rFonts w:eastAsia="Times New Roman" w:cs="Calibri"/>
                <w:b/>
                <w:bCs/>
                <w:color w:val="000000"/>
                <w:sz w:val="20"/>
                <w:szCs w:val="20"/>
                <w:lang w:val="en-US" w:eastAsia="el-GR"/>
              </w:rPr>
            </w:pPr>
            <w:r w:rsidRPr="000F74CF">
              <w:rPr>
                <w:rFonts w:cs="Calibri"/>
                <w:b/>
                <w:bCs/>
                <w:color w:val="000000"/>
                <w:sz w:val="20"/>
                <w:szCs w:val="20"/>
              </w:rPr>
              <w:t>1</w:t>
            </w:r>
            <w:r w:rsidR="000F74CF">
              <w:rPr>
                <w:rFonts w:cs="Calibri"/>
                <w:b/>
                <w:bCs/>
                <w:color w:val="000000"/>
                <w:sz w:val="20"/>
                <w:szCs w:val="20"/>
              </w:rPr>
              <w:t>.</w:t>
            </w:r>
            <w:r w:rsidRPr="000F74CF">
              <w:rPr>
                <w:rFonts w:cs="Calibri"/>
                <w:b/>
                <w:bCs/>
                <w:color w:val="000000"/>
                <w:sz w:val="20"/>
                <w:szCs w:val="20"/>
              </w:rPr>
              <w:t>057</w:t>
            </w:r>
            <w:r w:rsidR="000F74CF">
              <w:rPr>
                <w:rFonts w:cs="Calibri"/>
                <w:b/>
                <w:bCs/>
                <w:color w:val="000000"/>
                <w:sz w:val="20"/>
                <w:szCs w:val="20"/>
              </w:rPr>
              <w:t>.</w:t>
            </w:r>
            <w:r w:rsidRPr="000F74CF">
              <w:rPr>
                <w:rFonts w:cs="Calibri"/>
                <w:b/>
                <w:bCs/>
                <w:color w:val="000000"/>
                <w:sz w:val="20"/>
                <w:szCs w:val="20"/>
              </w:rPr>
              <w:t>301</w:t>
            </w:r>
          </w:p>
        </w:tc>
        <w:tc>
          <w:tcPr>
            <w:tcW w:w="1430" w:type="dxa"/>
            <w:tcBorders>
              <w:top w:val="single" w:sz="4" w:space="0" w:color="auto"/>
              <w:left w:val="nil"/>
              <w:bottom w:val="nil"/>
              <w:right w:val="nil"/>
            </w:tcBorders>
            <w:noWrap/>
            <w:vAlign w:val="center"/>
            <w:hideMark/>
          </w:tcPr>
          <w:p w14:paraId="3E5E103F" w14:textId="227E84C5" w:rsidR="0084418E" w:rsidRPr="000F74CF" w:rsidRDefault="0084418E" w:rsidP="0084418E">
            <w:pPr>
              <w:widowControl/>
              <w:autoSpaceDE/>
              <w:autoSpaceDN/>
              <w:jc w:val="right"/>
              <w:rPr>
                <w:rFonts w:eastAsia="Times New Roman" w:cs="Calibri"/>
                <w:b/>
                <w:bCs/>
                <w:color w:val="000000"/>
                <w:sz w:val="20"/>
                <w:szCs w:val="20"/>
                <w:lang w:eastAsia="el-GR"/>
              </w:rPr>
            </w:pPr>
            <w:r w:rsidRPr="000F74CF">
              <w:rPr>
                <w:rFonts w:cs="Calibri"/>
                <w:b/>
                <w:bCs/>
                <w:color w:val="000000"/>
                <w:sz w:val="20"/>
                <w:szCs w:val="20"/>
              </w:rPr>
              <w:t>1.024.976</w:t>
            </w:r>
          </w:p>
        </w:tc>
      </w:tr>
      <w:tr w:rsidR="0084418E" w:rsidRPr="00632008" w14:paraId="66ADFE26" w14:textId="77777777" w:rsidTr="002030CB">
        <w:trPr>
          <w:trHeight w:val="288"/>
        </w:trPr>
        <w:tc>
          <w:tcPr>
            <w:tcW w:w="5954" w:type="dxa"/>
            <w:tcBorders>
              <w:top w:val="nil"/>
              <w:left w:val="nil"/>
              <w:bottom w:val="single" w:sz="4" w:space="0" w:color="auto"/>
              <w:right w:val="nil"/>
            </w:tcBorders>
            <w:vAlign w:val="bottom"/>
            <w:hideMark/>
          </w:tcPr>
          <w:p w14:paraId="2D55E566" w14:textId="77777777" w:rsidR="0084418E" w:rsidRPr="00632008" w:rsidRDefault="0084418E" w:rsidP="0084418E">
            <w:pPr>
              <w:widowControl/>
              <w:autoSpaceDE/>
              <w:autoSpaceDN/>
              <w:rPr>
                <w:rFonts w:eastAsia="Times New Roman" w:cs="Calibri"/>
                <w:color w:val="000000"/>
                <w:sz w:val="20"/>
                <w:szCs w:val="20"/>
                <w:lang w:eastAsia="el-GR"/>
              </w:rPr>
            </w:pPr>
            <w:r w:rsidRPr="00632008">
              <w:rPr>
                <w:rFonts w:eastAsia="Times New Roman" w:cs="Calibri"/>
                <w:color w:val="000000"/>
                <w:sz w:val="20"/>
                <w:szCs w:val="20"/>
                <w:lang w:eastAsia="el-GR"/>
              </w:rPr>
              <w:t>Δικαιώματα μειοψηφίας</w:t>
            </w:r>
          </w:p>
        </w:tc>
        <w:tc>
          <w:tcPr>
            <w:tcW w:w="1417" w:type="dxa"/>
            <w:tcBorders>
              <w:top w:val="nil"/>
              <w:left w:val="nil"/>
              <w:bottom w:val="nil"/>
              <w:right w:val="nil"/>
            </w:tcBorders>
            <w:shd w:val="clear" w:color="000000" w:fill="C5D9F1"/>
            <w:noWrap/>
            <w:vAlign w:val="center"/>
            <w:hideMark/>
          </w:tcPr>
          <w:p w14:paraId="534E38EB" w14:textId="0EC2C9DB"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27</w:t>
            </w:r>
            <w:r w:rsidR="000F74CF">
              <w:rPr>
                <w:rFonts w:cs="Calibri"/>
                <w:color w:val="000000"/>
                <w:sz w:val="20"/>
                <w:szCs w:val="20"/>
              </w:rPr>
              <w:t>.</w:t>
            </w:r>
            <w:r w:rsidRPr="000F74CF">
              <w:rPr>
                <w:rFonts w:cs="Calibri"/>
                <w:color w:val="000000"/>
                <w:sz w:val="20"/>
                <w:szCs w:val="20"/>
              </w:rPr>
              <w:t>977</w:t>
            </w:r>
          </w:p>
        </w:tc>
        <w:tc>
          <w:tcPr>
            <w:tcW w:w="1430" w:type="dxa"/>
            <w:tcBorders>
              <w:top w:val="nil"/>
              <w:left w:val="nil"/>
              <w:bottom w:val="nil"/>
              <w:right w:val="nil"/>
            </w:tcBorders>
            <w:noWrap/>
            <w:vAlign w:val="center"/>
            <w:hideMark/>
          </w:tcPr>
          <w:p w14:paraId="7AEA786B" w14:textId="3BF7535E"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27.042</w:t>
            </w:r>
          </w:p>
        </w:tc>
      </w:tr>
      <w:tr w:rsidR="0084418E" w:rsidRPr="00632008" w14:paraId="5476DB35" w14:textId="77777777" w:rsidTr="002030CB">
        <w:trPr>
          <w:trHeight w:val="288"/>
        </w:trPr>
        <w:tc>
          <w:tcPr>
            <w:tcW w:w="5954" w:type="dxa"/>
            <w:tcBorders>
              <w:top w:val="nil"/>
              <w:left w:val="nil"/>
              <w:bottom w:val="nil"/>
              <w:right w:val="nil"/>
            </w:tcBorders>
            <w:vAlign w:val="bottom"/>
            <w:hideMark/>
          </w:tcPr>
          <w:p w14:paraId="3BFBF2B0" w14:textId="77777777" w:rsidR="0084418E" w:rsidRPr="00632008" w:rsidRDefault="0084418E" w:rsidP="0084418E">
            <w:pPr>
              <w:widowControl/>
              <w:autoSpaceDE/>
              <w:autoSpaceDN/>
              <w:rPr>
                <w:rFonts w:eastAsia="Times New Roman" w:cs="Calibri"/>
                <w:b/>
                <w:bCs/>
                <w:color w:val="000000"/>
                <w:sz w:val="20"/>
                <w:szCs w:val="20"/>
                <w:lang w:eastAsia="el-GR"/>
              </w:rPr>
            </w:pPr>
            <w:r w:rsidRPr="00632008">
              <w:rPr>
                <w:rFonts w:eastAsia="Times New Roman" w:cs="Calibri"/>
                <w:b/>
                <w:bCs/>
                <w:color w:val="000000"/>
                <w:sz w:val="20"/>
                <w:szCs w:val="20"/>
                <w:lang w:eastAsia="el-GR"/>
              </w:rPr>
              <w:t>Σύνολο ιδίων κεφαλαίων</w:t>
            </w:r>
          </w:p>
        </w:tc>
        <w:tc>
          <w:tcPr>
            <w:tcW w:w="1417" w:type="dxa"/>
            <w:tcBorders>
              <w:top w:val="single" w:sz="4" w:space="0" w:color="auto"/>
              <w:left w:val="nil"/>
              <w:bottom w:val="nil"/>
              <w:right w:val="nil"/>
            </w:tcBorders>
            <w:shd w:val="clear" w:color="000000" w:fill="C5D9F1"/>
            <w:noWrap/>
            <w:vAlign w:val="center"/>
            <w:hideMark/>
          </w:tcPr>
          <w:p w14:paraId="4B9A1F95" w14:textId="35C45FEF" w:rsidR="0084418E" w:rsidRPr="000F74CF" w:rsidRDefault="0084418E" w:rsidP="0084418E">
            <w:pPr>
              <w:widowControl/>
              <w:autoSpaceDE/>
              <w:autoSpaceDN/>
              <w:jc w:val="right"/>
              <w:rPr>
                <w:rFonts w:eastAsia="Times New Roman" w:cs="Calibri"/>
                <w:b/>
                <w:bCs/>
                <w:color w:val="000000"/>
                <w:sz w:val="20"/>
                <w:szCs w:val="20"/>
                <w:lang w:val="en-US" w:eastAsia="el-GR"/>
              </w:rPr>
            </w:pPr>
            <w:r w:rsidRPr="000F74CF">
              <w:rPr>
                <w:rFonts w:cs="Calibri"/>
                <w:b/>
                <w:bCs/>
                <w:color w:val="000000"/>
                <w:sz w:val="20"/>
                <w:szCs w:val="20"/>
              </w:rPr>
              <w:t>1</w:t>
            </w:r>
            <w:r w:rsidR="000F74CF">
              <w:rPr>
                <w:rFonts w:cs="Calibri"/>
                <w:b/>
                <w:bCs/>
                <w:color w:val="000000"/>
                <w:sz w:val="20"/>
                <w:szCs w:val="20"/>
              </w:rPr>
              <w:t>.</w:t>
            </w:r>
            <w:r w:rsidRPr="000F74CF">
              <w:rPr>
                <w:rFonts w:cs="Calibri"/>
                <w:b/>
                <w:bCs/>
                <w:color w:val="000000"/>
                <w:sz w:val="20"/>
                <w:szCs w:val="20"/>
              </w:rPr>
              <w:t>085</w:t>
            </w:r>
            <w:r w:rsidR="000F74CF">
              <w:rPr>
                <w:rFonts w:cs="Calibri"/>
                <w:b/>
                <w:bCs/>
                <w:color w:val="000000"/>
                <w:sz w:val="20"/>
                <w:szCs w:val="20"/>
              </w:rPr>
              <w:t>.</w:t>
            </w:r>
            <w:r w:rsidRPr="000F74CF">
              <w:rPr>
                <w:rFonts w:cs="Calibri"/>
                <w:b/>
                <w:bCs/>
                <w:color w:val="000000"/>
                <w:sz w:val="20"/>
                <w:szCs w:val="20"/>
              </w:rPr>
              <w:t>278</w:t>
            </w:r>
          </w:p>
        </w:tc>
        <w:tc>
          <w:tcPr>
            <w:tcW w:w="1430" w:type="dxa"/>
            <w:tcBorders>
              <w:top w:val="single" w:sz="4" w:space="0" w:color="auto"/>
              <w:left w:val="nil"/>
              <w:bottom w:val="nil"/>
              <w:right w:val="nil"/>
            </w:tcBorders>
            <w:noWrap/>
            <w:vAlign w:val="center"/>
            <w:hideMark/>
          </w:tcPr>
          <w:p w14:paraId="72BA6234" w14:textId="0E5434EE" w:rsidR="0084418E" w:rsidRPr="000F74CF" w:rsidRDefault="0084418E" w:rsidP="0084418E">
            <w:pPr>
              <w:widowControl/>
              <w:autoSpaceDE/>
              <w:autoSpaceDN/>
              <w:jc w:val="right"/>
              <w:rPr>
                <w:rFonts w:eastAsia="Times New Roman" w:cs="Calibri"/>
                <w:b/>
                <w:bCs/>
                <w:color w:val="000000"/>
                <w:sz w:val="20"/>
                <w:szCs w:val="20"/>
                <w:lang w:eastAsia="el-GR"/>
              </w:rPr>
            </w:pPr>
            <w:r w:rsidRPr="000F74CF">
              <w:rPr>
                <w:rFonts w:cs="Calibri"/>
                <w:b/>
                <w:bCs/>
                <w:color w:val="000000"/>
                <w:sz w:val="20"/>
                <w:szCs w:val="20"/>
              </w:rPr>
              <w:t>1.052.018</w:t>
            </w:r>
          </w:p>
        </w:tc>
      </w:tr>
      <w:tr w:rsidR="0084418E" w:rsidRPr="00632008" w14:paraId="0C11E21F" w14:textId="77777777" w:rsidTr="002030CB">
        <w:trPr>
          <w:trHeight w:val="288"/>
        </w:trPr>
        <w:tc>
          <w:tcPr>
            <w:tcW w:w="5954" w:type="dxa"/>
            <w:tcBorders>
              <w:top w:val="nil"/>
              <w:left w:val="nil"/>
              <w:bottom w:val="nil"/>
              <w:right w:val="nil"/>
            </w:tcBorders>
            <w:vAlign w:val="bottom"/>
            <w:hideMark/>
          </w:tcPr>
          <w:p w14:paraId="6EC45871" w14:textId="77777777" w:rsidR="0084418E" w:rsidRPr="00632008" w:rsidRDefault="0084418E" w:rsidP="0084418E">
            <w:pPr>
              <w:widowControl/>
              <w:autoSpaceDE/>
              <w:autoSpaceDN/>
              <w:rPr>
                <w:rFonts w:eastAsia="Times New Roman" w:cs="Calibri"/>
                <w:color w:val="000000"/>
                <w:sz w:val="20"/>
                <w:szCs w:val="20"/>
                <w:lang w:eastAsia="el-GR"/>
              </w:rPr>
            </w:pPr>
            <w:r w:rsidRPr="00632008">
              <w:rPr>
                <w:rFonts w:eastAsia="Times New Roman" w:cs="Calibri"/>
                <w:color w:val="000000"/>
                <w:sz w:val="20"/>
                <w:szCs w:val="20"/>
                <w:lang w:eastAsia="el-GR"/>
              </w:rPr>
              <w:t>Μακροπρόθεσμες δανειακές υποχρεώσεις</w:t>
            </w:r>
          </w:p>
        </w:tc>
        <w:tc>
          <w:tcPr>
            <w:tcW w:w="1417" w:type="dxa"/>
            <w:tcBorders>
              <w:top w:val="nil"/>
              <w:left w:val="nil"/>
              <w:bottom w:val="nil"/>
              <w:right w:val="nil"/>
            </w:tcBorders>
            <w:shd w:val="clear" w:color="000000" w:fill="C5D9F1"/>
            <w:noWrap/>
            <w:vAlign w:val="center"/>
            <w:hideMark/>
          </w:tcPr>
          <w:p w14:paraId="7D81DF3B" w14:textId="462E1244"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543</w:t>
            </w:r>
            <w:r w:rsidR="000F74CF">
              <w:rPr>
                <w:rFonts w:cs="Calibri"/>
                <w:color w:val="000000"/>
                <w:sz w:val="20"/>
                <w:szCs w:val="20"/>
              </w:rPr>
              <w:t>.</w:t>
            </w:r>
            <w:r w:rsidRPr="000F74CF">
              <w:rPr>
                <w:rFonts w:cs="Calibri"/>
                <w:color w:val="000000"/>
                <w:sz w:val="20"/>
                <w:szCs w:val="20"/>
              </w:rPr>
              <w:t>811</w:t>
            </w:r>
          </w:p>
        </w:tc>
        <w:tc>
          <w:tcPr>
            <w:tcW w:w="1430" w:type="dxa"/>
            <w:tcBorders>
              <w:top w:val="nil"/>
              <w:left w:val="nil"/>
              <w:bottom w:val="nil"/>
              <w:right w:val="nil"/>
            </w:tcBorders>
            <w:noWrap/>
            <w:vAlign w:val="center"/>
            <w:hideMark/>
          </w:tcPr>
          <w:p w14:paraId="7A5DE81F" w14:textId="60C39DD7"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586.738</w:t>
            </w:r>
          </w:p>
        </w:tc>
      </w:tr>
      <w:tr w:rsidR="0084418E" w:rsidRPr="00632008" w14:paraId="57BCDA5D" w14:textId="77777777" w:rsidTr="002030CB">
        <w:trPr>
          <w:trHeight w:val="210"/>
        </w:trPr>
        <w:tc>
          <w:tcPr>
            <w:tcW w:w="5954" w:type="dxa"/>
            <w:tcBorders>
              <w:top w:val="nil"/>
              <w:left w:val="nil"/>
              <w:bottom w:val="nil"/>
              <w:right w:val="nil"/>
            </w:tcBorders>
            <w:vAlign w:val="bottom"/>
            <w:hideMark/>
          </w:tcPr>
          <w:p w14:paraId="251C871F" w14:textId="77777777" w:rsidR="0084418E" w:rsidRPr="00632008" w:rsidRDefault="0084418E" w:rsidP="0084418E">
            <w:pPr>
              <w:widowControl/>
              <w:autoSpaceDE/>
              <w:autoSpaceDN/>
              <w:rPr>
                <w:rFonts w:eastAsia="Times New Roman" w:cs="Calibri"/>
                <w:color w:val="000000"/>
                <w:sz w:val="20"/>
                <w:szCs w:val="20"/>
                <w:lang w:eastAsia="el-GR"/>
              </w:rPr>
            </w:pPr>
            <w:r w:rsidRPr="00632008">
              <w:rPr>
                <w:rFonts w:eastAsia="Times New Roman" w:cs="Calibri"/>
                <w:color w:val="000000"/>
                <w:sz w:val="20"/>
                <w:szCs w:val="20"/>
                <w:lang w:eastAsia="el-GR"/>
              </w:rPr>
              <w:t>Προβλέψεις/ Λοιπές μακροπρόθεσμες υποχρεώσεις</w:t>
            </w:r>
          </w:p>
        </w:tc>
        <w:tc>
          <w:tcPr>
            <w:tcW w:w="1417" w:type="dxa"/>
            <w:tcBorders>
              <w:top w:val="nil"/>
              <w:left w:val="nil"/>
              <w:bottom w:val="nil"/>
              <w:right w:val="nil"/>
            </w:tcBorders>
            <w:shd w:val="clear" w:color="000000" w:fill="C5D9F1"/>
            <w:noWrap/>
            <w:vAlign w:val="center"/>
            <w:hideMark/>
          </w:tcPr>
          <w:p w14:paraId="52786B28" w14:textId="6C386A39" w:rsidR="0084418E" w:rsidRPr="000F74CF" w:rsidRDefault="0084418E" w:rsidP="0084418E">
            <w:pPr>
              <w:widowControl/>
              <w:autoSpaceDE/>
              <w:autoSpaceDN/>
              <w:jc w:val="right"/>
              <w:rPr>
                <w:rFonts w:eastAsia="Times New Roman" w:cs="Calibri"/>
                <w:color w:val="000000"/>
                <w:sz w:val="20"/>
                <w:szCs w:val="20"/>
                <w:lang w:val="en-US" w:eastAsia="el-GR"/>
              </w:rPr>
            </w:pPr>
            <w:r w:rsidRPr="000F74CF">
              <w:rPr>
                <w:rFonts w:cs="Calibri"/>
                <w:color w:val="000000"/>
                <w:sz w:val="20"/>
                <w:szCs w:val="20"/>
              </w:rPr>
              <w:t>97</w:t>
            </w:r>
            <w:r w:rsidR="000F74CF">
              <w:rPr>
                <w:rFonts w:cs="Calibri"/>
                <w:color w:val="000000"/>
                <w:sz w:val="20"/>
                <w:szCs w:val="20"/>
              </w:rPr>
              <w:t>.</w:t>
            </w:r>
            <w:r w:rsidRPr="000F74CF">
              <w:rPr>
                <w:rFonts w:cs="Calibri"/>
                <w:color w:val="000000"/>
                <w:sz w:val="20"/>
                <w:szCs w:val="20"/>
              </w:rPr>
              <w:t>641</w:t>
            </w:r>
          </w:p>
        </w:tc>
        <w:tc>
          <w:tcPr>
            <w:tcW w:w="1430" w:type="dxa"/>
            <w:tcBorders>
              <w:top w:val="nil"/>
              <w:left w:val="nil"/>
              <w:bottom w:val="nil"/>
              <w:right w:val="nil"/>
            </w:tcBorders>
            <w:noWrap/>
            <w:vAlign w:val="center"/>
            <w:hideMark/>
          </w:tcPr>
          <w:p w14:paraId="70B3AE87" w14:textId="347871DC"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98.041</w:t>
            </w:r>
          </w:p>
        </w:tc>
      </w:tr>
      <w:tr w:rsidR="0084418E" w:rsidRPr="00632008" w14:paraId="5EFD4C91" w14:textId="77777777" w:rsidTr="002030CB">
        <w:trPr>
          <w:trHeight w:val="288"/>
        </w:trPr>
        <w:tc>
          <w:tcPr>
            <w:tcW w:w="5954" w:type="dxa"/>
            <w:tcBorders>
              <w:top w:val="nil"/>
              <w:left w:val="nil"/>
              <w:bottom w:val="nil"/>
              <w:right w:val="nil"/>
            </w:tcBorders>
            <w:vAlign w:val="bottom"/>
            <w:hideMark/>
          </w:tcPr>
          <w:p w14:paraId="03121089" w14:textId="77777777" w:rsidR="0084418E" w:rsidRPr="00632008" w:rsidRDefault="0084418E" w:rsidP="0084418E">
            <w:pPr>
              <w:widowControl/>
              <w:autoSpaceDE/>
              <w:autoSpaceDN/>
              <w:rPr>
                <w:rFonts w:eastAsia="Times New Roman" w:cs="Calibri"/>
                <w:color w:val="000000"/>
                <w:sz w:val="20"/>
                <w:szCs w:val="20"/>
                <w:lang w:eastAsia="el-GR"/>
              </w:rPr>
            </w:pPr>
            <w:r w:rsidRPr="00632008">
              <w:rPr>
                <w:rFonts w:eastAsia="Times New Roman" w:cs="Calibri"/>
                <w:color w:val="000000"/>
                <w:sz w:val="20"/>
                <w:szCs w:val="20"/>
                <w:lang w:eastAsia="el-GR"/>
              </w:rPr>
              <w:t>Βραχυπρόθεσμες δανειακές υποχρεώσεις</w:t>
            </w:r>
          </w:p>
        </w:tc>
        <w:tc>
          <w:tcPr>
            <w:tcW w:w="1417" w:type="dxa"/>
            <w:tcBorders>
              <w:top w:val="nil"/>
              <w:left w:val="nil"/>
              <w:bottom w:val="nil"/>
              <w:right w:val="nil"/>
            </w:tcBorders>
            <w:shd w:val="clear" w:color="000000" w:fill="C5D9F1"/>
            <w:noWrap/>
            <w:vAlign w:val="center"/>
            <w:hideMark/>
          </w:tcPr>
          <w:p w14:paraId="6710F6B6" w14:textId="55ECFC58"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128</w:t>
            </w:r>
            <w:r w:rsidR="000F74CF">
              <w:rPr>
                <w:rFonts w:cs="Calibri"/>
                <w:color w:val="000000"/>
                <w:sz w:val="20"/>
                <w:szCs w:val="20"/>
              </w:rPr>
              <w:t>.</w:t>
            </w:r>
            <w:r w:rsidRPr="000F74CF">
              <w:rPr>
                <w:rFonts w:cs="Calibri"/>
                <w:color w:val="000000"/>
                <w:sz w:val="20"/>
                <w:szCs w:val="20"/>
              </w:rPr>
              <w:t>208</w:t>
            </w:r>
          </w:p>
        </w:tc>
        <w:tc>
          <w:tcPr>
            <w:tcW w:w="1430" w:type="dxa"/>
            <w:tcBorders>
              <w:top w:val="nil"/>
              <w:left w:val="nil"/>
              <w:bottom w:val="nil"/>
              <w:right w:val="nil"/>
            </w:tcBorders>
            <w:noWrap/>
            <w:vAlign w:val="center"/>
            <w:hideMark/>
          </w:tcPr>
          <w:p w14:paraId="10D5A500" w14:textId="347C7464"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136.384</w:t>
            </w:r>
          </w:p>
        </w:tc>
      </w:tr>
      <w:tr w:rsidR="0084418E" w:rsidRPr="00632008" w14:paraId="383C513A" w14:textId="77777777" w:rsidTr="002030CB">
        <w:trPr>
          <w:trHeight w:val="288"/>
        </w:trPr>
        <w:tc>
          <w:tcPr>
            <w:tcW w:w="5954" w:type="dxa"/>
            <w:tcBorders>
              <w:top w:val="nil"/>
              <w:left w:val="nil"/>
              <w:bottom w:val="nil"/>
              <w:right w:val="nil"/>
            </w:tcBorders>
            <w:vAlign w:val="bottom"/>
            <w:hideMark/>
          </w:tcPr>
          <w:p w14:paraId="366F4F89" w14:textId="77777777" w:rsidR="0084418E" w:rsidRPr="00632008" w:rsidRDefault="0084418E" w:rsidP="0084418E">
            <w:pPr>
              <w:widowControl/>
              <w:autoSpaceDE/>
              <w:autoSpaceDN/>
              <w:rPr>
                <w:rFonts w:eastAsia="Times New Roman" w:cs="Calibri"/>
                <w:color w:val="000000"/>
                <w:sz w:val="20"/>
                <w:szCs w:val="20"/>
                <w:lang w:eastAsia="el-GR"/>
              </w:rPr>
            </w:pPr>
            <w:r w:rsidRPr="00632008">
              <w:rPr>
                <w:rFonts w:eastAsia="Times New Roman" w:cs="Calibri"/>
                <w:color w:val="000000"/>
                <w:sz w:val="20"/>
                <w:szCs w:val="20"/>
                <w:lang w:eastAsia="el-GR"/>
              </w:rPr>
              <w:t>Λοιπές βραχυπρόθεσμες υποχρεώσεις</w:t>
            </w:r>
          </w:p>
        </w:tc>
        <w:tc>
          <w:tcPr>
            <w:tcW w:w="1417" w:type="dxa"/>
            <w:tcBorders>
              <w:top w:val="nil"/>
              <w:left w:val="nil"/>
              <w:bottom w:val="nil"/>
              <w:right w:val="nil"/>
            </w:tcBorders>
            <w:shd w:val="clear" w:color="000000" w:fill="C5D9F1"/>
            <w:noWrap/>
            <w:vAlign w:val="center"/>
            <w:hideMark/>
          </w:tcPr>
          <w:p w14:paraId="674B1415" w14:textId="686B5026" w:rsidR="0084418E" w:rsidRPr="000F74CF" w:rsidRDefault="0084418E" w:rsidP="0084418E">
            <w:pPr>
              <w:widowControl/>
              <w:autoSpaceDE/>
              <w:autoSpaceDN/>
              <w:jc w:val="right"/>
              <w:rPr>
                <w:rFonts w:eastAsia="Times New Roman" w:cs="Calibri"/>
                <w:color w:val="000000"/>
                <w:sz w:val="20"/>
                <w:szCs w:val="20"/>
                <w:lang w:eastAsia="el-GR"/>
              </w:rPr>
            </w:pPr>
            <w:r w:rsidRPr="000F74CF">
              <w:rPr>
                <w:rFonts w:cs="Calibri"/>
                <w:color w:val="000000"/>
                <w:sz w:val="20"/>
                <w:szCs w:val="20"/>
              </w:rPr>
              <w:t>648</w:t>
            </w:r>
            <w:r w:rsidR="000F74CF">
              <w:rPr>
                <w:rFonts w:cs="Calibri"/>
                <w:color w:val="000000"/>
                <w:sz w:val="20"/>
                <w:szCs w:val="20"/>
              </w:rPr>
              <w:t>.</w:t>
            </w:r>
            <w:r w:rsidRPr="000F74CF">
              <w:rPr>
                <w:rFonts w:cs="Calibri"/>
                <w:color w:val="000000"/>
                <w:sz w:val="20"/>
                <w:szCs w:val="20"/>
              </w:rPr>
              <w:t>68</w:t>
            </w:r>
            <w:r w:rsidR="003A7BCC">
              <w:rPr>
                <w:rFonts w:cs="Calibri"/>
                <w:color w:val="000000"/>
                <w:sz w:val="20"/>
                <w:szCs w:val="20"/>
              </w:rPr>
              <w:t>3</w:t>
            </w:r>
          </w:p>
        </w:tc>
        <w:tc>
          <w:tcPr>
            <w:tcW w:w="1430" w:type="dxa"/>
            <w:tcBorders>
              <w:top w:val="nil"/>
              <w:left w:val="nil"/>
              <w:bottom w:val="nil"/>
              <w:right w:val="nil"/>
            </w:tcBorders>
            <w:noWrap/>
            <w:vAlign w:val="center"/>
            <w:hideMark/>
          </w:tcPr>
          <w:p w14:paraId="464E5740" w14:textId="3A858754" w:rsidR="0084418E" w:rsidRPr="000F74CF" w:rsidRDefault="0084418E" w:rsidP="0084418E">
            <w:pPr>
              <w:widowControl/>
              <w:autoSpaceDE/>
              <w:autoSpaceDN/>
              <w:jc w:val="right"/>
              <w:rPr>
                <w:rFonts w:eastAsia="Times New Roman" w:cs="Calibri"/>
                <w:color w:val="000000"/>
                <w:sz w:val="20"/>
                <w:szCs w:val="20"/>
                <w:lang w:val="en-US" w:eastAsia="el-GR"/>
              </w:rPr>
            </w:pPr>
            <w:r w:rsidRPr="000F74CF">
              <w:rPr>
                <w:rFonts w:cs="Calibri"/>
                <w:color w:val="000000"/>
                <w:sz w:val="20"/>
                <w:szCs w:val="20"/>
              </w:rPr>
              <w:t>572.725</w:t>
            </w:r>
          </w:p>
        </w:tc>
      </w:tr>
      <w:tr w:rsidR="0084418E" w:rsidRPr="00632008" w14:paraId="2EA00567" w14:textId="77777777" w:rsidTr="002030CB">
        <w:trPr>
          <w:trHeight w:val="288"/>
        </w:trPr>
        <w:tc>
          <w:tcPr>
            <w:tcW w:w="5954" w:type="dxa"/>
            <w:tcBorders>
              <w:top w:val="single" w:sz="4" w:space="0" w:color="auto"/>
              <w:left w:val="nil"/>
              <w:bottom w:val="single" w:sz="4" w:space="0" w:color="auto"/>
              <w:right w:val="nil"/>
            </w:tcBorders>
            <w:vAlign w:val="bottom"/>
            <w:hideMark/>
          </w:tcPr>
          <w:p w14:paraId="4E01BDB9" w14:textId="77777777" w:rsidR="0084418E" w:rsidRPr="00632008" w:rsidRDefault="0084418E" w:rsidP="0084418E">
            <w:pPr>
              <w:widowControl/>
              <w:autoSpaceDE/>
              <w:autoSpaceDN/>
              <w:rPr>
                <w:rFonts w:eastAsia="Times New Roman" w:cs="Calibri"/>
                <w:b/>
                <w:bCs/>
                <w:color w:val="000000"/>
                <w:sz w:val="20"/>
                <w:szCs w:val="20"/>
                <w:lang w:eastAsia="el-GR"/>
              </w:rPr>
            </w:pPr>
            <w:r w:rsidRPr="00632008">
              <w:rPr>
                <w:rFonts w:eastAsia="Times New Roman" w:cs="Calibri"/>
                <w:b/>
                <w:bCs/>
                <w:color w:val="000000"/>
                <w:sz w:val="20"/>
                <w:szCs w:val="20"/>
                <w:lang w:eastAsia="el-GR"/>
              </w:rPr>
              <w:t>Σύνολο υποχρεώσεων</w:t>
            </w:r>
          </w:p>
        </w:tc>
        <w:tc>
          <w:tcPr>
            <w:tcW w:w="1417" w:type="dxa"/>
            <w:tcBorders>
              <w:top w:val="single" w:sz="4" w:space="0" w:color="auto"/>
              <w:left w:val="nil"/>
              <w:bottom w:val="single" w:sz="4" w:space="0" w:color="auto"/>
              <w:right w:val="nil"/>
            </w:tcBorders>
            <w:shd w:val="clear" w:color="000000" w:fill="C5D9F1"/>
            <w:noWrap/>
            <w:vAlign w:val="center"/>
            <w:hideMark/>
          </w:tcPr>
          <w:p w14:paraId="33D83B26" w14:textId="7C586B40" w:rsidR="0084418E" w:rsidRPr="000F74CF" w:rsidRDefault="0084418E" w:rsidP="0084418E">
            <w:pPr>
              <w:widowControl/>
              <w:autoSpaceDE/>
              <w:autoSpaceDN/>
              <w:jc w:val="right"/>
              <w:rPr>
                <w:rFonts w:eastAsia="Times New Roman" w:cs="Calibri"/>
                <w:b/>
                <w:bCs/>
                <w:color w:val="000000"/>
                <w:sz w:val="20"/>
                <w:szCs w:val="20"/>
                <w:lang w:eastAsia="el-GR"/>
              </w:rPr>
            </w:pPr>
            <w:r w:rsidRPr="000F74CF">
              <w:rPr>
                <w:rFonts w:cs="Calibri"/>
                <w:b/>
                <w:bCs/>
                <w:color w:val="000000"/>
                <w:sz w:val="20"/>
                <w:szCs w:val="20"/>
              </w:rPr>
              <w:t>1</w:t>
            </w:r>
            <w:r w:rsidR="000F74CF">
              <w:rPr>
                <w:rFonts w:cs="Calibri"/>
                <w:b/>
                <w:bCs/>
                <w:color w:val="000000"/>
                <w:sz w:val="20"/>
                <w:szCs w:val="20"/>
              </w:rPr>
              <w:t>.</w:t>
            </w:r>
            <w:r w:rsidRPr="000F74CF">
              <w:rPr>
                <w:rFonts w:cs="Calibri"/>
                <w:b/>
                <w:bCs/>
                <w:color w:val="000000"/>
                <w:sz w:val="20"/>
                <w:szCs w:val="20"/>
              </w:rPr>
              <w:t>418</w:t>
            </w:r>
            <w:r w:rsidR="000F74CF">
              <w:rPr>
                <w:rFonts w:cs="Calibri"/>
                <w:b/>
                <w:bCs/>
                <w:color w:val="000000"/>
                <w:sz w:val="20"/>
                <w:szCs w:val="20"/>
              </w:rPr>
              <w:t>.</w:t>
            </w:r>
            <w:r w:rsidRPr="000F74CF">
              <w:rPr>
                <w:rFonts w:cs="Calibri"/>
                <w:b/>
                <w:bCs/>
                <w:color w:val="000000"/>
                <w:sz w:val="20"/>
                <w:szCs w:val="20"/>
              </w:rPr>
              <w:t>343</w:t>
            </w:r>
          </w:p>
        </w:tc>
        <w:tc>
          <w:tcPr>
            <w:tcW w:w="1430" w:type="dxa"/>
            <w:tcBorders>
              <w:top w:val="single" w:sz="4" w:space="0" w:color="auto"/>
              <w:left w:val="nil"/>
              <w:bottom w:val="single" w:sz="4" w:space="0" w:color="auto"/>
              <w:right w:val="nil"/>
            </w:tcBorders>
            <w:noWrap/>
            <w:vAlign w:val="center"/>
            <w:hideMark/>
          </w:tcPr>
          <w:p w14:paraId="0961EB96" w14:textId="712E5CC8" w:rsidR="0084418E" w:rsidRPr="000F74CF" w:rsidRDefault="0084418E" w:rsidP="0084418E">
            <w:pPr>
              <w:widowControl/>
              <w:autoSpaceDE/>
              <w:autoSpaceDN/>
              <w:jc w:val="right"/>
              <w:rPr>
                <w:rFonts w:eastAsia="Times New Roman" w:cs="Calibri"/>
                <w:b/>
                <w:bCs/>
                <w:color w:val="000000"/>
                <w:sz w:val="20"/>
                <w:szCs w:val="20"/>
                <w:lang w:eastAsia="el-GR"/>
              </w:rPr>
            </w:pPr>
            <w:r w:rsidRPr="000F74CF">
              <w:rPr>
                <w:rFonts w:cs="Calibri"/>
                <w:b/>
                <w:bCs/>
                <w:color w:val="000000"/>
                <w:sz w:val="20"/>
                <w:szCs w:val="20"/>
              </w:rPr>
              <w:t>1.393.887</w:t>
            </w:r>
          </w:p>
        </w:tc>
      </w:tr>
      <w:tr w:rsidR="0084418E" w:rsidRPr="00632008" w14:paraId="2B83E266" w14:textId="77777777" w:rsidTr="002030CB">
        <w:trPr>
          <w:trHeight w:val="288"/>
        </w:trPr>
        <w:tc>
          <w:tcPr>
            <w:tcW w:w="5954" w:type="dxa"/>
            <w:tcBorders>
              <w:top w:val="nil"/>
              <w:left w:val="nil"/>
              <w:bottom w:val="single" w:sz="4" w:space="0" w:color="auto"/>
              <w:right w:val="nil"/>
            </w:tcBorders>
            <w:vAlign w:val="bottom"/>
            <w:hideMark/>
          </w:tcPr>
          <w:p w14:paraId="4BFC1011" w14:textId="77777777" w:rsidR="0084418E" w:rsidRPr="00632008" w:rsidRDefault="0084418E" w:rsidP="0084418E">
            <w:pPr>
              <w:widowControl/>
              <w:autoSpaceDE/>
              <w:autoSpaceDN/>
              <w:rPr>
                <w:rFonts w:eastAsia="Times New Roman" w:cs="Calibri"/>
                <w:b/>
                <w:bCs/>
                <w:color w:val="000000"/>
                <w:sz w:val="20"/>
                <w:szCs w:val="20"/>
                <w:lang w:eastAsia="el-GR"/>
              </w:rPr>
            </w:pPr>
            <w:r w:rsidRPr="00632008">
              <w:rPr>
                <w:rFonts w:eastAsia="Times New Roman" w:cs="Calibri"/>
                <w:b/>
                <w:bCs/>
                <w:color w:val="000000"/>
                <w:sz w:val="20"/>
                <w:szCs w:val="20"/>
                <w:lang w:eastAsia="el-GR"/>
              </w:rPr>
              <w:t>ΣΥΝΟΛΟ ΙΔΙΩΝ ΚΕΦΑΛΑΙΩΝ ΚΑΙ ΥΠΟΧΡΕΩΣΕΩΝ</w:t>
            </w:r>
          </w:p>
        </w:tc>
        <w:tc>
          <w:tcPr>
            <w:tcW w:w="1417" w:type="dxa"/>
            <w:tcBorders>
              <w:top w:val="nil"/>
              <w:left w:val="nil"/>
              <w:bottom w:val="single" w:sz="4" w:space="0" w:color="auto"/>
              <w:right w:val="nil"/>
            </w:tcBorders>
            <w:shd w:val="clear" w:color="000000" w:fill="C5D9F1"/>
            <w:noWrap/>
            <w:vAlign w:val="center"/>
            <w:hideMark/>
          </w:tcPr>
          <w:p w14:paraId="2001393D" w14:textId="5EF278A7" w:rsidR="0084418E" w:rsidRPr="000F74CF" w:rsidRDefault="0084418E" w:rsidP="0084418E">
            <w:pPr>
              <w:widowControl/>
              <w:autoSpaceDE/>
              <w:autoSpaceDN/>
              <w:jc w:val="right"/>
              <w:rPr>
                <w:rFonts w:eastAsia="Times New Roman" w:cs="Calibri"/>
                <w:b/>
                <w:bCs/>
                <w:color w:val="000000"/>
                <w:sz w:val="20"/>
                <w:szCs w:val="20"/>
                <w:lang w:val="en-US" w:eastAsia="el-GR"/>
              </w:rPr>
            </w:pPr>
            <w:r w:rsidRPr="000F74CF">
              <w:rPr>
                <w:rFonts w:cs="Calibri"/>
                <w:b/>
                <w:bCs/>
                <w:color w:val="000000"/>
                <w:sz w:val="20"/>
                <w:szCs w:val="20"/>
              </w:rPr>
              <w:t>2</w:t>
            </w:r>
            <w:r w:rsidR="000F74CF">
              <w:rPr>
                <w:rFonts w:cs="Calibri"/>
                <w:b/>
                <w:bCs/>
                <w:color w:val="000000"/>
                <w:sz w:val="20"/>
                <w:szCs w:val="20"/>
              </w:rPr>
              <w:t>.</w:t>
            </w:r>
            <w:r w:rsidRPr="000F74CF">
              <w:rPr>
                <w:rFonts w:cs="Calibri"/>
                <w:b/>
                <w:bCs/>
                <w:color w:val="000000"/>
                <w:sz w:val="20"/>
                <w:szCs w:val="20"/>
              </w:rPr>
              <w:t>503</w:t>
            </w:r>
            <w:r w:rsidR="000F74CF">
              <w:rPr>
                <w:rFonts w:cs="Calibri"/>
                <w:b/>
                <w:bCs/>
                <w:color w:val="000000"/>
                <w:sz w:val="20"/>
                <w:szCs w:val="20"/>
              </w:rPr>
              <w:t>.</w:t>
            </w:r>
            <w:r w:rsidRPr="000F74CF">
              <w:rPr>
                <w:rFonts w:cs="Calibri"/>
                <w:b/>
                <w:bCs/>
                <w:color w:val="000000"/>
                <w:sz w:val="20"/>
                <w:szCs w:val="20"/>
              </w:rPr>
              <w:t>621</w:t>
            </w:r>
          </w:p>
        </w:tc>
        <w:tc>
          <w:tcPr>
            <w:tcW w:w="1430" w:type="dxa"/>
            <w:tcBorders>
              <w:top w:val="nil"/>
              <w:left w:val="nil"/>
              <w:bottom w:val="single" w:sz="4" w:space="0" w:color="auto"/>
              <w:right w:val="nil"/>
            </w:tcBorders>
            <w:noWrap/>
            <w:vAlign w:val="center"/>
            <w:hideMark/>
          </w:tcPr>
          <w:p w14:paraId="69FDA390" w14:textId="13DB3578" w:rsidR="0084418E" w:rsidRPr="000F74CF" w:rsidRDefault="0084418E" w:rsidP="0084418E">
            <w:pPr>
              <w:widowControl/>
              <w:autoSpaceDE/>
              <w:autoSpaceDN/>
              <w:jc w:val="right"/>
              <w:rPr>
                <w:rFonts w:eastAsia="Times New Roman" w:cs="Calibri"/>
                <w:b/>
                <w:bCs/>
                <w:color w:val="000000"/>
                <w:sz w:val="20"/>
                <w:szCs w:val="20"/>
                <w:lang w:eastAsia="el-GR"/>
              </w:rPr>
            </w:pPr>
            <w:r w:rsidRPr="000F74CF">
              <w:rPr>
                <w:rFonts w:cs="Calibri"/>
                <w:b/>
                <w:bCs/>
                <w:color w:val="000000"/>
                <w:sz w:val="20"/>
                <w:szCs w:val="20"/>
              </w:rPr>
              <w:t>2.445.906</w:t>
            </w:r>
          </w:p>
        </w:tc>
      </w:tr>
    </w:tbl>
    <w:p w14:paraId="7D9130D4" w14:textId="77777777" w:rsidR="004578EA" w:rsidRPr="00632008" w:rsidRDefault="004578EA" w:rsidP="000B4EED">
      <w:pPr>
        <w:ind w:right="426"/>
        <w:jc w:val="both"/>
        <w:rPr>
          <w:color w:val="231F20"/>
          <w:sz w:val="20"/>
          <w:szCs w:val="18"/>
        </w:rPr>
      </w:pPr>
    </w:p>
    <w:p w14:paraId="460B23AF" w14:textId="77777777" w:rsidR="001714F9" w:rsidRPr="00632008" w:rsidRDefault="001714F9" w:rsidP="000B4EED">
      <w:pPr>
        <w:ind w:right="426"/>
        <w:jc w:val="both"/>
        <w:rPr>
          <w:color w:val="231F20"/>
          <w:sz w:val="20"/>
          <w:szCs w:val="18"/>
        </w:rPr>
      </w:pPr>
    </w:p>
    <w:tbl>
      <w:tblPr>
        <w:tblW w:w="8787" w:type="dxa"/>
        <w:tblLook w:val="04A0" w:firstRow="1" w:lastRow="0" w:firstColumn="1" w:lastColumn="0" w:noHBand="0" w:noVBand="1"/>
      </w:tblPr>
      <w:tblGrid>
        <w:gridCol w:w="5954"/>
        <w:gridCol w:w="1393"/>
        <w:gridCol w:w="1440"/>
      </w:tblGrid>
      <w:tr w:rsidR="006C7DC2" w:rsidRPr="00632008" w14:paraId="2E09091D" w14:textId="77777777" w:rsidTr="000F74CF">
        <w:trPr>
          <w:trHeight w:val="340"/>
        </w:trPr>
        <w:tc>
          <w:tcPr>
            <w:tcW w:w="5954" w:type="dxa"/>
            <w:tcBorders>
              <w:top w:val="nil"/>
              <w:left w:val="nil"/>
              <w:bottom w:val="nil"/>
              <w:right w:val="nil"/>
            </w:tcBorders>
            <w:vAlign w:val="bottom"/>
            <w:hideMark/>
          </w:tcPr>
          <w:p w14:paraId="3464D55B" w14:textId="77777777" w:rsidR="006C7DC2" w:rsidRPr="00632008" w:rsidRDefault="006C7DC2" w:rsidP="006C7DC2">
            <w:pPr>
              <w:widowControl/>
              <w:autoSpaceDE/>
              <w:autoSpaceDN/>
              <w:rPr>
                <w:rFonts w:eastAsia="Times New Roman" w:cs="Calibri"/>
                <w:b/>
                <w:bCs/>
                <w:color w:val="365F91"/>
                <w:sz w:val="20"/>
                <w:szCs w:val="20"/>
                <w:lang w:eastAsia="el-GR"/>
              </w:rPr>
            </w:pPr>
            <w:r w:rsidRPr="00632008">
              <w:rPr>
                <w:rFonts w:eastAsia="Times New Roman" w:cs="Calibri"/>
                <w:b/>
                <w:bCs/>
                <w:color w:val="365F91"/>
                <w:sz w:val="20"/>
                <w:szCs w:val="20"/>
                <w:lang w:eastAsia="el-GR"/>
              </w:rPr>
              <w:t>Συνοπτική Ενοποιημένη Κατάσταση Ταμειακών Ροών (€’000)</w:t>
            </w:r>
          </w:p>
        </w:tc>
        <w:tc>
          <w:tcPr>
            <w:tcW w:w="1393" w:type="dxa"/>
            <w:tcBorders>
              <w:top w:val="nil"/>
              <w:left w:val="nil"/>
              <w:bottom w:val="single" w:sz="4" w:space="0" w:color="auto"/>
              <w:right w:val="nil"/>
            </w:tcBorders>
            <w:noWrap/>
            <w:vAlign w:val="bottom"/>
            <w:hideMark/>
          </w:tcPr>
          <w:p w14:paraId="1B59C34D" w14:textId="4241ADE0" w:rsidR="006C7DC2" w:rsidRPr="00ED509D" w:rsidRDefault="006C7DC2" w:rsidP="006C7DC2">
            <w:pPr>
              <w:widowControl/>
              <w:autoSpaceDE/>
              <w:autoSpaceDN/>
              <w:jc w:val="center"/>
              <w:rPr>
                <w:rFonts w:eastAsia="Times New Roman" w:cs="Calibri"/>
                <w:b/>
                <w:bCs/>
                <w:lang w:eastAsia="el-GR"/>
              </w:rPr>
            </w:pPr>
            <w:r w:rsidRPr="00ED509D">
              <w:rPr>
                <w:rFonts w:eastAsia="Times New Roman" w:cstheme="minorBidi"/>
                <w:b/>
                <w:bCs/>
                <w:lang w:val="en-GB" w:eastAsia="el-GR"/>
              </w:rPr>
              <w:t>3</w:t>
            </w:r>
            <w:r w:rsidR="002E38DC">
              <w:rPr>
                <w:rFonts w:eastAsia="Times New Roman" w:cstheme="minorBidi"/>
                <w:b/>
                <w:bCs/>
                <w:lang w:val="en-GB" w:eastAsia="el-GR"/>
              </w:rPr>
              <w:t>0</w:t>
            </w:r>
            <w:r w:rsidRPr="00ED509D">
              <w:rPr>
                <w:rFonts w:eastAsia="Times New Roman" w:cstheme="minorBidi"/>
                <w:b/>
                <w:bCs/>
                <w:lang w:val="en-GB" w:eastAsia="el-GR"/>
              </w:rPr>
              <w:t>.</w:t>
            </w:r>
            <w:r w:rsidRPr="00ED509D">
              <w:rPr>
                <w:rFonts w:eastAsia="Times New Roman" w:cstheme="minorBidi"/>
                <w:b/>
                <w:bCs/>
                <w:lang w:eastAsia="el-GR"/>
              </w:rPr>
              <w:t>0</w:t>
            </w:r>
            <w:r w:rsidR="002E38DC">
              <w:rPr>
                <w:rFonts w:eastAsia="Times New Roman" w:cstheme="minorBidi"/>
                <w:b/>
                <w:bCs/>
                <w:lang w:val="en-US" w:eastAsia="el-GR"/>
              </w:rPr>
              <w:t>6</w:t>
            </w:r>
            <w:r w:rsidRPr="00ED509D">
              <w:rPr>
                <w:rFonts w:eastAsia="Times New Roman" w:cstheme="minorBidi"/>
                <w:b/>
                <w:bCs/>
                <w:lang w:val="en-GB" w:eastAsia="el-GR"/>
              </w:rPr>
              <w:t>.202</w:t>
            </w:r>
            <w:r w:rsidRPr="00ED509D">
              <w:rPr>
                <w:rFonts w:eastAsia="Times New Roman" w:cstheme="minorBidi"/>
                <w:b/>
                <w:bCs/>
                <w:lang w:eastAsia="el-GR"/>
              </w:rPr>
              <w:t>5</w:t>
            </w:r>
          </w:p>
        </w:tc>
        <w:tc>
          <w:tcPr>
            <w:tcW w:w="1440" w:type="dxa"/>
            <w:tcBorders>
              <w:top w:val="nil"/>
              <w:left w:val="nil"/>
              <w:bottom w:val="single" w:sz="4" w:space="0" w:color="auto"/>
              <w:right w:val="nil"/>
            </w:tcBorders>
            <w:noWrap/>
            <w:vAlign w:val="bottom"/>
            <w:hideMark/>
          </w:tcPr>
          <w:p w14:paraId="5DA62023" w14:textId="68FE566C" w:rsidR="006C7DC2" w:rsidRPr="00ED509D" w:rsidRDefault="006C7DC2" w:rsidP="006C7DC2">
            <w:pPr>
              <w:widowControl/>
              <w:autoSpaceDE/>
              <w:autoSpaceDN/>
              <w:jc w:val="center"/>
              <w:rPr>
                <w:rFonts w:eastAsia="Times New Roman" w:cs="Calibri"/>
                <w:b/>
                <w:bCs/>
                <w:lang w:val="en-US" w:eastAsia="el-GR"/>
              </w:rPr>
            </w:pPr>
            <w:r w:rsidRPr="00ED509D">
              <w:rPr>
                <w:rFonts w:eastAsia="Times New Roman" w:cs="Calibri"/>
                <w:b/>
                <w:bCs/>
                <w:lang w:eastAsia="el-GR"/>
              </w:rPr>
              <w:t>3</w:t>
            </w:r>
            <w:r w:rsidR="002E38DC">
              <w:rPr>
                <w:rFonts w:eastAsia="Times New Roman" w:cs="Calibri"/>
                <w:b/>
                <w:bCs/>
                <w:lang w:eastAsia="el-GR"/>
              </w:rPr>
              <w:t>0</w:t>
            </w:r>
            <w:r w:rsidRPr="00ED509D">
              <w:rPr>
                <w:rFonts w:eastAsia="Times New Roman" w:cs="Calibri"/>
                <w:b/>
                <w:bCs/>
                <w:lang w:eastAsia="el-GR"/>
              </w:rPr>
              <w:t>.0</w:t>
            </w:r>
            <w:r w:rsidR="002E38DC">
              <w:rPr>
                <w:rFonts w:eastAsia="Times New Roman" w:cs="Calibri"/>
                <w:b/>
                <w:bCs/>
                <w:lang w:val="en-US" w:eastAsia="el-GR"/>
              </w:rPr>
              <w:t>6</w:t>
            </w:r>
            <w:r w:rsidRPr="00ED509D">
              <w:rPr>
                <w:rFonts w:eastAsia="Times New Roman" w:cs="Calibri"/>
                <w:b/>
                <w:bCs/>
                <w:lang w:eastAsia="el-GR"/>
              </w:rPr>
              <w:t>.2024</w:t>
            </w:r>
          </w:p>
        </w:tc>
      </w:tr>
      <w:tr w:rsidR="0084418E" w:rsidRPr="00632008" w14:paraId="2AECC34F" w14:textId="77777777" w:rsidTr="000F74CF">
        <w:trPr>
          <w:trHeight w:val="340"/>
        </w:trPr>
        <w:tc>
          <w:tcPr>
            <w:tcW w:w="5954" w:type="dxa"/>
            <w:tcBorders>
              <w:top w:val="nil"/>
              <w:left w:val="nil"/>
              <w:bottom w:val="nil"/>
              <w:right w:val="nil"/>
            </w:tcBorders>
            <w:vAlign w:val="bottom"/>
            <w:hideMark/>
          </w:tcPr>
          <w:p w14:paraId="2BAF597B" w14:textId="77777777" w:rsidR="0084418E" w:rsidRPr="00632008" w:rsidRDefault="0084418E" w:rsidP="0084418E">
            <w:pPr>
              <w:widowControl/>
              <w:autoSpaceDE/>
              <w:autoSpaceDN/>
              <w:rPr>
                <w:rFonts w:eastAsia="Times New Roman" w:cs="Calibri"/>
                <w:color w:val="000000"/>
                <w:sz w:val="20"/>
                <w:szCs w:val="20"/>
                <w:lang w:eastAsia="el-GR"/>
              </w:rPr>
            </w:pPr>
            <w:r w:rsidRPr="00632008">
              <w:rPr>
                <w:rFonts w:eastAsia="Times New Roman" w:cs="Calibri"/>
                <w:color w:val="000000"/>
                <w:sz w:val="20"/>
                <w:szCs w:val="20"/>
                <w:lang w:eastAsia="el-GR"/>
              </w:rPr>
              <w:t>Καθαρές ταμειακές ροές από λειτουργικές δραστηριότητες</w:t>
            </w:r>
          </w:p>
        </w:tc>
        <w:tc>
          <w:tcPr>
            <w:tcW w:w="1393" w:type="dxa"/>
            <w:tcBorders>
              <w:top w:val="nil"/>
              <w:left w:val="nil"/>
              <w:bottom w:val="nil"/>
              <w:right w:val="nil"/>
            </w:tcBorders>
            <w:shd w:val="clear" w:color="000000" w:fill="C5D9F1"/>
            <w:noWrap/>
            <w:vAlign w:val="center"/>
            <w:hideMark/>
          </w:tcPr>
          <w:p w14:paraId="01088327" w14:textId="2F31B85B" w:rsidR="0084418E" w:rsidRPr="002E38DC" w:rsidRDefault="0084418E" w:rsidP="0084418E">
            <w:pPr>
              <w:widowControl/>
              <w:autoSpaceDE/>
              <w:autoSpaceDN/>
              <w:jc w:val="right"/>
              <w:rPr>
                <w:rFonts w:eastAsia="Times New Roman" w:cs="Calibri"/>
                <w:color w:val="000000"/>
                <w:sz w:val="20"/>
                <w:szCs w:val="20"/>
                <w:lang w:eastAsia="el-GR"/>
              </w:rPr>
            </w:pPr>
            <w:r>
              <w:rPr>
                <w:rFonts w:cs="Calibri"/>
                <w:color w:val="000000"/>
                <w:sz w:val="20"/>
                <w:szCs w:val="20"/>
              </w:rPr>
              <w:t>48</w:t>
            </w:r>
            <w:r w:rsidR="000F74CF">
              <w:rPr>
                <w:rFonts w:cs="Calibri"/>
                <w:color w:val="000000"/>
                <w:sz w:val="20"/>
                <w:szCs w:val="20"/>
              </w:rPr>
              <w:t>.</w:t>
            </w:r>
            <w:r>
              <w:rPr>
                <w:rFonts w:cs="Calibri"/>
                <w:color w:val="000000"/>
                <w:sz w:val="20"/>
                <w:szCs w:val="20"/>
              </w:rPr>
              <w:t>904</w:t>
            </w:r>
          </w:p>
        </w:tc>
        <w:tc>
          <w:tcPr>
            <w:tcW w:w="1440" w:type="dxa"/>
            <w:tcBorders>
              <w:top w:val="nil"/>
              <w:left w:val="nil"/>
              <w:bottom w:val="nil"/>
              <w:right w:val="nil"/>
            </w:tcBorders>
            <w:noWrap/>
            <w:vAlign w:val="center"/>
            <w:hideMark/>
          </w:tcPr>
          <w:p w14:paraId="3E9C1CE0" w14:textId="5A85A65B" w:rsidR="0084418E" w:rsidRPr="002E38DC" w:rsidRDefault="0084418E" w:rsidP="0084418E">
            <w:pPr>
              <w:widowControl/>
              <w:autoSpaceDE/>
              <w:autoSpaceDN/>
              <w:jc w:val="right"/>
              <w:rPr>
                <w:rFonts w:eastAsia="Times New Roman" w:cs="Calibri"/>
                <w:color w:val="000000"/>
                <w:sz w:val="20"/>
                <w:szCs w:val="20"/>
                <w:lang w:eastAsia="el-GR"/>
              </w:rPr>
            </w:pPr>
            <w:r w:rsidRPr="002E38DC">
              <w:rPr>
                <w:rFonts w:cs="Calibri"/>
                <w:color w:val="000000"/>
                <w:sz w:val="20"/>
                <w:szCs w:val="20"/>
              </w:rPr>
              <w:t>127.689</w:t>
            </w:r>
          </w:p>
        </w:tc>
      </w:tr>
      <w:tr w:rsidR="0084418E" w:rsidRPr="00632008" w14:paraId="1C56E98D" w14:textId="77777777" w:rsidTr="000F74CF">
        <w:trPr>
          <w:trHeight w:val="340"/>
        </w:trPr>
        <w:tc>
          <w:tcPr>
            <w:tcW w:w="5954" w:type="dxa"/>
            <w:tcBorders>
              <w:top w:val="nil"/>
              <w:left w:val="nil"/>
              <w:bottom w:val="nil"/>
              <w:right w:val="nil"/>
            </w:tcBorders>
            <w:vAlign w:val="bottom"/>
            <w:hideMark/>
          </w:tcPr>
          <w:p w14:paraId="580D7D6C" w14:textId="77777777" w:rsidR="0084418E" w:rsidRPr="00632008" w:rsidRDefault="0084418E" w:rsidP="0084418E">
            <w:pPr>
              <w:widowControl/>
              <w:autoSpaceDE/>
              <w:autoSpaceDN/>
              <w:rPr>
                <w:rFonts w:eastAsia="Times New Roman" w:cs="Calibri"/>
                <w:color w:val="000000"/>
                <w:sz w:val="20"/>
                <w:szCs w:val="20"/>
                <w:lang w:eastAsia="el-GR"/>
              </w:rPr>
            </w:pPr>
            <w:r w:rsidRPr="00632008">
              <w:rPr>
                <w:rFonts w:eastAsia="Times New Roman" w:cs="Calibri"/>
                <w:color w:val="000000"/>
                <w:sz w:val="20"/>
                <w:szCs w:val="20"/>
                <w:lang w:eastAsia="el-GR"/>
              </w:rPr>
              <w:t>Καθαρές ταμειακές ροές από Επενδυτικές δραστηριότητες</w:t>
            </w:r>
          </w:p>
        </w:tc>
        <w:tc>
          <w:tcPr>
            <w:tcW w:w="1393" w:type="dxa"/>
            <w:tcBorders>
              <w:top w:val="nil"/>
              <w:left w:val="nil"/>
              <w:bottom w:val="nil"/>
              <w:right w:val="nil"/>
            </w:tcBorders>
            <w:shd w:val="clear" w:color="000000" w:fill="C5D9F1"/>
            <w:noWrap/>
            <w:vAlign w:val="center"/>
            <w:hideMark/>
          </w:tcPr>
          <w:p w14:paraId="18917C44" w14:textId="6A9C89CE" w:rsidR="0084418E" w:rsidRPr="002E38DC" w:rsidRDefault="0084418E" w:rsidP="0084418E">
            <w:pPr>
              <w:widowControl/>
              <w:autoSpaceDE/>
              <w:autoSpaceDN/>
              <w:jc w:val="right"/>
              <w:rPr>
                <w:rFonts w:eastAsia="Times New Roman" w:cs="Calibri"/>
                <w:color w:val="000000"/>
                <w:sz w:val="20"/>
                <w:szCs w:val="20"/>
                <w:lang w:eastAsia="el-GR"/>
              </w:rPr>
            </w:pPr>
            <w:r w:rsidRPr="00111E4D">
              <w:rPr>
                <w:rFonts w:cs="Calibri"/>
                <w:color w:val="000000"/>
                <w:sz w:val="20"/>
                <w:szCs w:val="20"/>
              </w:rPr>
              <w:t>(</w:t>
            </w:r>
            <w:r>
              <w:rPr>
                <w:rFonts w:cs="Calibri"/>
                <w:color w:val="000000"/>
                <w:sz w:val="20"/>
                <w:szCs w:val="20"/>
              </w:rPr>
              <w:t>33</w:t>
            </w:r>
            <w:r w:rsidR="000F74CF">
              <w:rPr>
                <w:rFonts w:cs="Calibri"/>
                <w:color w:val="000000"/>
                <w:sz w:val="20"/>
                <w:szCs w:val="20"/>
              </w:rPr>
              <w:t>.</w:t>
            </w:r>
            <w:r>
              <w:rPr>
                <w:rFonts w:cs="Calibri"/>
                <w:color w:val="000000"/>
                <w:sz w:val="20"/>
                <w:szCs w:val="20"/>
              </w:rPr>
              <w:t>157</w:t>
            </w:r>
            <w:r w:rsidRPr="00111E4D">
              <w:rPr>
                <w:rFonts w:cs="Calibri"/>
                <w:color w:val="000000"/>
                <w:sz w:val="20"/>
                <w:szCs w:val="20"/>
              </w:rPr>
              <w:t>)</w:t>
            </w:r>
          </w:p>
        </w:tc>
        <w:tc>
          <w:tcPr>
            <w:tcW w:w="1440" w:type="dxa"/>
            <w:tcBorders>
              <w:top w:val="nil"/>
              <w:left w:val="nil"/>
              <w:bottom w:val="nil"/>
              <w:right w:val="nil"/>
            </w:tcBorders>
            <w:noWrap/>
            <w:vAlign w:val="center"/>
            <w:hideMark/>
          </w:tcPr>
          <w:p w14:paraId="205902FD" w14:textId="32465961" w:rsidR="0084418E" w:rsidRPr="002E38DC" w:rsidRDefault="0084418E" w:rsidP="0084418E">
            <w:pPr>
              <w:widowControl/>
              <w:autoSpaceDE/>
              <w:autoSpaceDN/>
              <w:jc w:val="right"/>
              <w:rPr>
                <w:rFonts w:eastAsia="Times New Roman" w:cs="Calibri"/>
                <w:color w:val="000000"/>
                <w:sz w:val="20"/>
                <w:szCs w:val="20"/>
                <w:lang w:val="en-GB" w:eastAsia="el-GR"/>
              </w:rPr>
            </w:pPr>
            <w:r w:rsidRPr="002E38DC">
              <w:rPr>
                <w:rFonts w:cs="Calibri"/>
                <w:color w:val="000000"/>
                <w:sz w:val="20"/>
                <w:szCs w:val="20"/>
              </w:rPr>
              <w:t>(33.312)</w:t>
            </w:r>
          </w:p>
        </w:tc>
      </w:tr>
      <w:tr w:rsidR="0084418E" w:rsidRPr="00632008" w14:paraId="00B89EE2" w14:textId="77777777" w:rsidTr="000F74CF">
        <w:trPr>
          <w:trHeight w:val="340"/>
        </w:trPr>
        <w:tc>
          <w:tcPr>
            <w:tcW w:w="5954" w:type="dxa"/>
            <w:tcBorders>
              <w:top w:val="nil"/>
              <w:left w:val="nil"/>
              <w:bottom w:val="single" w:sz="4" w:space="0" w:color="auto"/>
              <w:right w:val="nil"/>
            </w:tcBorders>
            <w:vAlign w:val="bottom"/>
            <w:hideMark/>
          </w:tcPr>
          <w:p w14:paraId="4D4A7F64" w14:textId="77777777" w:rsidR="0084418E" w:rsidRPr="00632008" w:rsidRDefault="0084418E" w:rsidP="0084418E">
            <w:pPr>
              <w:widowControl/>
              <w:autoSpaceDE/>
              <w:autoSpaceDN/>
              <w:rPr>
                <w:rFonts w:eastAsia="Times New Roman" w:cs="Calibri"/>
                <w:color w:val="000000"/>
                <w:sz w:val="20"/>
                <w:szCs w:val="20"/>
                <w:lang w:eastAsia="el-GR"/>
              </w:rPr>
            </w:pPr>
            <w:r w:rsidRPr="00632008">
              <w:rPr>
                <w:rFonts w:eastAsia="Times New Roman" w:cs="Calibri"/>
                <w:color w:val="000000"/>
                <w:sz w:val="20"/>
                <w:szCs w:val="20"/>
                <w:lang w:eastAsia="el-GR"/>
              </w:rPr>
              <w:t>Καθαρές ταμειακές ροές από χρηματοοικονομικές δραστηριότητες</w:t>
            </w:r>
          </w:p>
        </w:tc>
        <w:tc>
          <w:tcPr>
            <w:tcW w:w="1393" w:type="dxa"/>
            <w:tcBorders>
              <w:top w:val="nil"/>
              <w:left w:val="nil"/>
              <w:bottom w:val="nil"/>
              <w:right w:val="nil"/>
            </w:tcBorders>
            <w:shd w:val="clear" w:color="000000" w:fill="C5D9F1"/>
            <w:noWrap/>
            <w:vAlign w:val="center"/>
            <w:hideMark/>
          </w:tcPr>
          <w:p w14:paraId="3E060FDF" w14:textId="78955747" w:rsidR="0084418E" w:rsidRPr="002E38DC" w:rsidRDefault="0084418E" w:rsidP="0084418E">
            <w:pPr>
              <w:widowControl/>
              <w:autoSpaceDE/>
              <w:autoSpaceDN/>
              <w:jc w:val="right"/>
              <w:rPr>
                <w:rFonts w:eastAsia="Times New Roman" w:cs="Calibri"/>
                <w:color w:val="000000"/>
                <w:sz w:val="20"/>
                <w:szCs w:val="20"/>
                <w:lang w:eastAsia="el-GR"/>
              </w:rPr>
            </w:pPr>
            <w:r w:rsidRPr="00111E4D">
              <w:rPr>
                <w:rFonts w:cs="Calibri"/>
                <w:color w:val="000000"/>
                <w:sz w:val="20"/>
                <w:szCs w:val="20"/>
              </w:rPr>
              <w:t>(</w:t>
            </w:r>
            <w:r>
              <w:rPr>
                <w:rFonts w:cs="Calibri"/>
                <w:color w:val="000000"/>
                <w:sz w:val="20"/>
                <w:szCs w:val="20"/>
              </w:rPr>
              <w:t>52</w:t>
            </w:r>
            <w:r w:rsidR="000F74CF">
              <w:rPr>
                <w:rFonts w:cs="Calibri"/>
                <w:color w:val="000000"/>
                <w:sz w:val="20"/>
                <w:szCs w:val="20"/>
              </w:rPr>
              <w:t>.</w:t>
            </w:r>
            <w:r>
              <w:rPr>
                <w:rFonts w:cs="Calibri"/>
                <w:color w:val="000000"/>
                <w:sz w:val="20"/>
                <w:szCs w:val="20"/>
              </w:rPr>
              <w:t>955</w:t>
            </w:r>
            <w:r w:rsidRPr="00111E4D">
              <w:rPr>
                <w:rFonts w:cs="Calibri"/>
                <w:color w:val="000000"/>
                <w:sz w:val="20"/>
                <w:szCs w:val="20"/>
              </w:rPr>
              <w:t>)</w:t>
            </w:r>
          </w:p>
        </w:tc>
        <w:tc>
          <w:tcPr>
            <w:tcW w:w="1440" w:type="dxa"/>
            <w:tcBorders>
              <w:top w:val="nil"/>
              <w:left w:val="nil"/>
              <w:bottom w:val="nil"/>
              <w:right w:val="nil"/>
            </w:tcBorders>
            <w:noWrap/>
            <w:vAlign w:val="center"/>
            <w:hideMark/>
          </w:tcPr>
          <w:p w14:paraId="099BB11C" w14:textId="18242960" w:rsidR="0084418E" w:rsidRPr="002E38DC" w:rsidRDefault="0084418E" w:rsidP="0084418E">
            <w:pPr>
              <w:widowControl/>
              <w:autoSpaceDE/>
              <w:autoSpaceDN/>
              <w:jc w:val="right"/>
              <w:rPr>
                <w:rFonts w:eastAsia="Times New Roman" w:cs="Calibri"/>
                <w:color w:val="000000"/>
                <w:sz w:val="20"/>
                <w:szCs w:val="20"/>
                <w:lang w:val="en-GB" w:eastAsia="el-GR"/>
              </w:rPr>
            </w:pPr>
            <w:r w:rsidRPr="002E38DC">
              <w:rPr>
                <w:rFonts w:cs="Calibri"/>
                <w:color w:val="000000"/>
                <w:sz w:val="20"/>
                <w:szCs w:val="20"/>
              </w:rPr>
              <w:t>(78.097)</w:t>
            </w:r>
          </w:p>
        </w:tc>
      </w:tr>
      <w:tr w:rsidR="0084418E" w:rsidRPr="00632008" w14:paraId="0D05067C" w14:textId="77777777" w:rsidTr="000F74CF">
        <w:trPr>
          <w:trHeight w:val="340"/>
        </w:trPr>
        <w:tc>
          <w:tcPr>
            <w:tcW w:w="5954" w:type="dxa"/>
            <w:tcBorders>
              <w:top w:val="nil"/>
              <w:left w:val="nil"/>
              <w:bottom w:val="single" w:sz="4" w:space="0" w:color="auto"/>
              <w:right w:val="nil"/>
            </w:tcBorders>
            <w:vAlign w:val="bottom"/>
            <w:hideMark/>
          </w:tcPr>
          <w:p w14:paraId="45B3F09C" w14:textId="77777777" w:rsidR="0084418E" w:rsidRPr="00632008" w:rsidRDefault="0084418E" w:rsidP="0084418E">
            <w:pPr>
              <w:widowControl/>
              <w:autoSpaceDE/>
              <w:autoSpaceDN/>
              <w:rPr>
                <w:rFonts w:eastAsia="Times New Roman" w:cs="Calibri"/>
                <w:b/>
                <w:bCs/>
                <w:color w:val="000000"/>
                <w:sz w:val="20"/>
                <w:szCs w:val="20"/>
                <w:lang w:eastAsia="el-GR"/>
              </w:rPr>
            </w:pPr>
            <w:r w:rsidRPr="00632008">
              <w:rPr>
                <w:rFonts w:eastAsia="Times New Roman" w:cs="Calibri"/>
                <w:b/>
                <w:bCs/>
                <w:color w:val="000000"/>
                <w:sz w:val="20"/>
                <w:szCs w:val="20"/>
                <w:lang w:eastAsia="el-GR"/>
              </w:rPr>
              <w:t>Καθαρή (μείωση)/ αύξηση στα ταμειακά διαθέσιμα και ισοδύναμα αυτών</w:t>
            </w:r>
          </w:p>
        </w:tc>
        <w:tc>
          <w:tcPr>
            <w:tcW w:w="1393" w:type="dxa"/>
            <w:tcBorders>
              <w:top w:val="single" w:sz="4" w:space="0" w:color="auto"/>
              <w:left w:val="nil"/>
              <w:bottom w:val="single" w:sz="4" w:space="0" w:color="auto"/>
              <w:right w:val="nil"/>
            </w:tcBorders>
            <w:shd w:val="clear" w:color="000000" w:fill="C5D9F1"/>
            <w:noWrap/>
            <w:vAlign w:val="center"/>
            <w:hideMark/>
          </w:tcPr>
          <w:p w14:paraId="23226678" w14:textId="4C01B3C3" w:rsidR="0084418E" w:rsidRPr="002E38DC" w:rsidRDefault="0084418E" w:rsidP="0084418E">
            <w:pPr>
              <w:widowControl/>
              <w:autoSpaceDE/>
              <w:autoSpaceDN/>
              <w:jc w:val="right"/>
              <w:rPr>
                <w:rFonts w:eastAsia="Times New Roman" w:cs="Calibri"/>
                <w:b/>
                <w:bCs/>
                <w:color w:val="000000"/>
                <w:sz w:val="20"/>
                <w:szCs w:val="20"/>
                <w:lang w:eastAsia="el-GR"/>
              </w:rPr>
            </w:pPr>
            <w:r w:rsidRPr="00111E4D">
              <w:rPr>
                <w:rFonts w:cs="Calibri"/>
                <w:b/>
                <w:bCs/>
                <w:color w:val="000000"/>
                <w:sz w:val="20"/>
                <w:szCs w:val="20"/>
              </w:rPr>
              <w:t>(37</w:t>
            </w:r>
            <w:r w:rsidR="000F74CF">
              <w:rPr>
                <w:rFonts w:cs="Calibri"/>
                <w:b/>
                <w:bCs/>
                <w:color w:val="000000"/>
                <w:sz w:val="20"/>
                <w:szCs w:val="20"/>
              </w:rPr>
              <w:t>.</w:t>
            </w:r>
            <w:r w:rsidRPr="00111E4D">
              <w:rPr>
                <w:rFonts w:cs="Calibri"/>
                <w:b/>
                <w:bCs/>
                <w:color w:val="000000"/>
                <w:sz w:val="20"/>
                <w:szCs w:val="20"/>
              </w:rPr>
              <w:t>207)</w:t>
            </w:r>
          </w:p>
        </w:tc>
        <w:tc>
          <w:tcPr>
            <w:tcW w:w="1440" w:type="dxa"/>
            <w:tcBorders>
              <w:top w:val="single" w:sz="4" w:space="0" w:color="auto"/>
              <w:left w:val="nil"/>
              <w:bottom w:val="single" w:sz="4" w:space="0" w:color="auto"/>
              <w:right w:val="nil"/>
            </w:tcBorders>
            <w:noWrap/>
            <w:vAlign w:val="center"/>
            <w:hideMark/>
          </w:tcPr>
          <w:p w14:paraId="79C1C7B5" w14:textId="488FDF58" w:rsidR="0084418E" w:rsidRPr="002E38DC" w:rsidRDefault="0084418E" w:rsidP="0084418E">
            <w:pPr>
              <w:widowControl/>
              <w:autoSpaceDE/>
              <w:autoSpaceDN/>
              <w:jc w:val="right"/>
              <w:rPr>
                <w:rFonts w:eastAsia="Times New Roman" w:cs="Calibri"/>
                <w:b/>
                <w:color w:val="000000"/>
                <w:sz w:val="20"/>
                <w:szCs w:val="20"/>
                <w:lang w:val="en-GB" w:eastAsia="el-GR"/>
              </w:rPr>
            </w:pPr>
            <w:r w:rsidRPr="002E38DC">
              <w:rPr>
                <w:rFonts w:cs="Calibri"/>
                <w:b/>
                <w:bCs/>
                <w:color w:val="000000"/>
                <w:sz w:val="20"/>
                <w:szCs w:val="20"/>
              </w:rPr>
              <w:t>16.279</w:t>
            </w:r>
          </w:p>
        </w:tc>
      </w:tr>
    </w:tbl>
    <w:p w14:paraId="18DDA09B" w14:textId="77777777" w:rsidR="00B06E83" w:rsidRDefault="00B06E83" w:rsidP="000B4EED">
      <w:pPr>
        <w:ind w:right="570"/>
        <w:jc w:val="both"/>
        <w:rPr>
          <w:color w:val="231F20"/>
          <w:sz w:val="18"/>
          <w:szCs w:val="18"/>
        </w:rPr>
      </w:pPr>
    </w:p>
    <w:p w14:paraId="517A4A56" w14:textId="77777777" w:rsidR="00F06F15" w:rsidRPr="00F06F15" w:rsidRDefault="00F06F15" w:rsidP="00F06F15">
      <w:pPr>
        <w:rPr>
          <w:sz w:val="18"/>
          <w:szCs w:val="18"/>
        </w:rPr>
      </w:pPr>
    </w:p>
    <w:p w14:paraId="4022F783" w14:textId="77777777" w:rsidR="00F06F15" w:rsidRPr="00F06F15" w:rsidRDefault="00F06F15" w:rsidP="00F06F15">
      <w:pPr>
        <w:rPr>
          <w:sz w:val="18"/>
          <w:szCs w:val="18"/>
        </w:rPr>
      </w:pPr>
    </w:p>
    <w:p w14:paraId="3D82058E" w14:textId="77777777" w:rsidR="00F06F15" w:rsidRDefault="00F06F15" w:rsidP="00F06F15">
      <w:pPr>
        <w:rPr>
          <w:color w:val="231F20"/>
          <w:sz w:val="18"/>
          <w:szCs w:val="18"/>
        </w:rPr>
      </w:pPr>
    </w:p>
    <w:p w14:paraId="0AD6F548" w14:textId="77777777" w:rsidR="00F06F15" w:rsidRDefault="00F06F15" w:rsidP="00F06F15">
      <w:pPr>
        <w:rPr>
          <w:color w:val="231F20"/>
          <w:sz w:val="18"/>
          <w:szCs w:val="18"/>
        </w:rPr>
      </w:pPr>
    </w:p>
    <w:p w14:paraId="03095ECB" w14:textId="7B66175F" w:rsidR="004578EA" w:rsidRDefault="00F06F15" w:rsidP="00F06F15">
      <w:pPr>
        <w:tabs>
          <w:tab w:val="left" w:pos="910"/>
        </w:tabs>
        <w:rPr>
          <w:color w:val="231F20"/>
          <w:sz w:val="18"/>
          <w:szCs w:val="18"/>
        </w:rPr>
      </w:pPr>
      <w:r>
        <w:rPr>
          <w:color w:val="231F20"/>
          <w:sz w:val="18"/>
          <w:szCs w:val="18"/>
        </w:rPr>
        <w:tab/>
      </w:r>
    </w:p>
    <w:sectPr w:rsidR="004578EA" w:rsidSect="00F538E0">
      <w:pgSz w:w="11910" w:h="16840"/>
      <w:pgMar w:top="977" w:right="853" w:bottom="851" w:left="567" w:header="0"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463D" w14:textId="77777777" w:rsidR="00C0510F" w:rsidRDefault="00C0510F" w:rsidP="00AA73D8">
      <w:r>
        <w:separator/>
      </w:r>
    </w:p>
  </w:endnote>
  <w:endnote w:type="continuationSeparator" w:id="0">
    <w:p w14:paraId="5139D17F" w14:textId="77777777" w:rsidR="00C0510F" w:rsidRDefault="00C0510F" w:rsidP="00AA73D8">
      <w:r>
        <w:continuationSeparator/>
      </w:r>
    </w:p>
  </w:endnote>
  <w:endnote w:type="continuationNotice" w:id="1">
    <w:p w14:paraId="14668F70" w14:textId="77777777" w:rsidR="00C0510F" w:rsidRDefault="00C05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Ubuntu-Medium">
    <w:altName w:val="Calibri"/>
    <w:charset w:val="00"/>
    <w:family w:val="swiss"/>
    <w:pitch w:val="variable"/>
    <w:sig w:usb0="E00002FF" w:usb1="5000205B" w:usb2="00000000" w:usb3="00000000" w:csb0="0000009F" w:csb1="00000000"/>
  </w:font>
  <w:font w:name="Segoe UI">
    <w:panose1 w:val="020B0502040204020203"/>
    <w:charset w:val="A1"/>
    <w:family w:val="swiss"/>
    <w:pitch w:val="variable"/>
    <w:sig w:usb0="E4002EFF" w:usb1="C000E47F" w:usb2="00000009" w:usb3="00000000" w:csb0="000001FF" w:csb1="00000000"/>
  </w:font>
  <w:font w:name="Zona Pro">
    <w:altName w:val="Calibri"/>
    <w:panose1 w:val="00000000000000000000"/>
    <w:charset w:val="4D"/>
    <w:family w:val="auto"/>
    <w:notTrueType/>
    <w:pitch w:val="variable"/>
    <w:sig w:usb0="800000AF" w:usb1="40000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4FE9" w14:textId="77777777" w:rsidR="008B4F8C" w:rsidRDefault="008B4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7C7" w14:textId="77777777" w:rsidR="008B4F8C" w:rsidRDefault="008B4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63FD" w14:textId="77777777" w:rsidR="008B4F8C" w:rsidRDefault="008B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F6149" w14:textId="77777777" w:rsidR="00C0510F" w:rsidRDefault="00C0510F" w:rsidP="00AA73D8">
      <w:r>
        <w:separator/>
      </w:r>
    </w:p>
  </w:footnote>
  <w:footnote w:type="continuationSeparator" w:id="0">
    <w:p w14:paraId="5C5772D3" w14:textId="77777777" w:rsidR="00C0510F" w:rsidRDefault="00C0510F" w:rsidP="00AA73D8">
      <w:r>
        <w:continuationSeparator/>
      </w:r>
    </w:p>
  </w:footnote>
  <w:footnote w:type="continuationNotice" w:id="1">
    <w:p w14:paraId="31CFEE9C" w14:textId="77777777" w:rsidR="00C0510F" w:rsidRDefault="00C0510F"/>
  </w:footnote>
  <w:footnote w:id="2">
    <w:p w14:paraId="1009D3D6" w14:textId="57E63CF2" w:rsidR="0089103E" w:rsidRPr="000735C0" w:rsidRDefault="0089103E" w:rsidP="000B399C">
      <w:pPr>
        <w:pStyle w:val="FootnoteText"/>
        <w:jc w:val="both"/>
        <w:rPr>
          <w:sz w:val="18"/>
          <w:szCs w:val="18"/>
        </w:rPr>
      </w:pPr>
      <w:r w:rsidRPr="000735C0">
        <w:rPr>
          <w:rStyle w:val="FootnoteReference"/>
          <w:sz w:val="18"/>
          <w:szCs w:val="18"/>
        </w:rPr>
        <w:t>*</w:t>
      </w:r>
      <w:r w:rsidRPr="000735C0">
        <w:rPr>
          <w:sz w:val="18"/>
          <w:szCs w:val="18"/>
        </w:rPr>
        <w:t xml:space="preserve"> </w:t>
      </w:r>
      <w:r w:rsidRPr="000735C0">
        <w:rPr>
          <w:b/>
          <w:bCs/>
          <w:sz w:val="18"/>
          <w:szCs w:val="18"/>
        </w:rPr>
        <w:t>a – EBITDA</w:t>
      </w:r>
      <w:r w:rsidRPr="000735C0">
        <w:rPr>
          <w:sz w:val="18"/>
          <w:szCs w:val="18"/>
        </w:rPr>
        <w:t xml:space="preserve"> = EBITDA πλέον αναμορφώσεις για + Ζημία / - Κέρδος από μέταλλο, Ζημία από διαγραφές ή απομειώσεις παγίων, - Κέρδος / + Ζημία από πώληση παγίων, + / - Λοιπά έκτακτα ανόργανα έσοδα / έξοδα</w:t>
      </w:r>
    </w:p>
    <w:p w14:paraId="64107CC6" w14:textId="36AAF783" w:rsidR="0089103E" w:rsidRPr="000735C0" w:rsidRDefault="0089103E" w:rsidP="000B399C">
      <w:pPr>
        <w:spacing w:before="31"/>
        <w:jc w:val="both"/>
        <w:rPr>
          <w:sz w:val="18"/>
          <w:szCs w:val="18"/>
          <w:lang w:val="en-US"/>
        </w:rPr>
      </w:pPr>
      <w:r w:rsidRPr="000735C0">
        <w:rPr>
          <w:rStyle w:val="FootnoteReference"/>
          <w:sz w:val="18"/>
          <w:szCs w:val="18"/>
          <w:lang w:val="en-US"/>
        </w:rPr>
        <w:t>**</w:t>
      </w:r>
      <w:r w:rsidRPr="000735C0">
        <w:rPr>
          <w:sz w:val="18"/>
          <w:szCs w:val="18"/>
          <w:lang w:val="en-US"/>
        </w:rPr>
        <w:t xml:space="preserve"> </w:t>
      </w:r>
      <w:r w:rsidRPr="000735C0">
        <w:rPr>
          <w:b/>
          <w:bCs/>
          <w:sz w:val="18"/>
          <w:szCs w:val="18"/>
          <w:lang w:val="en-US"/>
        </w:rPr>
        <w:t>a-EBIT</w:t>
      </w:r>
      <w:r w:rsidRPr="000735C0">
        <w:rPr>
          <w:sz w:val="18"/>
          <w:szCs w:val="18"/>
          <w:lang w:val="en-US"/>
        </w:rPr>
        <w:t>= a-EBITDA –</w:t>
      </w:r>
      <w:r w:rsidRPr="000735C0">
        <w:rPr>
          <w:sz w:val="18"/>
          <w:szCs w:val="18"/>
        </w:rPr>
        <w:t>Αποσβέσεις</w:t>
      </w:r>
      <w:r w:rsidRPr="000735C0">
        <w:rPr>
          <w:sz w:val="18"/>
          <w:szCs w:val="18"/>
          <w:lang w:val="en-US"/>
        </w:rPr>
        <w:t>.</w:t>
      </w:r>
    </w:p>
    <w:p w14:paraId="04EA22A8" w14:textId="7502B774" w:rsidR="0089103E" w:rsidRPr="007A7831" w:rsidRDefault="0089103E" w:rsidP="000B399C">
      <w:pPr>
        <w:spacing w:before="31"/>
        <w:jc w:val="both"/>
        <w:rPr>
          <w:b/>
          <w:bCs/>
          <w:color w:val="00AEEF"/>
          <w:spacing w:val="-8"/>
          <w:sz w:val="20"/>
          <w:szCs w:val="20"/>
        </w:rPr>
      </w:pPr>
      <w:r w:rsidRPr="000735C0">
        <w:rPr>
          <w:b/>
          <w:bCs/>
          <w:sz w:val="18"/>
          <w:szCs w:val="18"/>
          <w:vertAlign w:val="superscript"/>
        </w:rPr>
        <w:t>***</w:t>
      </w:r>
      <w:r w:rsidRPr="005F369C">
        <w:rPr>
          <w:b/>
          <w:bCs/>
          <w:sz w:val="18"/>
          <w:szCs w:val="18"/>
          <w:vertAlign w:val="superscript"/>
        </w:rPr>
        <w:t xml:space="preserve"> </w:t>
      </w:r>
      <w:r w:rsidRPr="000735C0">
        <w:rPr>
          <w:b/>
          <w:bCs/>
          <w:sz w:val="18"/>
          <w:szCs w:val="18"/>
        </w:rPr>
        <w:t>Τα κέρδη ανά μετοχή</w:t>
      </w:r>
      <w:r w:rsidRPr="000735C0">
        <w:rPr>
          <w:sz w:val="18"/>
          <w:szCs w:val="18"/>
        </w:rPr>
        <w:t xml:space="preserve"> υπολογίζονται διαιρώντας τα κέρδη μετά </w:t>
      </w:r>
      <w:r w:rsidR="00B84A18">
        <w:rPr>
          <w:sz w:val="18"/>
          <w:szCs w:val="18"/>
        </w:rPr>
        <w:t xml:space="preserve">από </w:t>
      </w:r>
      <w:r w:rsidRPr="000735C0">
        <w:rPr>
          <w:sz w:val="18"/>
          <w:szCs w:val="18"/>
        </w:rPr>
        <w:t>φόρ</w:t>
      </w:r>
      <w:r w:rsidR="00B84A18">
        <w:rPr>
          <w:sz w:val="18"/>
          <w:szCs w:val="18"/>
        </w:rPr>
        <w:t>ους</w:t>
      </w:r>
      <w:r w:rsidRPr="000735C0">
        <w:rPr>
          <w:sz w:val="18"/>
          <w:szCs w:val="18"/>
        </w:rPr>
        <w:t xml:space="preserve"> που αναλογούν στους κοινούς μετόχους </w:t>
      </w:r>
      <w:r w:rsidR="000B399C">
        <w:rPr>
          <w:sz w:val="18"/>
          <w:szCs w:val="18"/>
        </w:rPr>
        <w:t xml:space="preserve">της </w:t>
      </w:r>
      <w:r w:rsidRPr="000735C0">
        <w:rPr>
          <w:sz w:val="18"/>
          <w:szCs w:val="18"/>
        </w:rPr>
        <w:t>μητρικής</w:t>
      </w:r>
      <w:r w:rsidR="000B399C">
        <w:rPr>
          <w:sz w:val="18"/>
          <w:szCs w:val="18"/>
        </w:rPr>
        <w:t xml:space="preserve"> εταιρείας</w:t>
      </w:r>
      <w:r w:rsidRPr="000735C0">
        <w:rPr>
          <w:sz w:val="18"/>
          <w:szCs w:val="18"/>
        </w:rPr>
        <w:t>, με το μέσο σταθμισμένο αριθμό κοινών μετοχών, εξαιρώντας το μέσο αριθμό ιδίων μετοχών που είχε στην κατοχή του ο Όμιλος.</w:t>
      </w:r>
    </w:p>
    <w:p w14:paraId="6A988616" w14:textId="77777777" w:rsidR="0089103E" w:rsidRPr="00AE55CA" w:rsidRDefault="0089103E" w:rsidP="00786988"/>
  </w:footnote>
  <w:footnote w:id="3">
    <w:p w14:paraId="3573982E" w14:textId="32385894" w:rsidR="0089103E" w:rsidRPr="005B1652" w:rsidRDefault="0089103E">
      <w:pPr>
        <w:pStyle w:val="FootnoteText"/>
      </w:pPr>
    </w:p>
  </w:footnote>
  <w:footnote w:id="4">
    <w:p w14:paraId="785CDFE4" w14:textId="77777777" w:rsidR="0089103E" w:rsidRPr="00AE55CA" w:rsidRDefault="0089103E" w:rsidP="00786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26C9" w14:textId="77777777" w:rsidR="008B4F8C" w:rsidRDefault="008B4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6979" w14:textId="78E7BF8E" w:rsidR="00BC435C" w:rsidRPr="00EC7C08" w:rsidRDefault="008B4F8C" w:rsidP="009E446E">
    <w:pPr>
      <w:pStyle w:val="Header"/>
      <w:tabs>
        <w:tab w:val="clear" w:pos="4513"/>
        <w:tab w:val="clear" w:pos="9026"/>
        <w:tab w:val="left" w:pos="2070"/>
      </w:tabs>
      <w:ind w:left="-567"/>
    </w:pPr>
    <w:r>
      <w:rPr>
        <w:noProof/>
      </w:rPr>
      <mc:AlternateContent>
        <mc:Choice Requires="wps">
          <w:drawing>
            <wp:anchor distT="0" distB="0" distL="114300" distR="114300" simplePos="0" relativeHeight="251661312" behindDoc="0" locked="0" layoutInCell="1" allowOverlap="1" wp14:anchorId="6DACA94A" wp14:editId="13E75BB8">
              <wp:simplePos x="0" y="0"/>
              <wp:positionH relativeFrom="column">
                <wp:posOffset>0</wp:posOffset>
              </wp:positionH>
              <wp:positionV relativeFrom="paragraph">
                <wp:posOffset>323215</wp:posOffset>
              </wp:positionV>
              <wp:extent cx="3704590" cy="400050"/>
              <wp:effectExtent l="0" t="0" r="0" b="0"/>
              <wp:wrapNone/>
              <wp:docPr id="1697530977" name="Text Box 3"/>
              <wp:cNvGraphicFramePr/>
              <a:graphic xmlns:a="http://schemas.openxmlformats.org/drawingml/2006/main">
                <a:graphicData uri="http://schemas.microsoft.com/office/word/2010/wordprocessingShape">
                  <wps:wsp>
                    <wps:cNvSpPr txBox="1"/>
                    <wps:spPr>
                      <a:xfrm>
                        <a:off x="0" y="0"/>
                        <a:ext cx="3704590" cy="400050"/>
                      </a:xfrm>
                      <a:prstGeom prst="rect">
                        <a:avLst/>
                      </a:prstGeom>
                      <a:noFill/>
                      <a:ln w="6350">
                        <a:noFill/>
                      </a:ln>
                    </wps:spPr>
                    <wps:txbx>
                      <w:txbxContent>
                        <w:p w14:paraId="3855C7C6" w14:textId="77777777" w:rsidR="008B4F8C" w:rsidRPr="003736D1" w:rsidRDefault="008B4F8C" w:rsidP="008B4F8C">
                          <w:pPr>
                            <w:pStyle w:val="BodyText"/>
                            <w:rPr>
                              <w:rFonts w:ascii="Zona Pro" w:hAnsi="Zona Pro" w:cs="Zona Pro"/>
                              <w:color w:val="595959" w:themeColor="text1" w:themeTint="A6"/>
                              <w:sz w:val="36"/>
                              <w:szCs w:val="36"/>
                            </w:rPr>
                          </w:pPr>
                          <w:r>
                            <w:rPr>
                              <w:rFonts w:ascii="Zona Pro" w:hAnsi="Zona Pro" w:cs="Zona Pro"/>
                              <w:color w:val="595959" w:themeColor="text1" w:themeTint="A6"/>
                              <w:sz w:val="36"/>
                              <w:szCs w:val="36"/>
                            </w:rPr>
                            <w:t>ΔΕΛΤΙΟ ΤΥΠΟΥ</w:t>
                          </w:r>
                        </w:p>
                        <w:p w14:paraId="4DDDD3C4" w14:textId="77777777" w:rsidR="008B4F8C" w:rsidRPr="003736D1" w:rsidRDefault="008B4F8C" w:rsidP="008B4F8C">
                          <w:pPr>
                            <w:pStyle w:val="BodyText"/>
                            <w:rPr>
                              <w:rFonts w:ascii="Zona Pro" w:hAnsi="Zona Pro" w:cs="Zona Pro"/>
                              <w:caps/>
                              <w:color w:val="3F3E3E"/>
                              <w:sz w:val="36"/>
                              <w:szCs w:val="36"/>
                              <w:lang w:val="en-GB"/>
                            </w:rPr>
                          </w:pPr>
                        </w:p>
                        <w:p w14:paraId="5211E210" w14:textId="77777777" w:rsidR="008B4F8C" w:rsidRPr="003736D1" w:rsidRDefault="008B4F8C" w:rsidP="008B4F8C">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ACA94A" id="_x0000_t202" coordsize="21600,21600" o:spt="202" path="m,l,21600r21600,l21600,xe">
              <v:stroke joinstyle="miter"/>
              <v:path gradientshapeok="t" o:connecttype="rect"/>
            </v:shapetype>
            <v:shape id="_x0000_s1032" type="#_x0000_t202" style="position:absolute;left:0;text-align:left;margin-left:0;margin-top:25.45pt;width:291.7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" filled="f" stroked="f" strokeweight=".5pt">
              <v:textbox>
                <w:txbxContent>
                  <w:p w14:paraId="3855C7C6" w14:textId="77777777" w:rsidR="008B4F8C" w:rsidRPr="003736D1" w:rsidRDefault="008B4F8C" w:rsidP="008B4F8C">
                    <w:pPr>
                      <w:pStyle w:val="BodyText"/>
                      <w:rPr>
                        <w:rFonts w:ascii="Zona Pro" w:hAnsi="Zona Pro" w:cs="Zona Pro"/>
                        <w:color w:val="595959" w:themeColor="text1" w:themeTint="A6"/>
                        <w:sz w:val="36"/>
                        <w:szCs w:val="36"/>
                      </w:rPr>
                    </w:pPr>
                    <w:r>
                      <w:rPr>
                        <w:rFonts w:ascii="Zona Pro" w:hAnsi="Zona Pro" w:cs="Zona Pro"/>
                        <w:color w:val="595959" w:themeColor="text1" w:themeTint="A6"/>
                        <w:sz w:val="36"/>
                        <w:szCs w:val="36"/>
                      </w:rPr>
                      <w:t>ΔΕΛΤΙΟ ΤΥΠΟΥ</w:t>
                    </w:r>
                  </w:p>
                  <w:p w14:paraId="4DDDD3C4" w14:textId="77777777" w:rsidR="008B4F8C" w:rsidRPr="003736D1" w:rsidRDefault="008B4F8C" w:rsidP="008B4F8C">
                    <w:pPr>
                      <w:pStyle w:val="BodyText"/>
                      <w:rPr>
                        <w:rFonts w:ascii="Zona Pro" w:hAnsi="Zona Pro" w:cs="Zona Pro"/>
                        <w:caps/>
                        <w:color w:val="3F3E3E"/>
                        <w:sz w:val="36"/>
                        <w:szCs w:val="36"/>
                        <w:lang w:val="en-GB"/>
                      </w:rPr>
                    </w:pPr>
                  </w:p>
                  <w:p w14:paraId="5211E210" w14:textId="77777777" w:rsidR="008B4F8C" w:rsidRPr="003736D1" w:rsidRDefault="008B4F8C" w:rsidP="008B4F8C">
                    <w:pPr>
                      <w:rPr>
                        <w:sz w:val="36"/>
                        <w:szCs w:val="36"/>
                      </w:rPr>
                    </w:pPr>
                  </w:p>
                </w:txbxContent>
              </v:textbox>
            </v:shape>
          </w:pict>
        </mc:Fallback>
      </mc:AlternateContent>
    </w:r>
    <w:r w:rsidR="009E446E">
      <w:rPr>
        <w:noProof/>
      </w:rPr>
      <w:drawing>
        <wp:anchor distT="0" distB="0" distL="114300" distR="114300" simplePos="0" relativeHeight="251659264" behindDoc="0" locked="0" layoutInCell="1" allowOverlap="1" wp14:anchorId="12B2D1B3" wp14:editId="7AFA4EB5">
          <wp:simplePos x="0" y="0"/>
          <wp:positionH relativeFrom="page">
            <wp:align>left</wp:align>
          </wp:positionH>
          <wp:positionV relativeFrom="paragraph">
            <wp:posOffset>0</wp:posOffset>
          </wp:positionV>
          <wp:extent cx="7566660" cy="323850"/>
          <wp:effectExtent l="0" t="0" r="0" b="0"/>
          <wp:wrapSquare wrapText="bothSides"/>
          <wp:docPr id="1148246532" name="Picture 2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31975" name="Picture 21" descr="A white background with black dots&#10;&#10;AI-generated content may be incorrect."/>
                  <pic:cNvPicPr/>
                </pic:nvPicPr>
                <pic:blipFill rotWithShape="1">
                  <a:blip r:embed="rId1" cstate="print">
                    <a:extLst>
                      <a:ext uri="{28A0092B-C50C-407E-A947-70E740481C1C}">
                        <a14:useLocalDpi xmlns:a14="http://schemas.microsoft.com/office/drawing/2010/main" val="0"/>
                      </a:ext>
                    </a:extLst>
                  </a:blip>
                  <a:srcRect t="2" b="96918"/>
                  <a:stretch>
                    <a:fillRect/>
                  </a:stretch>
                </pic:blipFill>
                <pic:spPr bwMode="auto">
                  <a:xfrm>
                    <a:off x="0" y="0"/>
                    <a:ext cx="7566660" cy="32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446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7C43" w14:textId="77777777" w:rsidR="008B4F8C" w:rsidRDefault="008B4F8C">
    <w:pPr>
      <w:pStyle w:val="Header"/>
    </w:pPr>
  </w:p>
</w:hdr>
</file>

<file path=word/intelligence2.xml><?xml version="1.0" encoding="utf-8"?>
<int2:intelligence xmlns:int2="http://schemas.microsoft.com/office/intelligence/2020/intelligence" xmlns:oel="http://schemas.microsoft.com/office/2019/extlst">
  <int2:observations>
    <int2:textHash int2:hashCode="T0unmfMdDbZsuC" int2:id="FTSlU36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405C"/>
    <w:multiLevelType w:val="hybridMultilevel"/>
    <w:tmpl w:val="B9440F86"/>
    <w:lvl w:ilvl="0" w:tplc="04080001">
      <w:start w:val="1"/>
      <w:numFmt w:val="bullet"/>
      <w:lvlText w:val=""/>
      <w:lvlJc w:val="left"/>
      <w:pPr>
        <w:ind w:left="1334" w:hanging="360"/>
      </w:pPr>
      <w:rPr>
        <w:rFonts w:ascii="Symbol" w:hAnsi="Symbol" w:hint="default"/>
      </w:rPr>
    </w:lvl>
    <w:lvl w:ilvl="1" w:tplc="04080003" w:tentative="1">
      <w:start w:val="1"/>
      <w:numFmt w:val="bullet"/>
      <w:lvlText w:val="o"/>
      <w:lvlJc w:val="left"/>
      <w:pPr>
        <w:ind w:left="2054" w:hanging="360"/>
      </w:pPr>
      <w:rPr>
        <w:rFonts w:ascii="Courier New" w:hAnsi="Courier New" w:cs="Courier New" w:hint="default"/>
      </w:rPr>
    </w:lvl>
    <w:lvl w:ilvl="2" w:tplc="04080005" w:tentative="1">
      <w:start w:val="1"/>
      <w:numFmt w:val="bullet"/>
      <w:lvlText w:val=""/>
      <w:lvlJc w:val="left"/>
      <w:pPr>
        <w:ind w:left="2774" w:hanging="360"/>
      </w:pPr>
      <w:rPr>
        <w:rFonts w:ascii="Wingdings" w:hAnsi="Wingdings" w:hint="default"/>
      </w:rPr>
    </w:lvl>
    <w:lvl w:ilvl="3" w:tplc="04080001" w:tentative="1">
      <w:start w:val="1"/>
      <w:numFmt w:val="bullet"/>
      <w:lvlText w:val=""/>
      <w:lvlJc w:val="left"/>
      <w:pPr>
        <w:ind w:left="3494" w:hanging="360"/>
      </w:pPr>
      <w:rPr>
        <w:rFonts w:ascii="Symbol" w:hAnsi="Symbol" w:hint="default"/>
      </w:rPr>
    </w:lvl>
    <w:lvl w:ilvl="4" w:tplc="04080003" w:tentative="1">
      <w:start w:val="1"/>
      <w:numFmt w:val="bullet"/>
      <w:lvlText w:val="o"/>
      <w:lvlJc w:val="left"/>
      <w:pPr>
        <w:ind w:left="4214" w:hanging="360"/>
      </w:pPr>
      <w:rPr>
        <w:rFonts w:ascii="Courier New" w:hAnsi="Courier New" w:cs="Courier New" w:hint="default"/>
      </w:rPr>
    </w:lvl>
    <w:lvl w:ilvl="5" w:tplc="04080005" w:tentative="1">
      <w:start w:val="1"/>
      <w:numFmt w:val="bullet"/>
      <w:lvlText w:val=""/>
      <w:lvlJc w:val="left"/>
      <w:pPr>
        <w:ind w:left="4934" w:hanging="360"/>
      </w:pPr>
      <w:rPr>
        <w:rFonts w:ascii="Wingdings" w:hAnsi="Wingdings" w:hint="default"/>
      </w:rPr>
    </w:lvl>
    <w:lvl w:ilvl="6" w:tplc="04080001" w:tentative="1">
      <w:start w:val="1"/>
      <w:numFmt w:val="bullet"/>
      <w:lvlText w:val=""/>
      <w:lvlJc w:val="left"/>
      <w:pPr>
        <w:ind w:left="5654" w:hanging="360"/>
      </w:pPr>
      <w:rPr>
        <w:rFonts w:ascii="Symbol" w:hAnsi="Symbol" w:hint="default"/>
      </w:rPr>
    </w:lvl>
    <w:lvl w:ilvl="7" w:tplc="04080003" w:tentative="1">
      <w:start w:val="1"/>
      <w:numFmt w:val="bullet"/>
      <w:lvlText w:val="o"/>
      <w:lvlJc w:val="left"/>
      <w:pPr>
        <w:ind w:left="6374" w:hanging="360"/>
      </w:pPr>
      <w:rPr>
        <w:rFonts w:ascii="Courier New" w:hAnsi="Courier New" w:cs="Courier New" w:hint="default"/>
      </w:rPr>
    </w:lvl>
    <w:lvl w:ilvl="8" w:tplc="04080005" w:tentative="1">
      <w:start w:val="1"/>
      <w:numFmt w:val="bullet"/>
      <w:lvlText w:val=""/>
      <w:lvlJc w:val="left"/>
      <w:pPr>
        <w:ind w:left="7094" w:hanging="360"/>
      </w:pPr>
      <w:rPr>
        <w:rFonts w:ascii="Wingdings" w:hAnsi="Wingdings" w:hint="default"/>
      </w:rPr>
    </w:lvl>
  </w:abstractNum>
  <w:abstractNum w:abstractNumId="1" w15:restartNumberingAfterBreak="0">
    <w:nsid w:val="231F1029"/>
    <w:multiLevelType w:val="hybridMultilevel"/>
    <w:tmpl w:val="3AE6EBB0"/>
    <w:lvl w:ilvl="0" w:tplc="04080001">
      <w:start w:val="1"/>
      <w:numFmt w:val="bullet"/>
      <w:lvlText w:val=""/>
      <w:lvlJc w:val="left"/>
      <w:pPr>
        <w:ind w:left="1750" w:hanging="360"/>
      </w:pPr>
      <w:rPr>
        <w:rFonts w:ascii="Symbol" w:hAnsi="Symbol" w:hint="default"/>
      </w:rPr>
    </w:lvl>
    <w:lvl w:ilvl="1" w:tplc="04080003" w:tentative="1">
      <w:start w:val="1"/>
      <w:numFmt w:val="bullet"/>
      <w:lvlText w:val="o"/>
      <w:lvlJc w:val="left"/>
      <w:pPr>
        <w:ind w:left="2470" w:hanging="360"/>
      </w:pPr>
      <w:rPr>
        <w:rFonts w:ascii="Courier New" w:hAnsi="Courier New" w:cs="Courier New" w:hint="default"/>
      </w:rPr>
    </w:lvl>
    <w:lvl w:ilvl="2" w:tplc="04080005" w:tentative="1">
      <w:start w:val="1"/>
      <w:numFmt w:val="bullet"/>
      <w:lvlText w:val=""/>
      <w:lvlJc w:val="left"/>
      <w:pPr>
        <w:ind w:left="3190" w:hanging="360"/>
      </w:pPr>
      <w:rPr>
        <w:rFonts w:ascii="Wingdings" w:hAnsi="Wingdings" w:hint="default"/>
      </w:rPr>
    </w:lvl>
    <w:lvl w:ilvl="3" w:tplc="04080001" w:tentative="1">
      <w:start w:val="1"/>
      <w:numFmt w:val="bullet"/>
      <w:lvlText w:val=""/>
      <w:lvlJc w:val="left"/>
      <w:pPr>
        <w:ind w:left="3910" w:hanging="360"/>
      </w:pPr>
      <w:rPr>
        <w:rFonts w:ascii="Symbol" w:hAnsi="Symbol" w:hint="default"/>
      </w:rPr>
    </w:lvl>
    <w:lvl w:ilvl="4" w:tplc="04080003" w:tentative="1">
      <w:start w:val="1"/>
      <w:numFmt w:val="bullet"/>
      <w:lvlText w:val="o"/>
      <w:lvlJc w:val="left"/>
      <w:pPr>
        <w:ind w:left="4630" w:hanging="360"/>
      </w:pPr>
      <w:rPr>
        <w:rFonts w:ascii="Courier New" w:hAnsi="Courier New" w:cs="Courier New" w:hint="default"/>
      </w:rPr>
    </w:lvl>
    <w:lvl w:ilvl="5" w:tplc="04080005" w:tentative="1">
      <w:start w:val="1"/>
      <w:numFmt w:val="bullet"/>
      <w:lvlText w:val=""/>
      <w:lvlJc w:val="left"/>
      <w:pPr>
        <w:ind w:left="5350" w:hanging="360"/>
      </w:pPr>
      <w:rPr>
        <w:rFonts w:ascii="Wingdings" w:hAnsi="Wingdings" w:hint="default"/>
      </w:rPr>
    </w:lvl>
    <w:lvl w:ilvl="6" w:tplc="04080001" w:tentative="1">
      <w:start w:val="1"/>
      <w:numFmt w:val="bullet"/>
      <w:lvlText w:val=""/>
      <w:lvlJc w:val="left"/>
      <w:pPr>
        <w:ind w:left="6070" w:hanging="360"/>
      </w:pPr>
      <w:rPr>
        <w:rFonts w:ascii="Symbol" w:hAnsi="Symbol" w:hint="default"/>
      </w:rPr>
    </w:lvl>
    <w:lvl w:ilvl="7" w:tplc="04080003" w:tentative="1">
      <w:start w:val="1"/>
      <w:numFmt w:val="bullet"/>
      <w:lvlText w:val="o"/>
      <w:lvlJc w:val="left"/>
      <w:pPr>
        <w:ind w:left="6790" w:hanging="360"/>
      </w:pPr>
      <w:rPr>
        <w:rFonts w:ascii="Courier New" w:hAnsi="Courier New" w:cs="Courier New" w:hint="default"/>
      </w:rPr>
    </w:lvl>
    <w:lvl w:ilvl="8" w:tplc="04080005" w:tentative="1">
      <w:start w:val="1"/>
      <w:numFmt w:val="bullet"/>
      <w:lvlText w:val=""/>
      <w:lvlJc w:val="left"/>
      <w:pPr>
        <w:ind w:left="7510" w:hanging="360"/>
      </w:pPr>
      <w:rPr>
        <w:rFonts w:ascii="Wingdings" w:hAnsi="Wingdings" w:hint="default"/>
      </w:rPr>
    </w:lvl>
  </w:abstractNum>
  <w:abstractNum w:abstractNumId="2" w15:restartNumberingAfterBreak="0">
    <w:nsid w:val="2A564D34"/>
    <w:multiLevelType w:val="hybridMultilevel"/>
    <w:tmpl w:val="306CF1D8"/>
    <w:lvl w:ilvl="0" w:tplc="04080001">
      <w:start w:val="1"/>
      <w:numFmt w:val="bullet"/>
      <w:lvlText w:val=""/>
      <w:lvlJc w:val="left"/>
      <w:pPr>
        <w:ind w:left="1694" w:hanging="360"/>
      </w:pPr>
      <w:rPr>
        <w:rFonts w:ascii="Symbol" w:hAnsi="Symbol" w:hint="default"/>
      </w:rPr>
    </w:lvl>
    <w:lvl w:ilvl="1" w:tplc="04080003" w:tentative="1">
      <w:start w:val="1"/>
      <w:numFmt w:val="bullet"/>
      <w:lvlText w:val="o"/>
      <w:lvlJc w:val="left"/>
      <w:pPr>
        <w:ind w:left="2414" w:hanging="360"/>
      </w:pPr>
      <w:rPr>
        <w:rFonts w:ascii="Courier New" w:hAnsi="Courier New" w:cs="Courier New" w:hint="default"/>
      </w:rPr>
    </w:lvl>
    <w:lvl w:ilvl="2" w:tplc="04080005" w:tentative="1">
      <w:start w:val="1"/>
      <w:numFmt w:val="bullet"/>
      <w:lvlText w:val=""/>
      <w:lvlJc w:val="left"/>
      <w:pPr>
        <w:ind w:left="3134" w:hanging="360"/>
      </w:pPr>
      <w:rPr>
        <w:rFonts w:ascii="Wingdings" w:hAnsi="Wingdings" w:hint="default"/>
      </w:rPr>
    </w:lvl>
    <w:lvl w:ilvl="3" w:tplc="04080001" w:tentative="1">
      <w:start w:val="1"/>
      <w:numFmt w:val="bullet"/>
      <w:lvlText w:val=""/>
      <w:lvlJc w:val="left"/>
      <w:pPr>
        <w:ind w:left="3854" w:hanging="360"/>
      </w:pPr>
      <w:rPr>
        <w:rFonts w:ascii="Symbol" w:hAnsi="Symbol" w:hint="default"/>
      </w:rPr>
    </w:lvl>
    <w:lvl w:ilvl="4" w:tplc="04080003" w:tentative="1">
      <w:start w:val="1"/>
      <w:numFmt w:val="bullet"/>
      <w:lvlText w:val="o"/>
      <w:lvlJc w:val="left"/>
      <w:pPr>
        <w:ind w:left="4574" w:hanging="360"/>
      </w:pPr>
      <w:rPr>
        <w:rFonts w:ascii="Courier New" w:hAnsi="Courier New" w:cs="Courier New" w:hint="default"/>
      </w:rPr>
    </w:lvl>
    <w:lvl w:ilvl="5" w:tplc="04080005" w:tentative="1">
      <w:start w:val="1"/>
      <w:numFmt w:val="bullet"/>
      <w:lvlText w:val=""/>
      <w:lvlJc w:val="left"/>
      <w:pPr>
        <w:ind w:left="5294" w:hanging="360"/>
      </w:pPr>
      <w:rPr>
        <w:rFonts w:ascii="Wingdings" w:hAnsi="Wingdings" w:hint="default"/>
      </w:rPr>
    </w:lvl>
    <w:lvl w:ilvl="6" w:tplc="04080001" w:tentative="1">
      <w:start w:val="1"/>
      <w:numFmt w:val="bullet"/>
      <w:lvlText w:val=""/>
      <w:lvlJc w:val="left"/>
      <w:pPr>
        <w:ind w:left="6014" w:hanging="360"/>
      </w:pPr>
      <w:rPr>
        <w:rFonts w:ascii="Symbol" w:hAnsi="Symbol" w:hint="default"/>
      </w:rPr>
    </w:lvl>
    <w:lvl w:ilvl="7" w:tplc="04080003" w:tentative="1">
      <w:start w:val="1"/>
      <w:numFmt w:val="bullet"/>
      <w:lvlText w:val="o"/>
      <w:lvlJc w:val="left"/>
      <w:pPr>
        <w:ind w:left="6734" w:hanging="360"/>
      </w:pPr>
      <w:rPr>
        <w:rFonts w:ascii="Courier New" w:hAnsi="Courier New" w:cs="Courier New" w:hint="default"/>
      </w:rPr>
    </w:lvl>
    <w:lvl w:ilvl="8" w:tplc="04080005" w:tentative="1">
      <w:start w:val="1"/>
      <w:numFmt w:val="bullet"/>
      <w:lvlText w:val=""/>
      <w:lvlJc w:val="left"/>
      <w:pPr>
        <w:ind w:left="7454" w:hanging="360"/>
      </w:pPr>
      <w:rPr>
        <w:rFonts w:ascii="Wingdings" w:hAnsi="Wingdings" w:hint="default"/>
      </w:rPr>
    </w:lvl>
  </w:abstractNum>
  <w:abstractNum w:abstractNumId="3" w15:restartNumberingAfterBreak="0">
    <w:nsid w:val="5D3D25FA"/>
    <w:multiLevelType w:val="hybridMultilevel"/>
    <w:tmpl w:val="EA428DFA"/>
    <w:lvl w:ilvl="0" w:tplc="AFDC12B4">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6D17C04"/>
    <w:multiLevelType w:val="hybridMultilevel"/>
    <w:tmpl w:val="A27AA294"/>
    <w:lvl w:ilvl="0" w:tplc="A6C8D18A">
      <w:numFmt w:val="bullet"/>
      <w:lvlText w:val="•"/>
      <w:lvlJc w:val="left"/>
      <w:pPr>
        <w:ind w:left="360" w:hanging="360"/>
      </w:pPr>
      <w:rPr>
        <w:rFonts w:ascii="Ubuntu" w:eastAsia="Ubuntu" w:hAnsi="Ubuntu" w:cs="Ubuntu" w:hint="default"/>
        <w:color w:val="F79646" w:themeColor="accent6"/>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21371826">
    <w:abstractNumId w:val="1"/>
  </w:num>
  <w:num w:numId="2" w16cid:durableId="1984037447">
    <w:abstractNumId w:val="0"/>
  </w:num>
  <w:num w:numId="3" w16cid:durableId="2018652298">
    <w:abstractNumId w:val="2"/>
  </w:num>
  <w:num w:numId="4" w16cid:durableId="1568998372">
    <w:abstractNumId w:val="4"/>
  </w:num>
  <w:num w:numId="5" w16cid:durableId="1301035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3NjMwNzOyNDM1MjZS0lEKTi0uzszPAykwNq4FAKBqdk0tAAAA"/>
  </w:docVars>
  <w:rsids>
    <w:rsidRoot w:val="00E92381"/>
    <w:rsid w:val="000008F4"/>
    <w:rsid w:val="0000143D"/>
    <w:rsid w:val="00003407"/>
    <w:rsid w:val="00003A64"/>
    <w:rsid w:val="000054A9"/>
    <w:rsid w:val="0000625C"/>
    <w:rsid w:val="00006B43"/>
    <w:rsid w:val="000070C9"/>
    <w:rsid w:val="000072B8"/>
    <w:rsid w:val="00007BCF"/>
    <w:rsid w:val="000105F5"/>
    <w:rsid w:val="00010E36"/>
    <w:rsid w:val="00010FE4"/>
    <w:rsid w:val="00011F74"/>
    <w:rsid w:val="0001208D"/>
    <w:rsid w:val="00012156"/>
    <w:rsid w:val="000121D7"/>
    <w:rsid w:val="00012687"/>
    <w:rsid w:val="0001295B"/>
    <w:rsid w:val="000130A3"/>
    <w:rsid w:val="0001448A"/>
    <w:rsid w:val="00014B53"/>
    <w:rsid w:val="00015125"/>
    <w:rsid w:val="000160DA"/>
    <w:rsid w:val="00016234"/>
    <w:rsid w:val="00016659"/>
    <w:rsid w:val="00016751"/>
    <w:rsid w:val="0001680B"/>
    <w:rsid w:val="00016914"/>
    <w:rsid w:val="00016A0F"/>
    <w:rsid w:val="00016B73"/>
    <w:rsid w:val="00016DA9"/>
    <w:rsid w:val="0002021B"/>
    <w:rsid w:val="00020272"/>
    <w:rsid w:val="00020738"/>
    <w:rsid w:val="00020EAF"/>
    <w:rsid w:val="00021024"/>
    <w:rsid w:val="00021498"/>
    <w:rsid w:val="00021CC9"/>
    <w:rsid w:val="00022898"/>
    <w:rsid w:val="000247B4"/>
    <w:rsid w:val="00027460"/>
    <w:rsid w:val="0003123B"/>
    <w:rsid w:val="00031A31"/>
    <w:rsid w:val="00031EEE"/>
    <w:rsid w:val="00032821"/>
    <w:rsid w:val="00033449"/>
    <w:rsid w:val="00033DFA"/>
    <w:rsid w:val="00034592"/>
    <w:rsid w:val="000349B5"/>
    <w:rsid w:val="00034CD7"/>
    <w:rsid w:val="00035B9D"/>
    <w:rsid w:val="00036659"/>
    <w:rsid w:val="00036704"/>
    <w:rsid w:val="00036939"/>
    <w:rsid w:val="00036BD5"/>
    <w:rsid w:val="00036F81"/>
    <w:rsid w:val="00037B0D"/>
    <w:rsid w:val="00040663"/>
    <w:rsid w:val="0004082D"/>
    <w:rsid w:val="000414EC"/>
    <w:rsid w:val="00041939"/>
    <w:rsid w:val="00042748"/>
    <w:rsid w:val="000430C6"/>
    <w:rsid w:val="00046652"/>
    <w:rsid w:val="00046E0A"/>
    <w:rsid w:val="00047116"/>
    <w:rsid w:val="000514AD"/>
    <w:rsid w:val="00051A44"/>
    <w:rsid w:val="00053327"/>
    <w:rsid w:val="00054366"/>
    <w:rsid w:val="000546D9"/>
    <w:rsid w:val="00054960"/>
    <w:rsid w:val="0005634C"/>
    <w:rsid w:val="00056C4C"/>
    <w:rsid w:val="00057783"/>
    <w:rsid w:val="00057AAC"/>
    <w:rsid w:val="000619F7"/>
    <w:rsid w:val="00061CB2"/>
    <w:rsid w:val="000641B8"/>
    <w:rsid w:val="000649BD"/>
    <w:rsid w:val="00064E9D"/>
    <w:rsid w:val="00064FCA"/>
    <w:rsid w:val="00067868"/>
    <w:rsid w:val="000710BE"/>
    <w:rsid w:val="000712BC"/>
    <w:rsid w:val="00071CA8"/>
    <w:rsid w:val="00071CD1"/>
    <w:rsid w:val="000728A5"/>
    <w:rsid w:val="000735C0"/>
    <w:rsid w:val="00074C3E"/>
    <w:rsid w:val="00075B2D"/>
    <w:rsid w:val="0007759E"/>
    <w:rsid w:val="0007776A"/>
    <w:rsid w:val="000800E3"/>
    <w:rsid w:val="00081578"/>
    <w:rsid w:val="000837D0"/>
    <w:rsid w:val="00083EE1"/>
    <w:rsid w:val="00091479"/>
    <w:rsid w:val="000915E6"/>
    <w:rsid w:val="00092894"/>
    <w:rsid w:val="00092C41"/>
    <w:rsid w:val="0009357D"/>
    <w:rsid w:val="00093A54"/>
    <w:rsid w:val="00094BCE"/>
    <w:rsid w:val="00095817"/>
    <w:rsid w:val="00095CDF"/>
    <w:rsid w:val="00095D44"/>
    <w:rsid w:val="00096200"/>
    <w:rsid w:val="00096255"/>
    <w:rsid w:val="00096FD9"/>
    <w:rsid w:val="00097314"/>
    <w:rsid w:val="000A11FA"/>
    <w:rsid w:val="000A14C0"/>
    <w:rsid w:val="000A185C"/>
    <w:rsid w:val="000A1CB2"/>
    <w:rsid w:val="000A20E9"/>
    <w:rsid w:val="000A27E7"/>
    <w:rsid w:val="000A291D"/>
    <w:rsid w:val="000A2AAC"/>
    <w:rsid w:val="000A3EFE"/>
    <w:rsid w:val="000A45E1"/>
    <w:rsid w:val="000A5154"/>
    <w:rsid w:val="000A51DF"/>
    <w:rsid w:val="000A5533"/>
    <w:rsid w:val="000A696D"/>
    <w:rsid w:val="000A6B53"/>
    <w:rsid w:val="000A6FD1"/>
    <w:rsid w:val="000A70EC"/>
    <w:rsid w:val="000B2149"/>
    <w:rsid w:val="000B21BD"/>
    <w:rsid w:val="000B22E1"/>
    <w:rsid w:val="000B25C2"/>
    <w:rsid w:val="000B399C"/>
    <w:rsid w:val="000B4EA0"/>
    <w:rsid w:val="000B4EED"/>
    <w:rsid w:val="000B4F8A"/>
    <w:rsid w:val="000B673B"/>
    <w:rsid w:val="000C0096"/>
    <w:rsid w:val="000C02BD"/>
    <w:rsid w:val="000C0661"/>
    <w:rsid w:val="000C0731"/>
    <w:rsid w:val="000C1708"/>
    <w:rsid w:val="000C1FEE"/>
    <w:rsid w:val="000C20D1"/>
    <w:rsid w:val="000C2E1E"/>
    <w:rsid w:val="000C615F"/>
    <w:rsid w:val="000C6368"/>
    <w:rsid w:val="000C72C2"/>
    <w:rsid w:val="000C7310"/>
    <w:rsid w:val="000D156B"/>
    <w:rsid w:val="000D1AAD"/>
    <w:rsid w:val="000D3D78"/>
    <w:rsid w:val="000D4035"/>
    <w:rsid w:val="000D43CD"/>
    <w:rsid w:val="000D78D1"/>
    <w:rsid w:val="000D797C"/>
    <w:rsid w:val="000D7D5E"/>
    <w:rsid w:val="000E1228"/>
    <w:rsid w:val="000E1CD0"/>
    <w:rsid w:val="000E20EA"/>
    <w:rsid w:val="000E2976"/>
    <w:rsid w:val="000E29A6"/>
    <w:rsid w:val="000E2C08"/>
    <w:rsid w:val="000E2C11"/>
    <w:rsid w:val="000E35DB"/>
    <w:rsid w:val="000E3B0F"/>
    <w:rsid w:val="000E5B17"/>
    <w:rsid w:val="000E6781"/>
    <w:rsid w:val="000F0A8A"/>
    <w:rsid w:val="000F0FB0"/>
    <w:rsid w:val="000F1EA0"/>
    <w:rsid w:val="000F2180"/>
    <w:rsid w:val="000F27C3"/>
    <w:rsid w:val="000F37B2"/>
    <w:rsid w:val="000F418C"/>
    <w:rsid w:val="000F4AC4"/>
    <w:rsid w:val="000F58C4"/>
    <w:rsid w:val="000F5AF7"/>
    <w:rsid w:val="000F63B9"/>
    <w:rsid w:val="000F6FA3"/>
    <w:rsid w:val="000F73AE"/>
    <w:rsid w:val="000F74CF"/>
    <w:rsid w:val="000F76CD"/>
    <w:rsid w:val="000FE335"/>
    <w:rsid w:val="00101457"/>
    <w:rsid w:val="00101BA3"/>
    <w:rsid w:val="0010220C"/>
    <w:rsid w:val="001023F3"/>
    <w:rsid w:val="00102BF5"/>
    <w:rsid w:val="00102C88"/>
    <w:rsid w:val="001031DE"/>
    <w:rsid w:val="00103C0C"/>
    <w:rsid w:val="00103C80"/>
    <w:rsid w:val="00103D61"/>
    <w:rsid w:val="001047C5"/>
    <w:rsid w:val="001049F6"/>
    <w:rsid w:val="00104CB6"/>
    <w:rsid w:val="001051FD"/>
    <w:rsid w:val="001054D0"/>
    <w:rsid w:val="00105690"/>
    <w:rsid w:val="00106B16"/>
    <w:rsid w:val="001110C2"/>
    <w:rsid w:val="00111665"/>
    <w:rsid w:val="00111B2D"/>
    <w:rsid w:val="00111B78"/>
    <w:rsid w:val="00112633"/>
    <w:rsid w:val="00113426"/>
    <w:rsid w:val="00114672"/>
    <w:rsid w:val="00115065"/>
    <w:rsid w:val="0011634F"/>
    <w:rsid w:val="001168F7"/>
    <w:rsid w:val="001212BC"/>
    <w:rsid w:val="00121F1C"/>
    <w:rsid w:val="00124AE1"/>
    <w:rsid w:val="00125DDB"/>
    <w:rsid w:val="00126400"/>
    <w:rsid w:val="00127D3D"/>
    <w:rsid w:val="0013114A"/>
    <w:rsid w:val="0013138B"/>
    <w:rsid w:val="001322EE"/>
    <w:rsid w:val="001334CE"/>
    <w:rsid w:val="0013388A"/>
    <w:rsid w:val="00134527"/>
    <w:rsid w:val="00135FDC"/>
    <w:rsid w:val="0013635D"/>
    <w:rsid w:val="00137706"/>
    <w:rsid w:val="0013792C"/>
    <w:rsid w:val="00137D4D"/>
    <w:rsid w:val="001416C3"/>
    <w:rsid w:val="00141872"/>
    <w:rsid w:val="00141A56"/>
    <w:rsid w:val="001426FC"/>
    <w:rsid w:val="00142DD5"/>
    <w:rsid w:val="00143591"/>
    <w:rsid w:val="001439D9"/>
    <w:rsid w:val="00146883"/>
    <w:rsid w:val="00147370"/>
    <w:rsid w:val="00151601"/>
    <w:rsid w:val="00151F94"/>
    <w:rsid w:val="0015235E"/>
    <w:rsid w:val="0015251C"/>
    <w:rsid w:val="0015391B"/>
    <w:rsid w:val="00154CF7"/>
    <w:rsid w:val="00155856"/>
    <w:rsid w:val="00156295"/>
    <w:rsid w:val="00156784"/>
    <w:rsid w:val="00156D14"/>
    <w:rsid w:val="00157019"/>
    <w:rsid w:val="0015764D"/>
    <w:rsid w:val="00160450"/>
    <w:rsid w:val="001608A8"/>
    <w:rsid w:val="00160AA3"/>
    <w:rsid w:val="00160D30"/>
    <w:rsid w:val="00161ECF"/>
    <w:rsid w:val="00161F46"/>
    <w:rsid w:val="001621B5"/>
    <w:rsid w:val="00162BA9"/>
    <w:rsid w:val="00162C13"/>
    <w:rsid w:val="00163DFF"/>
    <w:rsid w:val="00163EC6"/>
    <w:rsid w:val="001649A6"/>
    <w:rsid w:val="00165DC0"/>
    <w:rsid w:val="00166753"/>
    <w:rsid w:val="0016753F"/>
    <w:rsid w:val="00167811"/>
    <w:rsid w:val="001714F9"/>
    <w:rsid w:val="00171BD3"/>
    <w:rsid w:val="00174F7E"/>
    <w:rsid w:val="0017624B"/>
    <w:rsid w:val="00176AE4"/>
    <w:rsid w:val="00184D46"/>
    <w:rsid w:val="001866CB"/>
    <w:rsid w:val="00187524"/>
    <w:rsid w:val="00187DC4"/>
    <w:rsid w:val="001904FC"/>
    <w:rsid w:val="001909E5"/>
    <w:rsid w:val="00190CAD"/>
    <w:rsid w:val="00191638"/>
    <w:rsid w:val="00192B76"/>
    <w:rsid w:val="00193C31"/>
    <w:rsid w:val="00193CED"/>
    <w:rsid w:val="00193CF2"/>
    <w:rsid w:val="001943E9"/>
    <w:rsid w:val="001960EB"/>
    <w:rsid w:val="00197771"/>
    <w:rsid w:val="001977E3"/>
    <w:rsid w:val="00197811"/>
    <w:rsid w:val="001A0409"/>
    <w:rsid w:val="001A23A5"/>
    <w:rsid w:val="001A3595"/>
    <w:rsid w:val="001A4D78"/>
    <w:rsid w:val="001A68D4"/>
    <w:rsid w:val="001A7962"/>
    <w:rsid w:val="001A7FAF"/>
    <w:rsid w:val="001B080C"/>
    <w:rsid w:val="001B231E"/>
    <w:rsid w:val="001B294C"/>
    <w:rsid w:val="001B3535"/>
    <w:rsid w:val="001B3C86"/>
    <w:rsid w:val="001B5071"/>
    <w:rsid w:val="001B6C30"/>
    <w:rsid w:val="001B79E9"/>
    <w:rsid w:val="001B7D78"/>
    <w:rsid w:val="001C0C07"/>
    <w:rsid w:val="001C105A"/>
    <w:rsid w:val="001C146B"/>
    <w:rsid w:val="001C24A4"/>
    <w:rsid w:val="001C25B9"/>
    <w:rsid w:val="001C31C1"/>
    <w:rsid w:val="001C3A26"/>
    <w:rsid w:val="001C3C7D"/>
    <w:rsid w:val="001C41A0"/>
    <w:rsid w:val="001C496E"/>
    <w:rsid w:val="001C4F3A"/>
    <w:rsid w:val="001C6478"/>
    <w:rsid w:val="001C7162"/>
    <w:rsid w:val="001D18A7"/>
    <w:rsid w:val="001D1C63"/>
    <w:rsid w:val="001D2672"/>
    <w:rsid w:val="001D3854"/>
    <w:rsid w:val="001D4550"/>
    <w:rsid w:val="001D466C"/>
    <w:rsid w:val="001D46A1"/>
    <w:rsid w:val="001D4CCD"/>
    <w:rsid w:val="001D79BD"/>
    <w:rsid w:val="001D7C77"/>
    <w:rsid w:val="001E060C"/>
    <w:rsid w:val="001E108D"/>
    <w:rsid w:val="001E22BA"/>
    <w:rsid w:val="001E2373"/>
    <w:rsid w:val="001E35F7"/>
    <w:rsid w:val="001E48C7"/>
    <w:rsid w:val="001E6205"/>
    <w:rsid w:val="001E6337"/>
    <w:rsid w:val="001E73F2"/>
    <w:rsid w:val="001F1119"/>
    <w:rsid w:val="001F13E5"/>
    <w:rsid w:val="001F18E8"/>
    <w:rsid w:val="001F1A2C"/>
    <w:rsid w:val="001F1E9E"/>
    <w:rsid w:val="001F2E69"/>
    <w:rsid w:val="001F38D8"/>
    <w:rsid w:val="001F3CF2"/>
    <w:rsid w:val="001F408A"/>
    <w:rsid w:val="001F47CF"/>
    <w:rsid w:val="001F7002"/>
    <w:rsid w:val="00200536"/>
    <w:rsid w:val="00201569"/>
    <w:rsid w:val="00201FBC"/>
    <w:rsid w:val="00202CE3"/>
    <w:rsid w:val="0020363C"/>
    <w:rsid w:val="002041FC"/>
    <w:rsid w:val="002052D7"/>
    <w:rsid w:val="002062C1"/>
    <w:rsid w:val="002062D8"/>
    <w:rsid w:val="00207EEA"/>
    <w:rsid w:val="00210686"/>
    <w:rsid w:val="002114CB"/>
    <w:rsid w:val="00212154"/>
    <w:rsid w:val="00213F65"/>
    <w:rsid w:val="002147E1"/>
    <w:rsid w:val="00214D99"/>
    <w:rsid w:val="002155B2"/>
    <w:rsid w:val="00215766"/>
    <w:rsid w:val="00215CE3"/>
    <w:rsid w:val="00216CB1"/>
    <w:rsid w:val="00217BD6"/>
    <w:rsid w:val="0022000E"/>
    <w:rsid w:val="00220C97"/>
    <w:rsid w:val="00221CE5"/>
    <w:rsid w:val="00222E60"/>
    <w:rsid w:val="002234BE"/>
    <w:rsid w:val="002235A0"/>
    <w:rsid w:val="00224994"/>
    <w:rsid w:val="00224A32"/>
    <w:rsid w:val="00225960"/>
    <w:rsid w:val="002267A9"/>
    <w:rsid w:val="00226848"/>
    <w:rsid w:val="00226E7C"/>
    <w:rsid w:val="002272AF"/>
    <w:rsid w:val="0022764C"/>
    <w:rsid w:val="00232293"/>
    <w:rsid w:val="00232B24"/>
    <w:rsid w:val="00233765"/>
    <w:rsid w:val="002352EF"/>
    <w:rsid w:val="00235317"/>
    <w:rsid w:val="00235DE9"/>
    <w:rsid w:val="002364FA"/>
    <w:rsid w:val="00237848"/>
    <w:rsid w:val="00240182"/>
    <w:rsid w:val="00243317"/>
    <w:rsid w:val="00243534"/>
    <w:rsid w:val="00245BED"/>
    <w:rsid w:val="002466A7"/>
    <w:rsid w:val="002500D3"/>
    <w:rsid w:val="00251899"/>
    <w:rsid w:val="00252B1B"/>
    <w:rsid w:val="002542EE"/>
    <w:rsid w:val="002555EF"/>
    <w:rsid w:val="00257A03"/>
    <w:rsid w:val="00260512"/>
    <w:rsid w:val="00260AA3"/>
    <w:rsid w:val="00260BD7"/>
    <w:rsid w:val="00261A04"/>
    <w:rsid w:val="002620A6"/>
    <w:rsid w:val="00265169"/>
    <w:rsid w:val="0026579D"/>
    <w:rsid w:val="00265DF3"/>
    <w:rsid w:val="0026734D"/>
    <w:rsid w:val="0026750A"/>
    <w:rsid w:val="002675C3"/>
    <w:rsid w:val="00267C7F"/>
    <w:rsid w:val="00267C9C"/>
    <w:rsid w:val="00270EC3"/>
    <w:rsid w:val="00271035"/>
    <w:rsid w:val="00271F77"/>
    <w:rsid w:val="00272201"/>
    <w:rsid w:val="00274214"/>
    <w:rsid w:val="00274CDB"/>
    <w:rsid w:val="00276C25"/>
    <w:rsid w:val="0027784C"/>
    <w:rsid w:val="002806C2"/>
    <w:rsid w:val="002807E2"/>
    <w:rsid w:val="002810C7"/>
    <w:rsid w:val="00282411"/>
    <w:rsid w:val="002829B6"/>
    <w:rsid w:val="00282C4A"/>
    <w:rsid w:val="00283577"/>
    <w:rsid w:val="0028386D"/>
    <w:rsid w:val="00284D29"/>
    <w:rsid w:val="0028514C"/>
    <w:rsid w:val="002852F7"/>
    <w:rsid w:val="00285D56"/>
    <w:rsid w:val="00286E4B"/>
    <w:rsid w:val="00292034"/>
    <w:rsid w:val="00292E62"/>
    <w:rsid w:val="00293322"/>
    <w:rsid w:val="00294047"/>
    <w:rsid w:val="002943BD"/>
    <w:rsid w:val="00296021"/>
    <w:rsid w:val="00296BD4"/>
    <w:rsid w:val="00296C1F"/>
    <w:rsid w:val="00297DC7"/>
    <w:rsid w:val="00297E7F"/>
    <w:rsid w:val="002A0AA0"/>
    <w:rsid w:val="002A0AF3"/>
    <w:rsid w:val="002A2055"/>
    <w:rsid w:val="002A28C3"/>
    <w:rsid w:val="002A33F2"/>
    <w:rsid w:val="002A4093"/>
    <w:rsid w:val="002A4923"/>
    <w:rsid w:val="002B1C0E"/>
    <w:rsid w:val="002B247B"/>
    <w:rsid w:val="002B2961"/>
    <w:rsid w:val="002B2C87"/>
    <w:rsid w:val="002B42BA"/>
    <w:rsid w:val="002B58A4"/>
    <w:rsid w:val="002B5DBB"/>
    <w:rsid w:val="002B6249"/>
    <w:rsid w:val="002B71E4"/>
    <w:rsid w:val="002B7F01"/>
    <w:rsid w:val="002C02CA"/>
    <w:rsid w:val="002C0734"/>
    <w:rsid w:val="002C10C8"/>
    <w:rsid w:val="002C16BB"/>
    <w:rsid w:val="002C226A"/>
    <w:rsid w:val="002C28DD"/>
    <w:rsid w:val="002C3943"/>
    <w:rsid w:val="002C5FE5"/>
    <w:rsid w:val="002C638A"/>
    <w:rsid w:val="002C6903"/>
    <w:rsid w:val="002C70F3"/>
    <w:rsid w:val="002C7763"/>
    <w:rsid w:val="002C7FA9"/>
    <w:rsid w:val="002D070C"/>
    <w:rsid w:val="002D1092"/>
    <w:rsid w:val="002D1DE2"/>
    <w:rsid w:val="002D2581"/>
    <w:rsid w:val="002D2F1C"/>
    <w:rsid w:val="002D4B75"/>
    <w:rsid w:val="002D614A"/>
    <w:rsid w:val="002D6331"/>
    <w:rsid w:val="002D6591"/>
    <w:rsid w:val="002D6594"/>
    <w:rsid w:val="002D71BD"/>
    <w:rsid w:val="002D79D0"/>
    <w:rsid w:val="002E07B8"/>
    <w:rsid w:val="002E167D"/>
    <w:rsid w:val="002E38DC"/>
    <w:rsid w:val="002E4371"/>
    <w:rsid w:val="002E4551"/>
    <w:rsid w:val="002E537B"/>
    <w:rsid w:val="002E6BDE"/>
    <w:rsid w:val="002E7FB1"/>
    <w:rsid w:val="002F02B5"/>
    <w:rsid w:val="002F0833"/>
    <w:rsid w:val="002F17EE"/>
    <w:rsid w:val="002F183F"/>
    <w:rsid w:val="002F2E1E"/>
    <w:rsid w:val="002F3185"/>
    <w:rsid w:val="002F35F3"/>
    <w:rsid w:val="002F50FC"/>
    <w:rsid w:val="002F6B3E"/>
    <w:rsid w:val="002F75AC"/>
    <w:rsid w:val="002F77D7"/>
    <w:rsid w:val="00301365"/>
    <w:rsid w:val="0030140F"/>
    <w:rsid w:val="00301AE9"/>
    <w:rsid w:val="00302392"/>
    <w:rsid w:val="00302D61"/>
    <w:rsid w:val="00303553"/>
    <w:rsid w:val="003039B9"/>
    <w:rsid w:val="003051E5"/>
    <w:rsid w:val="0030564C"/>
    <w:rsid w:val="00306EE6"/>
    <w:rsid w:val="00310487"/>
    <w:rsid w:val="003115F9"/>
    <w:rsid w:val="00316C78"/>
    <w:rsid w:val="003178CC"/>
    <w:rsid w:val="003203B0"/>
    <w:rsid w:val="003210B4"/>
    <w:rsid w:val="003220B3"/>
    <w:rsid w:val="00322241"/>
    <w:rsid w:val="003252B4"/>
    <w:rsid w:val="0032560B"/>
    <w:rsid w:val="003261F7"/>
    <w:rsid w:val="003263EB"/>
    <w:rsid w:val="00331FA8"/>
    <w:rsid w:val="00332016"/>
    <w:rsid w:val="0033323C"/>
    <w:rsid w:val="003335EF"/>
    <w:rsid w:val="00335BD7"/>
    <w:rsid w:val="003368DF"/>
    <w:rsid w:val="003379EC"/>
    <w:rsid w:val="003410A7"/>
    <w:rsid w:val="00341632"/>
    <w:rsid w:val="003417C3"/>
    <w:rsid w:val="003420C2"/>
    <w:rsid w:val="003433A7"/>
    <w:rsid w:val="003438C9"/>
    <w:rsid w:val="003438E3"/>
    <w:rsid w:val="00343EB0"/>
    <w:rsid w:val="003454E4"/>
    <w:rsid w:val="00346A35"/>
    <w:rsid w:val="0034780F"/>
    <w:rsid w:val="003478EB"/>
    <w:rsid w:val="003511EC"/>
    <w:rsid w:val="00351ED7"/>
    <w:rsid w:val="00352C3F"/>
    <w:rsid w:val="00352E40"/>
    <w:rsid w:val="00353189"/>
    <w:rsid w:val="003532CF"/>
    <w:rsid w:val="003535D4"/>
    <w:rsid w:val="00353E93"/>
    <w:rsid w:val="00354864"/>
    <w:rsid w:val="003560AD"/>
    <w:rsid w:val="003562A8"/>
    <w:rsid w:val="0035654F"/>
    <w:rsid w:val="003566AE"/>
    <w:rsid w:val="003611C0"/>
    <w:rsid w:val="00362765"/>
    <w:rsid w:val="00362C7E"/>
    <w:rsid w:val="003639F1"/>
    <w:rsid w:val="00364713"/>
    <w:rsid w:val="00364740"/>
    <w:rsid w:val="003656AC"/>
    <w:rsid w:val="00365A45"/>
    <w:rsid w:val="00367362"/>
    <w:rsid w:val="00367C9B"/>
    <w:rsid w:val="00371641"/>
    <w:rsid w:val="00372ADF"/>
    <w:rsid w:val="00374BAC"/>
    <w:rsid w:val="00374F97"/>
    <w:rsid w:val="0037653C"/>
    <w:rsid w:val="00377195"/>
    <w:rsid w:val="00381B05"/>
    <w:rsid w:val="00381D23"/>
    <w:rsid w:val="0038440F"/>
    <w:rsid w:val="00384B11"/>
    <w:rsid w:val="00385719"/>
    <w:rsid w:val="0038608D"/>
    <w:rsid w:val="003875AC"/>
    <w:rsid w:val="00391037"/>
    <w:rsid w:val="00391BF1"/>
    <w:rsid w:val="00394C94"/>
    <w:rsid w:val="00395CC4"/>
    <w:rsid w:val="00395E95"/>
    <w:rsid w:val="00395F9F"/>
    <w:rsid w:val="003960C5"/>
    <w:rsid w:val="003964B3"/>
    <w:rsid w:val="00397123"/>
    <w:rsid w:val="003A01CC"/>
    <w:rsid w:val="003A1036"/>
    <w:rsid w:val="003A1BD7"/>
    <w:rsid w:val="003A1D56"/>
    <w:rsid w:val="003A1DAA"/>
    <w:rsid w:val="003A21CF"/>
    <w:rsid w:val="003A2F6A"/>
    <w:rsid w:val="003A36AE"/>
    <w:rsid w:val="003A3F56"/>
    <w:rsid w:val="003A413F"/>
    <w:rsid w:val="003A4487"/>
    <w:rsid w:val="003A49F8"/>
    <w:rsid w:val="003A4BE5"/>
    <w:rsid w:val="003A6835"/>
    <w:rsid w:val="003A71FE"/>
    <w:rsid w:val="003A7487"/>
    <w:rsid w:val="003A7BCC"/>
    <w:rsid w:val="003A7F6A"/>
    <w:rsid w:val="003B0B39"/>
    <w:rsid w:val="003B2A65"/>
    <w:rsid w:val="003B409E"/>
    <w:rsid w:val="003B418B"/>
    <w:rsid w:val="003B4275"/>
    <w:rsid w:val="003B4AF0"/>
    <w:rsid w:val="003B61F7"/>
    <w:rsid w:val="003B65A6"/>
    <w:rsid w:val="003B66E9"/>
    <w:rsid w:val="003B6D73"/>
    <w:rsid w:val="003B753D"/>
    <w:rsid w:val="003B765C"/>
    <w:rsid w:val="003C196B"/>
    <w:rsid w:val="003C2F29"/>
    <w:rsid w:val="003C50FA"/>
    <w:rsid w:val="003C5BA8"/>
    <w:rsid w:val="003C65CD"/>
    <w:rsid w:val="003C6623"/>
    <w:rsid w:val="003D1488"/>
    <w:rsid w:val="003D164B"/>
    <w:rsid w:val="003D16E9"/>
    <w:rsid w:val="003D320F"/>
    <w:rsid w:val="003D3652"/>
    <w:rsid w:val="003D3A6D"/>
    <w:rsid w:val="003D47D3"/>
    <w:rsid w:val="003D4892"/>
    <w:rsid w:val="003D49BC"/>
    <w:rsid w:val="003D60B8"/>
    <w:rsid w:val="003D6BFC"/>
    <w:rsid w:val="003D7597"/>
    <w:rsid w:val="003D7D35"/>
    <w:rsid w:val="003E0F8A"/>
    <w:rsid w:val="003E1888"/>
    <w:rsid w:val="003E2538"/>
    <w:rsid w:val="003E2D51"/>
    <w:rsid w:val="003E3A37"/>
    <w:rsid w:val="003E5955"/>
    <w:rsid w:val="003E6F7E"/>
    <w:rsid w:val="003E72C5"/>
    <w:rsid w:val="003E7718"/>
    <w:rsid w:val="003E7E9F"/>
    <w:rsid w:val="003F0148"/>
    <w:rsid w:val="003F01E2"/>
    <w:rsid w:val="003F1AFE"/>
    <w:rsid w:val="003F2779"/>
    <w:rsid w:val="003F2A23"/>
    <w:rsid w:val="003F2C81"/>
    <w:rsid w:val="003F44C3"/>
    <w:rsid w:val="003F4AB2"/>
    <w:rsid w:val="003F4ED0"/>
    <w:rsid w:val="003F54B5"/>
    <w:rsid w:val="003F7A1B"/>
    <w:rsid w:val="003F7F60"/>
    <w:rsid w:val="00400213"/>
    <w:rsid w:val="00402998"/>
    <w:rsid w:val="00402D2D"/>
    <w:rsid w:val="004030B9"/>
    <w:rsid w:val="00403D6B"/>
    <w:rsid w:val="00403DF2"/>
    <w:rsid w:val="00404CB4"/>
    <w:rsid w:val="0040649E"/>
    <w:rsid w:val="00406ACB"/>
    <w:rsid w:val="00407063"/>
    <w:rsid w:val="004072F7"/>
    <w:rsid w:val="00410AE0"/>
    <w:rsid w:val="004110A9"/>
    <w:rsid w:val="00411748"/>
    <w:rsid w:val="0041298A"/>
    <w:rsid w:val="004132D4"/>
    <w:rsid w:val="00413375"/>
    <w:rsid w:val="00414D97"/>
    <w:rsid w:val="004166A5"/>
    <w:rsid w:val="0041694E"/>
    <w:rsid w:val="0041754B"/>
    <w:rsid w:val="00417653"/>
    <w:rsid w:val="0041774F"/>
    <w:rsid w:val="00417ADA"/>
    <w:rsid w:val="00417BB1"/>
    <w:rsid w:val="0042054A"/>
    <w:rsid w:val="004206F7"/>
    <w:rsid w:val="00420922"/>
    <w:rsid w:val="00421A49"/>
    <w:rsid w:val="0042316C"/>
    <w:rsid w:val="0042318F"/>
    <w:rsid w:val="004235EF"/>
    <w:rsid w:val="004238CA"/>
    <w:rsid w:val="00425431"/>
    <w:rsid w:val="00427215"/>
    <w:rsid w:val="00430CD6"/>
    <w:rsid w:val="00430D7B"/>
    <w:rsid w:val="00431C09"/>
    <w:rsid w:val="0043554D"/>
    <w:rsid w:val="00436BD0"/>
    <w:rsid w:val="00437CB1"/>
    <w:rsid w:val="00440ACA"/>
    <w:rsid w:val="00440EFB"/>
    <w:rsid w:val="00441185"/>
    <w:rsid w:val="00441F8A"/>
    <w:rsid w:val="00443364"/>
    <w:rsid w:val="004436D3"/>
    <w:rsid w:val="00444897"/>
    <w:rsid w:val="00446052"/>
    <w:rsid w:val="00446A27"/>
    <w:rsid w:val="00447338"/>
    <w:rsid w:val="004475E7"/>
    <w:rsid w:val="004503A7"/>
    <w:rsid w:val="00450E9C"/>
    <w:rsid w:val="004541FC"/>
    <w:rsid w:val="00455728"/>
    <w:rsid w:val="00456EEF"/>
    <w:rsid w:val="00457612"/>
    <w:rsid w:val="004578EA"/>
    <w:rsid w:val="00457B49"/>
    <w:rsid w:val="00457B93"/>
    <w:rsid w:val="004602A4"/>
    <w:rsid w:val="00461845"/>
    <w:rsid w:val="00463669"/>
    <w:rsid w:val="00463E8D"/>
    <w:rsid w:val="004647D9"/>
    <w:rsid w:val="00465382"/>
    <w:rsid w:val="0046569F"/>
    <w:rsid w:val="00465F93"/>
    <w:rsid w:val="00466111"/>
    <w:rsid w:val="00467F5E"/>
    <w:rsid w:val="00471624"/>
    <w:rsid w:val="00472193"/>
    <w:rsid w:val="004725EE"/>
    <w:rsid w:val="00472BE3"/>
    <w:rsid w:val="00472C34"/>
    <w:rsid w:val="00473860"/>
    <w:rsid w:val="00473E5B"/>
    <w:rsid w:val="00473ECE"/>
    <w:rsid w:val="004751B8"/>
    <w:rsid w:val="004761E2"/>
    <w:rsid w:val="004766A3"/>
    <w:rsid w:val="00476FC3"/>
    <w:rsid w:val="00477C27"/>
    <w:rsid w:val="00477C44"/>
    <w:rsid w:val="00481299"/>
    <w:rsid w:val="00482C33"/>
    <w:rsid w:val="00483511"/>
    <w:rsid w:val="004843FA"/>
    <w:rsid w:val="004846F9"/>
    <w:rsid w:val="00484ED2"/>
    <w:rsid w:val="00484F89"/>
    <w:rsid w:val="00485FC9"/>
    <w:rsid w:val="004860F1"/>
    <w:rsid w:val="0048639F"/>
    <w:rsid w:val="004865DE"/>
    <w:rsid w:val="0048661D"/>
    <w:rsid w:val="00490157"/>
    <w:rsid w:val="00490490"/>
    <w:rsid w:val="00490E8C"/>
    <w:rsid w:val="004911B8"/>
    <w:rsid w:val="0049250B"/>
    <w:rsid w:val="0049296C"/>
    <w:rsid w:val="00492AA0"/>
    <w:rsid w:val="00492D89"/>
    <w:rsid w:val="0049353B"/>
    <w:rsid w:val="00494C2A"/>
    <w:rsid w:val="00496932"/>
    <w:rsid w:val="004978EE"/>
    <w:rsid w:val="004A0B37"/>
    <w:rsid w:val="004A14AE"/>
    <w:rsid w:val="004A15FD"/>
    <w:rsid w:val="004A2AA5"/>
    <w:rsid w:val="004A3AE9"/>
    <w:rsid w:val="004A5B1B"/>
    <w:rsid w:val="004B1D54"/>
    <w:rsid w:val="004B1E2F"/>
    <w:rsid w:val="004B25BA"/>
    <w:rsid w:val="004B29A0"/>
    <w:rsid w:val="004B2BB5"/>
    <w:rsid w:val="004B3CB1"/>
    <w:rsid w:val="004B438B"/>
    <w:rsid w:val="004B559E"/>
    <w:rsid w:val="004B7FF2"/>
    <w:rsid w:val="004C0F3A"/>
    <w:rsid w:val="004C2452"/>
    <w:rsid w:val="004C2EA7"/>
    <w:rsid w:val="004C3452"/>
    <w:rsid w:val="004C5128"/>
    <w:rsid w:val="004C51AD"/>
    <w:rsid w:val="004C6887"/>
    <w:rsid w:val="004D00AF"/>
    <w:rsid w:val="004D07F1"/>
    <w:rsid w:val="004D15BC"/>
    <w:rsid w:val="004D1AA5"/>
    <w:rsid w:val="004D1C49"/>
    <w:rsid w:val="004D377A"/>
    <w:rsid w:val="004D39D7"/>
    <w:rsid w:val="004D5FBC"/>
    <w:rsid w:val="004D65EE"/>
    <w:rsid w:val="004D68E6"/>
    <w:rsid w:val="004D75A1"/>
    <w:rsid w:val="004E0942"/>
    <w:rsid w:val="004E216F"/>
    <w:rsid w:val="004E25AB"/>
    <w:rsid w:val="004E3EC2"/>
    <w:rsid w:val="004E44DE"/>
    <w:rsid w:val="004E48E7"/>
    <w:rsid w:val="004E5C32"/>
    <w:rsid w:val="004E70FE"/>
    <w:rsid w:val="004E740B"/>
    <w:rsid w:val="004E7668"/>
    <w:rsid w:val="004E7D96"/>
    <w:rsid w:val="004F06C7"/>
    <w:rsid w:val="004F103C"/>
    <w:rsid w:val="004F1084"/>
    <w:rsid w:val="004F1DE0"/>
    <w:rsid w:val="004F50C6"/>
    <w:rsid w:val="005014C4"/>
    <w:rsid w:val="00501C96"/>
    <w:rsid w:val="00502570"/>
    <w:rsid w:val="00503B43"/>
    <w:rsid w:val="00504125"/>
    <w:rsid w:val="005063E1"/>
    <w:rsid w:val="00507C0B"/>
    <w:rsid w:val="00510911"/>
    <w:rsid w:val="00513B53"/>
    <w:rsid w:val="005142DC"/>
    <w:rsid w:val="0051482E"/>
    <w:rsid w:val="00514A44"/>
    <w:rsid w:val="005151D1"/>
    <w:rsid w:val="00515CF6"/>
    <w:rsid w:val="005165A4"/>
    <w:rsid w:val="0051680A"/>
    <w:rsid w:val="00516F23"/>
    <w:rsid w:val="00517680"/>
    <w:rsid w:val="0052005E"/>
    <w:rsid w:val="0052216F"/>
    <w:rsid w:val="0052446D"/>
    <w:rsid w:val="00527092"/>
    <w:rsid w:val="0053388C"/>
    <w:rsid w:val="00533B8D"/>
    <w:rsid w:val="00535DCA"/>
    <w:rsid w:val="00536131"/>
    <w:rsid w:val="00536267"/>
    <w:rsid w:val="005369AB"/>
    <w:rsid w:val="00541A8E"/>
    <w:rsid w:val="00541E86"/>
    <w:rsid w:val="00542FB8"/>
    <w:rsid w:val="005436FA"/>
    <w:rsid w:val="00543958"/>
    <w:rsid w:val="00543CB9"/>
    <w:rsid w:val="00544B8B"/>
    <w:rsid w:val="005461E3"/>
    <w:rsid w:val="005462FD"/>
    <w:rsid w:val="0054651C"/>
    <w:rsid w:val="00546E83"/>
    <w:rsid w:val="0054761E"/>
    <w:rsid w:val="00550D7C"/>
    <w:rsid w:val="00553271"/>
    <w:rsid w:val="0055362B"/>
    <w:rsid w:val="005554F3"/>
    <w:rsid w:val="00556234"/>
    <w:rsid w:val="00557EFB"/>
    <w:rsid w:val="00557FA9"/>
    <w:rsid w:val="00560243"/>
    <w:rsid w:val="00560A4F"/>
    <w:rsid w:val="00560B80"/>
    <w:rsid w:val="00561F82"/>
    <w:rsid w:val="00564A7F"/>
    <w:rsid w:val="005661A3"/>
    <w:rsid w:val="00566C6E"/>
    <w:rsid w:val="00566FCC"/>
    <w:rsid w:val="0056741C"/>
    <w:rsid w:val="0056761C"/>
    <w:rsid w:val="005676B6"/>
    <w:rsid w:val="0057131D"/>
    <w:rsid w:val="005721AE"/>
    <w:rsid w:val="00572879"/>
    <w:rsid w:val="00573780"/>
    <w:rsid w:val="00574A92"/>
    <w:rsid w:val="005752F9"/>
    <w:rsid w:val="005772A2"/>
    <w:rsid w:val="00577E41"/>
    <w:rsid w:val="005802EF"/>
    <w:rsid w:val="005803C9"/>
    <w:rsid w:val="005812FE"/>
    <w:rsid w:val="00582637"/>
    <w:rsid w:val="00583895"/>
    <w:rsid w:val="00583ABF"/>
    <w:rsid w:val="00584E62"/>
    <w:rsid w:val="00586299"/>
    <w:rsid w:val="005865ED"/>
    <w:rsid w:val="00586A95"/>
    <w:rsid w:val="00586FB9"/>
    <w:rsid w:val="00586FDE"/>
    <w:rsid w:val="00587D40"/>
    <w:rsid w:val="005904BD"/>
    <w:rsid w:val="005915D7"/>
    <w:rsid w:val="005918C7"/>
    <w:rsid w:val="00592F51"/>
    <w:rsid w:val="005939D6"/>
    <w:rsid w:val="005952B7"/>
    <w:rsid w:val="005959D5"/>
    <w:rsid w:val="00595FB0"/>
    <w:rsid w:val="0059616A"/>
    <w:rsid w:val="00596C26"/>
    <w:rsid w:val="00596FAD"/>
    <w:rsid w:val="0059704C"/>
    <w:rsid w:val="005A08C4"/>
    <w:rsid w:val="005A190D"/>
    <w:rsid w:val="005A2C5A"/>
    <w:rsid w:val="005A34BA"/>
    <w:rsid w:val="005A4A5D"/>
    <w:rsid w:val="005A6DD4"/>
    <w:rsid w:val="005A6F3C"/>
    <w:rsid w:val="005A7390"/>
    <w:rsid w:val="005A7608"/>
    <w:rsid w:val="005A7B09"/>
    <w:rsid w:val="005B08E1"/>
    <w:rsid w:val="005B1652"/>
    <w:rsid w:val="005B18F2"/>
    <w:rsid w:val="005B1B46"/>
    <w:rsid w:val="005B2167"/>
    <w:rsid w:val="005B27BE"/>
    <w:rsid w:val="005B2952"/>
    <w:rsid w:val="005B2FB9"/>
    <w:rsid w:val="005B33AF"/>
    <w:rsid w:val="005B409C"/>
    <w:rsid w:val="005B5432"/>
    <w:rsid w:val="005B5B6E"/>
    <w:rsid w:val="005B6CEB"/>
    <w:rsid w:val="005B73EB"/>
    <w:rsid w:val="005B7ADE"/>
    <w:rsid w:val="005C033E"/>
    <w:rsid w:val="005C0DA7"/>
    <w:rsid w:val="005C0E65"/>
    <w:rsid w:val="005C1751"/>
    <w:rsid w:val="005C204E"/>
    <w:rsid w:val="005C5075"/>
    <w:rsid w:val="005C56EC"/>
    <w:rsid w:val="005C5798"/>
    <w:rsid w:val="005C5E88"/>
    <w:rsid w:val="005C604A"/>
    <w:rsid w:val="005C6D42"/>
    <w:rsid w:val="005C7740"/>
    <w:rsid w:val="005C790A"/>
    <w:rsid w:val="005C7CC9"/>
    <w:rsid w:val="005C7CFC"/>
    <w:rsid w:val="005D18D2"/>
    <w:rsid w:val="005D3281"/>
    <w:rsid w:val="005D34B6"/>
    <w:rsid w:val="005D4479"/>
    <w:rsid w:val="005D49F0"/>
    <w:rsid w:val="005D4C74"/>
    <w:rsid w:val="005E02D1"/>
    <w:rsid w:val="005E1BE0"/>
    <w:rsid w:val="005E2A35"/>
    <w:rsid w:val="005E3EBB"/>
    <w:rsid w:val="005E4045"/>
    <w:rsid w:val="005E4316"/>
    <w:rsid w:val="005E435C"/>
    <w:rsid w:val="005E45D5"/>
    <w:rsid w:val="005E5705"/>
    <w:rsid w:val="005E5961"/>
    <w:rsid w:val="005E59B2"/>
    <w:rsid w:val="005E5F08"/>
    <w:rsid w:val="005E6350"/>
    <w:rsid w:val="005E7710"/>
    <w:rsid w:val="005F07F8"/>
    <w:rsid w:val="005F0F7A"/>
    <w:rsid w:val="005F1B13"/>
    <w:rsid w:val="005F24E1"/>
    <w:rsid w:val="005F293F"/>
    <w:rsid w:val="005F369C"/>
    <w:rsid w:val="005F3E71"/>
    <w:rsid w:val="005F680E"/>
    <w:rsid w:val="005F714A"/>
    <w:rsid w:val="00600BDA"/>
    <w:rsid w:val="00600D2E"/>
    <w:rsid w:val="006014F6"/>
    <w:rsid w:val="00601CCE"/>
    <w:rsid w:val="0060231C"/>
    <w:rsid w:val="00603165"/>
    <w:rsid w:val="00604FDD"/>
    <w:rsid w:val="00605241"/>
    <w:rsid w:val="006052DD"/>
    <w:rsid w:val="00605591"/>
    <w:rsid w:val="006070D6"/>
    <w:rsid w:val="00610345"/>
    <w:rsid w:val="00610D9A"/>
    <w:rsid w:val="006117D2"/>
    <w:rsid w:val="00611ABE"/>
    <w:rsid w:val="00612484"/>
    <w:rsid w:val="00612BF4"/>
    <w:rsid w:val="006144D7"/>
    <w:rsid w:val="00614FAC"/>
    <w:rsid w:val="00615005"/>
    <w:rsid w:val="00615195"/>
    <w:rsid w:val="00615978"/>
    <w:rsid w:val="00615F74"/>
    <w:rsid w:val="00616110"/>
    <w:rsid w:val="00616B5E"/>
    <w:rsid w:val="006174FB"/>
    <w:rsid w:val="00617958"/>
    <w:rsid w:val="006207C8"/>
    <w:rsid w:val="006207E5"/>
    <w:rsid w:val="00620A19"/>
    <w:rsid w:val="00620F83"/>
    <w:rsid w:val="006213C4"/>
    <w:rsid w:val="006229DE"/>
    <w:rsid w:val="00622B7E"/>
    <w:rsid w:val="00622C1F"/>
    <w:rsid w:val="00623080"/>
    <w:rsid w:val="00623EFA"/>
    <w:rsid w:val="006247D9"/>
    <w:rsid w:val="00624E96"/>
    <w:rsid w:val="006258C1"/>
    <w:rsid w:val="006319FF"/>
    <w:rsid w:val="00632008"/>
    <w:rsid w:val="0063272A"/>
    <w:rsid w:val="00633293"/>
    <w:rsid w:val="006341DF"/>
    <w:rsid w:val="00634BEC"/>
    <w:rsid w:val="00635BAD"/>
    <w:rsid w:val="00635DBF"/>
    <w:rsid w:val="00635F9F"/>
    <w:rsid w:val="00640006"/>
    <w:rsid w:val="006410AF"/>
    <w:rsid w:val="00641B31"/>
    <w:rsid w:val="00642F93"/>
    <w:rsid w:val="0064442B"/>
    <w:rsid w:val="00646565"/>
    <w:rsid w:val="006469F7"/>
    <w:rsid w:val="0064713D"/>
    <w:rsid w:val="006473C5"/>
    <w:rsid w:val="00651DB8"/>
    <w:rsid w:val="00652FEB"/>
    <w:rsid w:val="00653C85"/>
    <w:rsid w:val="00653D94"/>
    <w:rsid w:val="00654C5E"/>
    <w:rsid w:val="00654CAA"/>
    <w:rsid w:val="006558CF"/>
    <w:rsid w:val="00655C76"/>
    <w:rsid w:val="00656F77"/>
    <w:rsid w:val="00657600"/>
    <w:rsid w:val="00657C61"/>
    <w:rsid w:val="00660BE3"/>
    <w:rsid w:val="0066155D"/>
    <w:rsid w:val="00662817"/>
    <w:rsid w:val="00663276"/>
    <w:rsid w:val="00664FE7"/>
    <w:rsid w:val="00665570"/>
    <w:rsid w:val="00665606"/>
    <w:rsid w:val="006656F3"/>
    <w:rsid w:val="00665B6E"/>
    <w:rsid w:val="00666533"/>
    <w:rsid w:val="00666688"/>
    <w:rsid w:val="006700F4"/>
    <w:rsid w:val="006704FA"/>
    <w:rsid w:val="006715B0"/>
    <w:rsid w:val="0067218C"/>
    <w:rsid w:val="00672DB3"/>
    <w:rsid w:val="0067319A"/>
    <w:rsid w:val="00673335"/>
    <w:rsid w:val="0067364A"/>
    <w:rsid w:val="00673CA1"/>
    <w:rsid w:val="00674A9C"/>
    <w:rsid w:val="00674E62"/>
    <w:rsid w:val="006766AA"/>
    <w:rsid w:val="00680054"/>
    <w:rsid w:val="00680B46"/>
    <w:rsid w:val="006821F9"/>
    <w:rsid w:val="00683210"/>
    <w:rsid w:val="0068368F"/>
    <w:rsid w:val="00684257"/>
    <w:rsid w:val="00686089"/>
    <w:rsid w:val="00686C2C"/>
    <w:rsid w:val="00690785"/>
    <w:rsid w:val="00691DA8"/>
    <w:rsid w:val="00691E1C"/>
    <w:rsid w:val="006939E9"/>
    <w:rsid w:val="0069406D"/>
    <w:rsid w:val="00694A31"/>
    <w:rsid w:val="00694CF3"/>
    <w:rsid w:val="00695C85"/>
    <w:rsid w:val="00696370"/>
    <w:rsid w:val="00697960"/>
    <w:rsid w:val="006A0036"/>
    <w:rsid w:val="006A090F"/>
    <w:rsid w:val="006A24C0"/>
    <w:rsid w:val="006A32B1"/>
    <w:rsid w:val="006A61C0"/>
    <w:rsid w:val="006A691D"/>
    <w:rsid w:val="006A7985"/>
    <w:rsid w:val="006A7ED3"/>
    <w:rsid w:val="006B1156"/>
    <w:rsid w:val="006B1186"/>
    <w:rsid w:val="006B3B1D"/>
    <w:rsid w:val="006B3D64"/>
    <w:rsid w:val="006B43FC"/>
    <w:rsid w:val="006B4CDA"/>
    <w:rsid w:val="006B5227"/>
    <w:rsid w:val="006B5455"/>
    <w:rsid w:val="006B545D"/>
    <w:rsid w:val="006B561E"/>
    <w:rsid w:val="006B6715"/>
    <w:rsid w:val="006B6A09"/>
    <w:rsid w:val="006C0F76"/>
    <w:rsid w:val="006C1A15"/>
    <w:rsid w:val="006C204C"/>
    <w:rsid w:val="006C2156"/>
    <w:rsid w:val="006C2BC0"/>
    <w:rsid w:val="006C2CC7"/>
    <w:rsid w:val="006C35E8"/>
    <w:rsid w:val="006C3A18"/>
    <w:rsid w:val="006C3AA1"/>
    <w:rsid w:val="006C3BA4"/>
    <w:rsid w:val="006C51E7"/>
    <w:rsid w:val="006C5620"/>
    <w:rsid w:val="006C6615"/>
    <w:rsid w:val="006C6A2B"/>
    <w:rsid w:val="006C7799"/>
    <w:rsid w:val="006C7DC2"/>
    <w:rsid w:val="006C7E6E"/>
    <w:rsid w:val="006D40C3"/>
    <w:rsid w:val="006D65BB"/>
    <w:rsid w:val="006D7F4E"/>
    <w:rsid w:val="006E015B"/>
    <w:rsid w:val="006E0245"/>
    <w:rsid w:val="006E20BA"/>
    <w:rsid w:val="006E24E9"/>
    <w:rsid w:val="006E2BA1"/>
    <w:rsid w:val="006E32E9"/>
    <w:rsid w:val="006E37A3"/>
    <w:rsid w:val="006E3A4F"/>
    <w:rsid w:val="006E3B87"/>
    <w:rsid w:val="006E3D42"/>
    <w:rsid w:val="006E52A1"/>
    <w:rsid w:val="006E6F0B"/>
    <w:rsid w:val="006F145F"/>
    <w:rsid w:val="006F1497"/>
    <w:rsid w:val="006F22E2"/>
    <w:rsid w:val="006F2F36"/>
    <w:rsid w:val="006F4655"/>
    <w:rsid w:val="006F5547"/>
    <w:rsid w:val="006F673D"/>
    <w:rsid w:val="0070033E"/>
    <w:rsid w:val="007007BC"/>
    <w:rsid w:val="00700B72"/>
    <w:rsid w:val="00700B8E"/>
    <w:rsid w:val="00701593"/>
    <w:rsid w:val="00701FC0"/>
    <w:rsid w:val="00702294"/>
    <w:rsid w:val="00702C2B"/>
    <w:rsid w:val="00702F9C"/>
    <w:rsid w:val="00704E26"/>
    <w:rsid w:val="00705EDD"/>
    <w:rsid w:val="00707676"/>
    <w:rsid w:val="007102AD"/>
    <w:rsid w:val="00710EF8"/>
    <w:rsid w:val="00711A31"/>
    <w:rsid w:val="00711C8A"/>
    <w:rsid w:val="00711CE0"/>
    <w:rsid w:val="00711EE2"/>
    <w:rsid w:val="00712541"/>
    <w:rsid w:val="00712CF3"/>
    <w:rsid w:val="007135A8"/>
    <w:rsid w:val="00714514"/>
    <w:rsid w:val="00714856"/>
    <w:rsid w:val="00714893"/>
    <w:rsid w:val="007155BE"/>
    <w:rsid w:val="00715F87"/>
    <w:rsid w:val="00716BC8"/>
    <w:rsid w:val="00716D93"/>
    <w:rsid w:val="00720E9C"/>
    <w:rsid w:val="0072194C"/>
    <w:rsid w:val="007236FB"/>
    <w:rsid w:val="007254EF"/>
    <w:rsid w:val="00725BD0"/>
    <w:rsid w:val="00725F56"/>
    <w:rsid w:val="007263AE"/>
    <w:rsid w:val="007272CF"/>
    <w:rsid w:val="00727711"/>
    <w:rsid w:val="00730A5C"/>
    <w:rsid w:val="00730DA3"/>
    <w:rsid w:val="00730F9F"/>
    <w:rsid w:val="0073201D"/>
    <w:rsid w:val="007321B5"/>
    <w:rsid w:val="007322F3"/>
    <w:rsid w:val="00732A46"/>
    <w:rsid w:val="007352E9"/>
    <w:rsid w:val="00736257"/>
    <w:rsid w:val="00736C08"/>
    <w:rsid w:val="00737495"/>
    <w:rsid w:val="0074067A"/>
    <w:rsid w:val="0074070D"/>
    <w:rsid w:val="007415D1"/>
    <w:rsid w:val="00742E02"/>
    <w:rsid w:val="00743332"/>
    <w:rsid w:val="00743470"/>
    <w:rsid w:val="00743829"/>
    <w:rsid w:val="00744970"/>
    <w:rsid w:val="00745661"/>
    <w:rsid w:val="00745F19"/>
    <w:rsid w:val="00746039"/>
    <w:rsid w:val="00747341"/>
    <w:rsid w:val="007473B0"/>
    <w:rsid w:val="0074773D"/>
    <w:rsid w:val="00747E06"/>
    <w:rsid w:val="007502AA"/>
    <w:rsid w:val="00750B2E"/>
    <w:rsid w:val="00751E8D"/>
    <w:rsid w:val="007538C9"/>
    <w:rsid w:val="00754000"/>
    <w:rsid w:val="00754076"/>
    <w:rsid w:val="007543D0"/>
    <w:rsid w:val="00756FCC"/>
    <w:rsid w:val="00760743"/>
    <w:rsid w:val="00761332"/>
    <w:rsid w:val="0076259A"/>
    <w:rsid w:val="007626A2"/>
    <w:rsid w:val="00762C90"/>
    <w:rsid w:val="00762CA6"/>
    <w:rsid w:val="007649F4"/>
    <w:rsid w:val="00764C8D"/>
    <w:rsid w:val="00764DD9"/>
    <w:rsid w:val="00765311"/>
    <w:rsid w:val="0076532B"/>
    <w:rsid w:val="00765CAC"/>
    <w:rsid w:val="00765F35"/>
    <w:rsid w:val="0076639C"/>
    <w:rsid w:val="00766FE1"/>
    <w:rsid w:val="007673F7"/>
    <w:rsid w:val="0077014B"/>
    <w:rsid w:val="00770A41"/>
    <w:rsid w:val="007722C6"/>
    <w:rsid w:val="0077370D"/>
    <w:rsid w:val="0077379D"/>
    <w:rsid w:val="007742C3"/>
    <w:rsid w:val="00774894"/>
    <w:rsid w:val="00776857"/>
    <w:rsid w:val="00776F64"/>
    <w:rsid w:val="00777B4B"/>
    <w:rsid w:val="007805CE"/>
    <w:rsid w:val="007810FA"/>
    <w:rsid w:val="007811CC"/>
    <w:rsid w:val="0078163E"/>
    <w:rsid w:val="00781811"/>
    <w:rsid w:val="0078195A"/>
    <w:rsid w:val="00782C4A"/>
    <w:rsid w:val="0078359A"/>
    <w:rsid w:val="00783913"/>
    <w:rsid w:val="00783E56"/>
    <w:rsid w:val="007847C9"/>
    <w:rsid w:val="007852E3"/>
    <w:rsid w:val="00785C7D"/>
    <w:rsid w:val="00786988"/>
    <w:rsid w:val="007874F8"/>
    <w:rsid w:val="00790ADB"/>
    <w:rsid w:val="00790B3D"/>
    <w:rsid w:val="0079115B"/>
    <w:rsid w:val="00791402"/>
    <w:rsid w:val="007921A3"/>
    <w:rsid w:val="007928B9"/>
    <w:rsid w:val="00792E1D"/>
    <w:rsid w:val="00794445"/>
    <w:rsid w:val="007949B0"/>
    <w:rsid w:val="0079523F"/>
    <w:rsid w:val="00795604"/>
    <w:rsid w:val="00796089"/>
    <w:rsid w:val="00796696"/>
    <w:rsid w:val="00797B29"/>
    <w:rsid w:val="00797F15"/>
    <w:rsid w:val="007A0406"/>
    <w:rsid w:val="007A100D"/>
    <w:rsid w:val="007A1C9C"/>
    <w:rsid w:val="007A5EB4"/>
    <w:rsid w:val="007A60C5"/>
    <w:rsid w:val="007A610F"/>
    <w:rsid w:val="007A728A"/>
    <w:rsid w:val="007A7831"/>
    <w:rsid w:val="007B16DB"/>
    <w:rsid w:val="007B1DA8"/>
    <w:rsid w:val="007B41E2"/>
    <w:rsid w:val="007B42E0"/>
    <w:rsid w:val="007B51F6"/>
    <w:rsid w:val="007B5D88"/>
    <w:rsid w:val="007B6428"/>
    <w:rsid w:val="007C0D9A"/>
    <w:rsid w:val="007C1E2F"/>
    <w:rsid w:val="007C24AE"/>
    <w:rsid w:val="007C3256"/>
    <w:rsid w:val="007C3C10"/>
    <w:rsid w:val="007C4014"/>
    <w:rsid w:val="007C57A0"/>
    <w:rsid w:val="007C67E7"/>
    <w:rsid w:val="007C6EB8"/>
    <w:rsid w:val="007C6F3C"/>
    <w:rsid w:val="007C7DA4"/>
    <w:rsid w:val="007D1536"/>
    <w:rsid w:val="007D1773"/>
    <w:rsid w:val="007D2CF6"/>
    <w:rsid w:val="007D4920"/>
    <w:rsid w:val="007D4C49"/>
    <w:rsid w:val="007D4E5B"/>
    <w:rsid w:val="007E0833"/>
    <w:rsid w:val="007E0B67"/>
    <w:rsid w:val="007E279E"/>
    <w:rsid w:val="007E2CAB"/>
    <w:rsid w:val="007E3185"/>
    <w:rsid w:val="007E319F"/>
    <w:rsid w:val="007E34FA"/>
    <w:rsid w:val="007E4164"/>
    <w:rsid w:val="007E4260"/>
    <w:rsid w:val="007E5F9D"/>
    <w:rsid w:val="007E6991"/>
    <w:rsid w:val="007E6C6E"/>
    <w:rsid w:val="007E6C9F"/>
    <w:rsid w:val="007E7569"/>
    <w:rsid w:val="007E77C7"/>
    <w:rsid w:val="007E77EE"/>
    <w:rsid w:val="007F0127"/>
    <w:rsid w:val="007F0B60"/>
    <w:rsid w:val="007F2278"/>
    <w:rsid w:val="007F35A3"/>
    <w:rsid w:val="007F3995"/>
    <w:rsid w:val="007F3DCC"/>
    <w:rsid w:val="007F44A9"/>
    <w:rsid w:val="007F5689"/>
    <w:rsid w:val="007F5F7B"/>
    <w:rsid w:val="007F613A"/>
    <w:rsid w:val="007F65F5"/>
    <w:rsid w:val="007F668B"/>
    <w:rsid w:val="007F6C91"/>
    <w:rsid w:val="007F6DE5"/>
    <w:rsid w:val="007F7205"/>
    <w:rsid w:val="007F722C"/>
    <w:rsid w:val="007F7B39"/>
    <w:rsid w:val="008007E5"/>
    <w:rsid w:val="008008D8"/>
    <w:rsid w:val="00800FDD"/>
    <w:rsid w:val="00801F44"/>
    <w:rsid w:val="008036F9"/>
    <w:rsid w:val="00804C99"/>
    <w:rsid w:val="008055AB"/>
    <w:rsid w:val="0080560E"/>
    <w:rsid w:val="00805F3F"/>
    <w:rsid w:val="00806CB3"/>
    <w:rsid w:val="00806F00"/>
    <w:rsid w:val="00807957"/>
    <w:rsid w:val="008100B3"/>
    <w:rsid w:val="008104F9"/>
    <w:rsid w:val="00810A90"/>
    <w:rsid w:val="00810DB3"/>
    <w:rsid w:val="008111D5"/>
    <w:rsid w:val="00812336"/>
    <w:rsid w:val="00812534"/>
    <w:rsid w:val="008139C6"/>
    <w:rsid w:val="00813A93"/>
    <w:rsid w:val="00816A5C"/>
    <w:rsid w:val="00817256"/>
    <w:rsid w:val="00817B39"/>
    <w:rsid w:val="008209B1"/>
    <w:rsid w:val="00820C27"/>
    <w:rsid w:val="00820F7A"/>
    <w:rsid w:val="00821D77"/>
    <w:rsid w:val="008237C6"/>
    <w:rsid w:val="008240F9"/>
    <w:rsid w:val="0082444A"/>
    <w:rsid w:val="008264AA"/>
    <w:rsid w:val="00826C8B"/>
    <w:rsid w:val="00827173"/>
    <w:rsid w:val="00830185"/>
    <w:rsid w:val="00832891"/>
    <w:rsid w:val="008328E9"/>
    <w:rsid w:val="00832B71"/>
    <w:rsid w:val="00832B8C"/>
    <w:rsid w:val="00832CD3"/>
    <w:rsid w:val="00833909"/>
    <w:rsid w:val="00834A8F"/>
    <w:rsid w:val="00835D54"/>
    <w:rsid w:val="00836DA1"/>
    <w:rsid w:val="00836FDD"/>
    <w:rsid w:val="0083745D"/>
    <w:rsid w:val="00837B1F"/>
    <w:rsid w:val="00840DAF"/>
    <w:rsid w:val="0084278E"/>
    <w:rsid w:val="0084418E"/>
    <w:rsid w:val="008452AA"/>
    <w:rsid w:val="008460D3"/>
    <w:rsid w:val="00847EB7"/>
    <w:rsid w:val="00851464"/>
    <w:rsid w:val="0085215C"/>
    <w:rsid w:val="00853333"/>
    <w:rsid w:val="008535E4"/>
    <w:rsid w:val="0085367C"/>
    <w:rsid w:val="00853A5C"/>
    <w:rsid w:val="00853A7F"/>
    <w:rsid w:val="00853C62"/>
    <w:rsid w:val="00853CA7"/>
    <w:rsid w:val="00854590"/>
    <w:rsid w:val="008549AA"/>
    <w:rsid w:val="0085555A"/>
    <w:rsid w:val="00855C98"/>
    <w:rsid w:val="00857AC8"/>
    <w:rsid w:val="00860199"/>
    <w:rsid w:val="008604C3"/>
    <w:rsid w:val="008613B5"/>
    <w:rsid w:val="00861565"/>
    <w:rsid w:val="00862436"/>
    <w:rsid w:val="00862538"/>
    <w:rsid w:val="00862F22"/>
    <w:rsid w:val="00863457"/>
    <w:rsid w:val="008635A3"/>
    <w:rsid w:val="008644A3"/>
    <w:rsid w:val="00865066"/>
    <w:rsid w:val="00865296"/>
    <w:rsid w:val="00865FF5"/>
    <w:rsid w:val="0086751A"/>
    <w:rsid w:val="00870856"/>
    <w:rsid w:val="00870AC0"/>
    <w:rsid w:val="00871AEF"/>
    <w:rsid w:val="00871CE5"/>
    <w:rsid w:val="00871F2A"/>
    <w:rsid w:val="00872CAE"/>
    <w:rsid w:val="008744A4"/>
    <w:rsid w:val="008777DD"/>
    <w:rsid w:val="00877B48"/>
    <w:rsid w:val="00877C34"/>
    <w:rsid w:val="00880A05"/>
    <w:rsid w:val="0088125D"/>
    <w:rsid w:val="00881431"/>
    <w:rsid w:val="00882F29"/>
    <w:rsid w:val="00883825"/>
    <w:rsid w:val="008843C2"/>
    <w:rsid w:val="008849C1"/>
    <w:rsid w:val="00884C0A"/>
    <w:rsid w:val="008859F3"/>
    <w:rsid w:val="00887811"/>
    <w:rsid w:val="00887893"/>
    <w:rsid w:val="0089044F"/>
    <w:rsid w:val="008909C3"/>
    <w:rsid w:val="0089103E"/>
    <w:rsid w:val="0089167A"/>
    <w:rsid w:val="00892678"/>
    <w:rsid w:val="00893130"/>
    <w:rsid w:val="00894530"/>
    <w:rsid w:val="00894773"/>
    <w:rsid w:val="008950EB"/>
    <w:rsid w:val="00896BE7"/>
    <w:rsid w:val="00897C6B"/>
    <w:rsid w:val="008A0256"/>
    <w:rsid w:val="008A0F5D"/>
    <w:rsid w:val="008A278F"/>
    <w:rsid w:val="008A3854"/>
    <w:rsid w:val="008A428B"/>
    <w:rsid w:val="008A4972"/>
    <w:rsid w:val="008A4BC0"/>
    <w:rsid w:val="008A679B"/>
    <w:rsid w:val="008A6B07"/>
    <w:rsid w:val="008A6B35"/>
    <w:rsid w:val="008A703F"/>
    <w:rsid w:val="008A75EE"/>
    <w:rsid w:val="008A7BBA"/>
    <w:rsid w:val="008A7BF2"/>
    <w:rsid w:val="008A7F46"/>
    <w:rsid w:val="008B0580"/>
    <w:rsid w:val="008B13A3"/>
    <w:rsid w:val="008B1BC6"/>
    <w:rsid w:val="008B367F"/>
    <w:rsid w:val="008B41EF"/>
    <w:rsid w:val="008B4F8C"/>
    <w:rsid w:val="008B56DC"/>
    <w:rsid w:val="008B5713"/>
    <w:rsid w:val="008B6755"/>
    <w:rsid w:val="008C1026"/>
    <w:rsid w:val="008C173F"/>
    <w:rsid w:val="008C1D32"/>
    <w:rsid w:val="008C268C"/>
    <w:rsid w:val="008C2A3C"/>
    <w:rsid w:val="008C5A59"/>
    <w:rsid w:val="008C72ED"/>
    <w:rsid w:val="008C769D"/>
    <w:rsid w:val="008C7D5B"/>
    <w:rsid w:val="008C7D70"/>
    <w:rsid w:val="008D02B9"/>
    <w:rsid w:val="008D0D48"/>
    <w:rsid w:val="008D0F4F"/>
    <w:rsid w:val="008D1322"/>
    <w:rsid w:val="008D139A"/>
    <w:rsid w:val="008D140C"/>
    <w:rsid w:val="008D2004"/>
    <w:rsid w:val="008D31E3"/>
    <w:rsid w:val="008D37A2"/>
    <w:rsid w:val="008D4AD9"/>
    <w:rsid w:val="008D520C"/>
    <w:rsid w:val="008D526A"/>
    <w:rsid w:val="008D6668"/>
    <w:rsid w:val="008D6D41"/>
    <w:rsid w:val="008D7BDC"/>
    <w:rsid w:val="008E0F13"/>
    <w:rsid w:val="008E1E77"/>
    <w:rsid w:val="008E1ECB"/>
    <w:rsid w:val="008E2ABD"/>
    <w:rsid w:val="008E2ACB"/>
    <w:rsid w:val="008E2C7F"/>
    <w:rsid w:val="008E35C8"/>
    <w:rsid w:val="008E39BE"/>
    <w:rsid w:val="008E3B04"/>
    <w:rsid w:val="008E3B87"/>
    <w:rsid w:val="008E4888"/>
    <w:rsid w:val="008E53AC"/>
    <w:rsid w:val="008E5581"/>
    <w:rsid w:val="008E5FC3"/>
    <w:rsid w:val="008E6F9B"/>
    <w:rsid w:val="008E7492"/>
    <w:rsid w:val="008E75A7"/>
    <w:rsid w:val="008E7858"/>
    <w:rsid w:val="008F0505"/>
    <w:rsid w:val="008F324B"/>
    <w:rsid w:val="008F405B"/>
    <w:rsid w:val="008F5B77"/>
    <w:rsid w:val="008F622C"/>
    <w:rsid w:val="008F6B88"/>
    <w:rsid w:val="008F763F"/>
    <w:rsid w:val="008F7FFC"/>
    <w:rsid w:val="00900334"/>
    <w:rsid w:val="0090046D"/>
    <w:rsid w:val="00900565"/>
    <w:rsid w:val="0090092E"/>
    <w:rsid w:val="00902273"/>
    <w:rsid w:val="009022C4"/>
    <w:rsid w:val="00902BA0"/>
    <w:rsid w:val="00902C8A"/>
    <w:rsid w:val="00903334"/>
    <w:rsid w:val="00903B75"/>
    <w:rsid w:val="009041D2"/>
    <w:rsid w:val="00904801"/>
    <w:rsid w:val="00904C90"/>
    <w:rsid w:val="00905BE2"/>
    <w:rsid w:val="00906DB1"/>
    <w:rsid w:val="009076EC"/>
    <w:rsid w:val="0091048C"/>
    <w:rsid w:val="0091085E"/>
    <w:rsid w:val="00913160"/>
    <w:rsid w:val="009135F2"/>
    <w:rsid w:val="00914890"/>
    <w:rsid w:val="00914E7B"/>
    <w:rsid w:val="00916F39"/>
    <w:rsid w:val="00917C9B"/>
    <w:rsid w:val="009209EF"/>
    <w:rsid w:val="00920B4D"/>
    <w:rsid w:val="0092190A"/>
    <w:rsid w:val="00921DC6"/>
    <w:rsid w:val="0092200A"/>
    <w:rsid w:val="009234AA"/>
    <w:rsid w:val="009236E3"/>
    <w:rsid w:val="00923AA3"/>
    <w:rsid w:val="009240B7"/>
    <w:rsid w:val="00925600"/>
    <w:rsid w:val="0092645C"/>
    <w:rsid w:val="0092694D"/>
    <w:rsid w:val="00926A1D"/>
    <w:rsid w:val="0092724F"/>
    <w:rsid w:val="00927845"/>
    <w:rsid w:val="0092799E"/>
    <w:rsid w:val="00930D89"/>
    <w:rsid w:val="0093311D"/>
    <w:rsid w:val="00934EF2"/>
    <w:rsid w:val="00935764"/>
    <w:rsid w:val="009369D3"/>
    <w:rsid w:val="00936D45"/>
    <w:rsid w:val="00940CE4"/>
    <w:rsid w:val="009413FF"/>
    <w:rsid w:val="00942724"/>
    <w:rsid w:val="00942A74"/>
    <w:rsid w:val="00942B15"/>
    <w:rsid w:val="00942EDF"/>
    <w:rsid w:val="00943267"/>
    <w:rsid w:val="0094404B"/>
    <w:rsid w:val="00944888"/>
    <w:rsid w:val="00944FBD"/>
    <w:rsid w:val="0094620D"/>
    <w:rsid w:val="00946584"/>
    <w:rsid w:val="00946A42"/>
    <w:rsid w:val="00946BBA"/>
    <w:rsid w:val="009479E8"/>
    <w:rsid w:val="00947AA8"/>
    <w:rsid w:val="0095108E"/>
    <w:rsid w:val="00951266"/>
    <w:rsid w:val="00951E90"/>
    <w:rsid w:val="00951EF1"/>
    <w:rsid w:val="009521FD"/>
    <w:rsid w:val="0095237F"/>
    <w:rsid w:val="00955127"/>
    <w:rsid w:val="00956360"/>
    <w:rsid w:val="00956D1A"/>
    <w:rsid w:val="00960647"/>
    <w:rsid w:val="0096074F"/>
    <w:rsid w:val="009609EB"/>
    <w:rsid w:val="00962546"/>
    <w:rsid w:val="009627A2"/>
    <w:rsid w:val="009631B7"/>
    <w:rsid w:val="00964A79"/>
    <w:rsid w:val="00964D85"/>
    <w:rsid w:val="009657B5"/>
    <w:rsid w:val="00965C54"/>
    <w:rsid w:val="00967257"/>
    <w:rsid w:val="00967600"/>
    <w:rsid w:val="0096764A"/>
    <w:rsid w:val="0096791A"/>
    <w:rsid w:val="00967EDA"/>
    <w:rsid w:val="009705B6"/>
    <w:rsid w:val="00971B33"/>
    <w:rsid w:val="00972074"/>
    <w:rsid w:val="00972B0E"/>
    <w:rsid w:val="00973E1D"/>
    <w:rsid w:val="00975361"/>
    <w:rsid w:val="0097611C"/>
    <w:rsid w:val="00976702"/>
    <w:rsid w:val="009769E6"/>
    <w:rsid w:val="00980810"/>
    <w:rsid w:val="00981008"/>
    <w:rsid w:val="0098205F"/>
    <w:rsid w:val="00983937"/>
    <w:rsid w:val="00983F51"/>
    <w:rsid w:val="00984F73"/>
    <w:rsid w:val="00985694"/>
    <w:rsid w:val="00987096"/>
    <w:rsid w:val="00990B00"/>
    <w:rsid w:val="00990B89"/>
    <w:rsid w:val="00990C7D"/>
    <w:rsid w:val="00991E67"/>
    <w:rsid w:val="00992014"/>
    <w:rsid w:val="00992735"/>
    <w:rsid w:val="00992F31"/>
    <w:rsid w:val="00995AA8"/>
    <w:rsid w:val="00997251"/>
    <w:rsid w:val="0099734D"/>
    <w:rsid w:val="00997E75"/>
    <w:rsid w:val="00997F31"/>
    <w:rsid w:val="009A0393"/>
    <w:rsid w:val="009A0EB0"/>
    <w:rsid w:val="009A15A5"/>
    <w:rsid w:val="009A16BC"/>
    <w:rsid w:val="009A19CF"/>
    <w:rsid w:val="009A2066"/>
    <w:rsid w:val="009A238F"/>
    <w:rsid w:val="009A2845"/>
    <w:rsid w:val="009A29CB"/>
    <w:rsid w:val="009A34C7"/>
    <w:rsid w:val="009A4F51"/>
    <w:rsid w:val="009A51AF"/>
    <w:rsid w:val="009A62F2"/>
    <w:rsid w:val="009A66C3"/>
    <w:rsid w:val="009A6E0B"/>
    <w:rsid w:val="009A7BAE"/>
    <w:rsid w:val="009B01C2"/>
    <w:rsid w:val="009B08B0"/>
    <w:rsid w:val="009B0D58"/>
    <w:rsid w:val="009B16F4"/>
    <w:rsid w:val="009B1E93"/>
    <w:rsid w:val="009B2411"/>
    <w:rsid w:val="009B29A1"/>
    <w:rsid w:val="009B3020"/>
    <w:rsid w:val="009B35CC"/>
    <w:rsid w:val="009B3FBB"/>
    <w:rsid w:val="009B4696"/>
    <w:rsid w:val="009B47B2"/>
    <w:rsid w:val="009B75CB"/>
    <w:rsid w:val="009C0133"/>
    <w:rsid w:val="009C05AD"/>
    <w:rsid w:val="009C1433"/>
    <w:rsid w:val="009C1A4B"/>
    <w:rsid w:val="009C23A7"/>
    <w:rsid w:val="009C3E80"/>
    <w:rsid w:val="009C5170"/>
    <w:rsid w:val="009C6284"/>
    <w:rsid w:val="009C7A6D"/>
    <w:rsid w:val="009D040C"/>
    <w:rsid w:val="009D0920"/>
    <w:rsid w:val="009D11FB"/>
    <w:rsid w:val="009D1232"/>
    <w:rsid w:val="009D167E"/>
    <w:rsid w:val="009D2A6F"/>
    <w:rsid w:val="009D41C8"/>
    <w:rsid w:val="009D4DD5"/>
    <w:rsid w:val="009D54B8"/>
    <w:rsid w:val="009D56E9"/>
    <w:rsid w:val="009D70D8"/>
    <w:rsid w:val="009D7E2C"/>
    <w:rsid w:val="009E0ADE"/>
    <w:rsid w:val="009E0C42"/>
    <w:rsid w:val="009E14E9"/>
    <w:rsid w:val="009E23DB"/>
    <w:rsid w:val="009E310A"/>
    <w:rsid w:val="009E3FBC"/>
    <w:rsid w:val="009E446E"/>
    <w:rsid w:val="009E476B"/>
    <w:rsid w:val="009E67C8"/>
    <w:rsid w:val="009E6D98"/>
    <w:rsid w:val="009E76CB"/>
    <w:rsid w:val="009E7ABF"/>
    <w:rsid w:val="009F0700"/>
    <w:rsid w:val="009F19E6"/>
    <w:rsid w:val="009F2A8D"/>
    <w:rsid w:val="009F3F4B"/>
    <w:rsid w:val="009F4620"/>
    <w:rsid w:val="009F473E"/>
    <w:rsid w:val="009F4F84"/>
    <w:rsid w:val="009F5391"/>
    <w:rsid w:val="009F78A0"/>
    <w:rsid w:val="00A00E33"/>
    <w:rsid w:val="00A01B95"/>
    <w:rsid w:val="00A01C72"/>
    <w:rsid w:val="00A042C8"/>
    <w:rsid w:val="00A04B16"/>
    <w:rsid w:val="00A05F29"/>
    <w:rsid w:val="00A05F64"/>
    <w:rsid w:val="00A07F3B"/>
    <w:rsid w:val="00A10465"/>
    <w:rsid w:val="00A10720"/>
    <w:rsid w:val="00A109A3"/>
    <w:rsid w:val="00A1137F"/>
    <w:rsid w:val="00A133BA"/>
    <w:rsid w:val="00A1430A"/>
    <w:rsid w:val="00A14B66"/>
    <w:rsid w:val="00A167F1"/>
    <w:rsid w:val="00A16D7A"/>
    <w:rsid w:val="00A1752B"/>
    <w:rsid w:val="00A202C9"/>
    <w:rsid w:val="00A233A2"/>
    <w:rsid w:val="00A236D0"/>
    <w:rsid w:val="00A24792"/>
    <w:rsid w:val="00A24EBB"/>
    <w:rsid w:val="00A25BFB"/>
    <w:rsid w:val="00A26988"/>
    <w:rsid w:val="00A27206"/>
    <w:rsid w:val="00A27DE5"/>
    <w:rsid w:val="00A317E0"/>
    <w:rsid w:val="00A31999"/>
    <w:rsid w:val="00A31D55"/>
    <w:rsid w:val="00A32119"/>
    <w:rsid w:val="00A32533"/>
    <w:rsid w:val="00A33537"/>
    <w:rsid w:val="00A3402D"/>
    <w:rsid w:val="00A347E0"/>
    <w:rsid w:val="00A3581D"/>
    <w:rsid w:val="00A35D7C"/>
    <w:rsid w:val="00A37A41"/>
    <w:rsid w:val="00A37F63"/>
    <w:rsid w:val="00A40BC6"/>
    <w:rsid w:val="00A40F6D"/>
    <w:rsid w:val="00A41787"/>
    <w:rsid w:val="00A41A7A"/>
    <w:rsid w:val="00A41C84"/>
    <w:rsid w:val="00A43380"/>
    <w:rsid w:val="00A4451A"/>
    <w:rsid w:val="00A44594"/>
    <w:rsid w:val="00A47D62"/>
    <w:rsid w:val="00A50E39"/>
    <w:rsid w:val="00A516D7"/>
    <w:rsid w:val="00A52428"/>
    <w:rsid w:val="00A545E2"/>
    <w:rsid w:val="00A54C7A"/>
    <w:rsid w:val="00A54E24"/>
    <w:rsid w:val="00A55017"/>
    <w:rsid w:val="00A551C9"/>
    <w:rsid w:val="00A55209"/>
    <w:rsid w:val="00A55E4C"/>
    <w:rsid w:val="00A57269"/>
    <w:rsid w:val="00A63163"/>
    <w:rsid w:val="00A64046"/>
    <w:rsid w:val="00A64A56"/>
    <w:rsid w:val="00A65818"/>
    <w:rsid w:val="00A659D0"/>
    <w:rsid w:val="00A703C5"/>
    <w:rsid w:val="00A70646"/>
    <w:rsid w:val="00A71265"/>
    <w:rsid w:val="00A72237"/>
    <w:rsid w:val="00A726C8"/>
    <w:rsid w:val="00A744B2"/>
    <w:rsid w:val="00A760D1"/>
    <w:rsid w:val="00A76CDD"/>
    <w:rsid w:val="00A77EEA"/>
    <w:rsid w:val="00A80309"/>
    <w:rsid w:val="00A807C8"/>
    <w:rsid w:val="00A80D49"/>
    <w:rsid w:val="00A81AE7"/>
    <w:rsid w:val="00A822F9"/>
    <w:rsid w:val="00A83057"/>
    <w:rsid w:val="00A83E53"/>
    <w:rsid w:val="00A85095"/>
    <w:rsid w:val="00A85C30"/>
    <w:rsid w:val="00A86178"/>
    <w:rsid w:val="00A87EBE"/>
    <w:rsid w:val="00A907D3"/>
    <w:rsid w:val="00A91408"/>
    <w:rsid w:val="00A91BC8"/>
    <w:rsid w:val="00A92603"/>
    <w:rsid w:val="00A92AD8"/>
    <w:rsid w:val="00A9309B"/>
    <w:rsid w:val="00A93814"/>
    <w:rsid w:val="00A94437"/>
    <w:rsid w:val="00A953F5"/>
    <w:rsid w:val="00A96132"/>
    <w:rsid w:val="00A9752B"/>
    <w:rsid w:val="00A978B1"/>
    <w:rsid w:val="00A97AAF"/>
    <w:rsid w:val="00AA1380"/>
    <w:rsid w:val="00AA1A2A"/>
    <w:rsid w:val="00AA245E"/>
    <w:rsid w:val="00AA521B"/>
    <w:rsid w:val="00AA6886"/>
    <w:rsid w:val="00AA73D8"/>
    <w:rsid w:val="00AB133A"/>
    <w:rsid w:val="00AB3620"/>
    <w:rsid w:val="00AB36C5"/>
    <w:rsid w:val="00AB444F"/>
    <w:rsid w:val="00AB45AF"/>
    <w:rsid w:val="00AB482B"/>
    <w:rsid w:val="00AB5AA2"/>
    <w:rsid w:val="00AB6003"/>
    <w:rsid w:val="00AB68E8"/>
    <w:rsid w:val="00AC0291"/>
    <w:rsid w:val="00AC0D6C"/>
    <w:rsid w:val="00AC0F27"/>
    <w:rsid w:val="00AC12C5"/>
    <w:rsid w:val="00AC27FC"/>
    <w:rsid w:val="00AC3974"/>
    <w:rsid w:val="00AC3EEB"/>
    <w:rsid w:val="00AC5A72"/>
    <w:rsid w:val="00AC6979"/>
    <w:rsid w:val="00AC74C9"/>
    <w:rsid w:val="00AD05D4"/>
    <w:rsid w:val="00AD16DB"/>
    <w:rsid w:val="00AD1A3A"/>
    <w:rsid w:val="00AD2924"/>
    <w:rsid w:val="00AD353F"/>
    <w:rsid w:val="00AD3541"/>
    <w:rsid w:val="00AD389D"/>
    <w:rsid w:val="00AD459A"/>
    <w:rsid w:val="00AD78D5"/>
    <w:rsid w:val="00AD7BBE"/>
    <w:rsid w:val="00AE0BA1"/>
    <w:rsid w:val="00AE2E9B"/>
    <w:rsid w:val="00AE32C1"/>
    <w:rsid w:val="00AE3DDC"/>
    <w:rsid w:val="00AE4B61"/>
    <w:rsid w:val="00AE55CA"/>
    <w:rsid w:val="00AE63B2"/>
    <w:rsid w:val="00AE65A8"/>
    <w:rsid w:val="00AE6BE4"/>
    <w:rsid w:val="00AF0009"/>
    <w:rsid w:val="00AF0186"/>
    <w:rsid w:val="00AF0A5A"/>
    <w:rsid w:val="00AF126A"/>
    <w:rsid w:val="00AF1ED7"/>
    <w:rsid w:val="00AF2484"/>
    <w:rsid w:val="00AF5999"/>
    <w:rsid w:val="00AF5BD1"/>
    <w:rsid w:val="00AF5DD9"/>
    <w:rsid w:val="00AF70E4"/>
    <w:rsid w:val="00B00E97"/>
    <w:rsid w:val="00B011DB"/>
    <w:rsid w:val="00B01303"/>
    <w:rsid w:val="00B02E0E"/>
    <w:rsid w:val="00B03582"/>
    <w:rsid w:val="00B03BD7"/>
    <w:rsid w:val="00B04407"/>
    <w:rsid w:val="00B05153"/>
    <w:rsid w:val="00B05723"/>
    <w:rsid w:val="00B05868"/>
    <w:rsid w:val="00B05FCF"/>
    <w:rsid w:val="00B06B95"/>
    <w:rsid w:val="00B06E83"/>
    <w:rsid w:val="00B10841"/>
    <w:rsid w:val="00B109CF"/>
    <w:rsid w:val="00B1190C"/>
    <w:rsid w:val="00B13225"/>
    <w:rsid w:val="00B1486D"/>
    <w:rsid w:val="00B15978"/>
    <w:rsid w:val="00B15D2D"/>
    <w:rsid w:val="00B15FA4"/>
    <w:rsid w:val="00B168F8"/>
    <w:rsid w:val="00B16B18"/>
    <w:rsid w:val="00B20234"/>
    <w:rsid w:val="00B206A0"/>
    <w:rsid w:val="00B20A37"/>
    <w:rsid w:val="00B20F30"/>
    <w:rsid w:val="00B232AE"/>
    <w:rsid w:val="00B24936"/>
    <w:rsid w:val="00B24A98"/>
    <w:rsid w:val="00B2522B"/>
    <w:rsid w:val="00B25F30"/>
    <w:rsid w:val="00B27717"/>
    <w:rsid w:val="00B300BD"/>
    <w:rsid w:val="00B3136A"/>
    <w:rsid w:val="00B31779"/>
    <w:rsid w:val="00B31873"/>
    <w:rsid w:val="00B31CD4"/>
    <w:rsid w:val="00B32099"/>
    <w:rsid w:val="00B34B53"/>
    <w:rsid w:val="00B34D53"/>
    <w:rsid w:val="00B35E9F"/>
    <w:rsid w:val="00B37961"/>
    <w:rsid w:val="00B405D6"/>
    <w:rsid w:val="00B417D5"/>
    <w:rsid w:val="00B420D5"/>
    <w:rsid w:val="00B4323C"/>
    <w:rsid w:val="00B45381"/>
    <w:rsid w:val="00B4769F"/>
    <w:rsid w:val="00B47A91"/>
    <w:rsid w:val="00B501A4"/>
    <w:rsid w:val="00B51052"/>
    <w:rsid w:val="00B51835"/>
    <w:rsid w:val="00B52946"/>
    <w:rsid w:val="00B54A6E"/>
    <w:rsid w:val="00B55649"/>
    <w:rsid w:val="00B56542"/>
    <w:rsid w:val="00B56D19"/>
    <w:rsid w:val="00B5760F"/>
    <w:rsid w:val="00B61C15"/>
    <w:rsid w:val="00B61D53"/>
    <w:rsid w:val="00B63339"/>
    <w:rsid w:val="00B63FC7"/>
    <w:rsid w:val="00B64575"/>
    <w:rsid w:val="00B65586"/>
    <w:rsid w:val="00B65A53"/>
    <w:rsid w:val="00B65B05"/>
    <w:rsid w:val="00B670A4"/>
    <w:rsid w:val="00B67293"/>
    <w:rsid w:val="00B7054C"/>
    <w:rsid w:val="00B7082E"/>
    <w:rsid w:val="00B708A3"/>
    <w:rsid w:val="00B7100C"/>
    <w:rsid w:val="00B714D5"/>
    <w:rsid w:val="00B7193D"/>
    <w:rsid w:val="00B73FCF"/>
    <w:rsid w:val="00B76CB6"/>
    <w:rsid w:val="00B7744F"/>
    <w:rsid w:val="00B775D6"/>
    <w:rsid w:val="00B7785A"/>
    <w:rsid w:val="00B77919"/>
    <w:rsid w:val="00B77F0F"/>
    <w:rsid w:val="00B80DC2"/>
    <w:rsid w:val="00B81866"/>
    <w:rsid w:val="00B81883"/>
    <w:rsid w:val="00B8232C"/>
    <w:rsid w:val="00B8262C"/>
    <w:rsid w:val="00B82A4A"/>
    <w:rsid w:val="00B83CDE"/>
    <w:rsid w:val="00B8445F"/>
    <w:rsid w:val="00B84729"/>
    <w:rsid w:val="00B847BC"/>
    <w:rsid w:val="00B84A18"/>
    <w:rsid w:val="00B8552B"/>
    <w:rsid w:val="00B86560"/>
    <w:rsid w:val="00B86A85"/>
    <w:rsid w:val="00B871B7"/>
    <w:rsid w:val="00B879D1"/>
    <w:rsid w:val="00B90882"/>
    <w:rsid w:val="00B90E3D"/>
    <w:rsid w:val="00B916B8"/>
    <w:rsid w:val="00B92719"/>
    <w:rsid w:val="00B9640E"/>
    <w:rsid w:val="00B964F2"/>
    <w:rsid w:val="00B96EE6"/>
    <w:rsid w:val="00BA1E29"/>
    <w:rsid w:val="00BA2944"/>
    <w:rsid w:val="00BA303E"/>
    <w:rsid w:val="00BA52D9"/>
    <w:rsid w:val="00BA643F"/>
    <w:rsid w:val="00BA6A30"/>
    <w:rsid w:val="00BA6AEE"/>
    <w:rsid w:val="00BA7044"/>
    <w:rsid w:val="00BA7164"/>
    <w:rsid w:val="00BB038D"/>
    <w:rsid w:val="00BB1161"/>
    <w:rsid w:val="00BB3896"/>
    <w:rsid w:val="00BB3E08"/>
    <w:rsid w:val="00BB4443"/>
    <w:rsid w:val="00BB5692"/>
    <w:rsid w:val="00BB7239"/>
    <w:rsid w:val="00BC014A"/>
    <w:rsid w:val="00BC0FFA"/>
    <w:rsid w:val="00BC2323"/>
    <w:rsid w:val="00BC2A1D"/>
    <w:rsid w:val="00BC2D83"/>
    <w:rsid w:val="00BC435C"/>
    <w:rsid w:val="00BC51B2"/>
    <w:rsid w:val="00BC5E78"/>
    <w:rsid w:val="00BC63A2"/>
    <w:rsid w:val="00BC6EF1"/>
    <w:rsid w:val="00BC7B6B"/>
    <w:rsid w:val="00BD0EB3"/>
    <w:rsid w:val="00BD0F5B"/>
    <w:rsid w:val="00BD0FE0"/>
    <w:rsid w:val="00BD118F"/>
    <w:rsid w:val="00BD1425"/>
    <w:rsid w:val="00BD2033"/>
    <w:rsid w:val="00BD2377"/>
    <w:rsid w:val="00BD2BE4"/>
    <w:rsid w:val="00BD3177"/>
    <w:rsid w:val="00BD4013"/>
    <w:rsid w:val="00BD41C5"/>
    <w:rsid w:val="00BD7496"/>
    <w:rsid w:val="00BD784B"/>
    <w:rsid w:val="00BD7DE5"/>
    <w:rsid w:val="00BE0711"/>
    <w:rsid w:val="00BE1B76"/>
    <w:rsid w:val="00BE2939"/>
    <w:rsid w:val="00BE2D20"/>
    <w:rsid w:val="00BE3337"/>
    <w:rsid w:val="00BE42E1"/>
    <w:rsid w:val="00BE551C"/>
    <w:rsid w:val="00BE58C0"/>
    <w:rsid w:val="00BE5EFA"/>
    <w:rsid w:val="00BE616E"/>
    <w:rsid w:val="00BE63E8"/>
    <w:rsid w:val="00BE7454"/>
    <w:rsid w:val="00BF1624"/>
    <w:rsid w:val="00BF188C"/>
    <w:rsid w:val="00BF4370"/>
    <w:rsid w:val="00BF5298"/>
    <w:rsid w:val="00BF5F6A"/>
    <w:rsid w:val="00BF7E4F"/>
    <w:rsid w:val="00C00379"/>
    <w:rsid w:val="00C01B44"/>
    <w:rsid w:val="00C023C8"/>
    <w:rsid w:val="00C023CF"/>
    <w:rsid w:val="00C030E7"/>
    <w:rsid w:val="00C035CA"/>
    <w:rsid w:val="00C03B95"/>
    <w:rsid w:val="00C03CDA"/>
    <w:rsid w:val="00C03CE0"/>
    <w:rsid w:val="00C0510F"/>
    <w:rsid w:val="00C07CE9"/>
    <w:rsid w:val="00C07E6B"/>
    <w:rsid w:val="00C10164"/>
    <w:rsid w:val="00C10E78"/>
    <w:rsid w:val="00C127D4"/>
    <w:rsid w:val="00C128A2"/>
    <w:rsid w:val="00C12BD9"/>
    <w:rsid w:val="00C14453"/>
    <w:rsid w:val="00C151C1"/>
    <w:rsid w:val="00C159B0"/>
    <w:rsid w:val="00C15ADD"/>
    <w:rsid w:val="00C166A7"/>
    <w:rsid w:val="00C16D43"/>
    <w:rsid w:val="00C17187"/>
    <w:rsid w:val="00C17502"/>
    <w:rsid w:val="00C22672"/>
    <w:rsid w:val="00C22D4B"/>
    <w:rsid w:val="00C23E45"/>
    <w:rsid w:val="00C25500"/>
    <w:rsid w:val="00C26EAA"/>
    <w:rsid w:val="00C27893"/>
    <w:rsid w:val="00C300C4"/>
    <w:rsid w:val="00C3194F"/>
    <w:rsid w:val="00C31A18"/>
    <w:rsid w:val="00C31EED"/>
    <w:rsid w:val="00C328BB"/>
    <w:rsid w:val="00C33CB4"/>
    <w:rsid w:val="00C3401F"/>
    <w:rsid w:val="00C3616F"/>
    <w:rsid w:val="00C36CF1"/>
    <w:rsid w:val="00C37E91"/>
    <w:rsid w:val="00C40093"/>
    <w:rsid w:val="00C405AB"/>
    <w:rsid w:val="00C40EE3"/>
    <w:rsid w:val="00C41EC8"/>
    <w:rsid w:val="00C4383D"/>
    <w:rsid w:val="00C440BE"/>
    <w:rsid w:val="00C444A4"/>
    <w:rsid w:val="00C44F93"/>
    <w:rsid w:val="00C4549B"/>
    <w:rsid w:val="00C4587C"/>
    <w:rsid w:val="00C45D35"/>
    <w:rsid w:val="00C45FF9"/>
    <w:rsid w:val="00C46707"/>
    <w:rsid w:val="00C50162"/>
    <w:rsid w:val="00C51CD2"/>
    <w:rsid w:val="00C51D28"/>
    <w:rsid w:val="00C525DF"/>
    <w:rsid w:val="00C52B88"/>
    <w:rsid w:val="00C52BB1"/>
    <w:rsid w:val="00C52FA7"/>
    <w:rsid w:val="00C53156"/>
    <w:rsid w:val="00C54AB8"/>
    <w:rsid w:val="00C54B3C"/>
    <w:rsid w:val="00C56790"/>
    <w:rsid w:val="00C5719C"/>
    <w:rsid w:val="00C57582"/>
    <w:rsid w:val="00C60F35"/>
    <w:rsid w:val="00C61835"/>
    <w:rsid w:val="00C61EF4"/>
    <w:rsid w:val="00C62260"/>
    <w:rsid w:val="00C62655"/>
    <w:rsid w:val="00C627BE"/>
    <w:rsid w:val="00C63F49"/>
    <w:rsid w:val="00C64BCA"/>
    <w:rsid w:val="00C64D30"/>
    <w:rsid w:val="00C6560F"/>
    <w:rsid w:val="00C6701A"/>
    <w:rsid w:val="00C6771D"/>
    <w:rsid w:val="00C70115"/>
    <w:rsid w:val="00C70620"/>
    <w:rsid w:val="00C70965"/>
    <w:rsid w:val="00C71003"/>
    <w:rsid w:val="00C71128"/>
    <w:rsid w:val="00C7186E"/>
    <w:rsid w:val="00C72812"/>
    <w:rsid w:val="00C7297C"/>
    <w:rsid w:val="00C7397E"/>
    <w:rsid w:val="00C73BE9"/>
    <w:rsid w:val="00C74B7B"/>
    <w:rsid w:val="00C75455"/>
    <w:rsid w:val="00C76742"/>
    <w:rsid w:val="00C767D0"/>
    <w:rsid w:val="00C76866"/>
    <w:rsid w:val="00C76F0A"/>
    <w:rsid w:val="00C80114"/>
    <w:rsid w:val="00C80F33"/>
    <w:rsid w:val="00C8101D"/>
    <w:rsid w:val="00C812B3"/>
    <w:rsid w:val="00C824CD"/>
    <w:rsid w:val="00C8489B"/>
    <w:rsid w:val="00C85344"/>
    <w:rsid w:val="00C8552F"/>
    <w:rsid w:val="00C85577"/>
    <w:rsid w:val="00C8568A"/>
    <w:rsid w:val="00C864A3"/>
    <w:rsid w:val="00C87427"/>
    <w:rsid w:val="00C90A5D"/>
    <w:rsid w:val="00C91082"/>
    <w:rsid w:val="00C91F42"/>
    <w:rsid w:val="00C922FD"/>
    <w:rsid w:val="00C93656"/>
    <w:rsid w:val="00C93D92"/>
    <w:rsid w:val="00C953CF"/>
    <w:rsid w:val="00C95E0D"/>
    <w:rsid w:val="00CA0991"/>
    <w:rsid w:val="00CA0CCA"/>
    <w:rsid w:val="00CA1AD0"/>
    <w:rsid w:val="00CA1B87"/>
    <w:rsid w:val="00CA242A"/>
    <w:rsid w:val="00CA27A0"/>
    <w:rsid w:val="00CA2DA9"/>
    <w:rsid w:val="00CA3F3F"/>
    <w:rsid w:val="00CA6147"/>
    <w:rsid w:val="00CA75CE"/>
    <w:rsid w:val="00CA789E"/>
    <w:rsid w:val="00CB0AFC"/>
    <w:rsid w:val="00CB0ECD"/>
    <w:rsid w:val="00CB19D1"/>
    <w:rsid w:val="00CB237F"/>
    <w:rsid w:val="00CB2F7A"/>
    <w:rsid w:val="00CB6388"/>
    <w:rsid w:val="00CB7CD7"/>
    <w:rsid w:val="00CC018F"/>
    <w:rsid w:val="00CC143F"/>
    <w:rsid w:val="00CC1666"/>
    <w:rsid w:val="00CC175D"/>
    <w:rsid w:val="00CC1BF7"/>
    <w:rsid w:val="00CC21B3"/>
    <w:rsid w:val="00CC25A6"/>
    <w:rsid w:val="00CC4B79"/>
    <w:rsid w:val="00CC4D2B"/>
    <w:rsid w:val="00CC5B75"/>
    <w:rsid w:val="00CC5D02"/>
    <w:rsid w:val="00CD0297"/>
    <w:rsid w:val="00CD07AC"/>
    <w:rsid w:val="00CD099C"/>
    <w:rsid w:val="00CD0E6F"/>
    <w:rsid w:val="00CD2204"/>
    <w:rsid w:val="00CD2B9B"/>
    <w:rsid w:val="00CD3434"/>
    <w:rsid w:val="00CD3598"/>
    <w:rsid w:val="00CD4882"/>
    <w:rsid w:val="00CD49D7"/>
    <w:rsid w:val="00CD4E30"/>
    <w:rsid w:val="00CD63E4"/>
    <w:rsid w:val="00CD72A2"/>
    <w:rsid w:val="00CE041A"/>
    <w:rsid w:val="00CE131E"/>
    <w:rsid w:val="00CE1CF5"/>
    <w:rsid w:val="00CE533A"/>
    <w:rsid w:val="00CE753E"/>
    <w:rsid w:val="00CF0E3D"/>
    <w:rsid w:val="00CF16A9"/>
    <w:rsid w:val="00CF17EB"/>
    <w:rsid w:val="00CF233A"/>
    <w:rsid w:val="00CF3AD2"/>
    <w:rsid w:val="00CF4407"/>
    <w:rsid w:val="00CF47AF"/>
    <w:rsid w:val="00CF55E3"/>
    <w:rsid w:val="00D00138"/>
    <w:rsid w:val="00D005EA"/>
    <w:rsid w:val="00D046FF"/>
    <w:rsid w:val="00D04F83"/>
    <w:rsid w:val="00D05952"/>
    <w:rsid w:val="00D06CB9"/>
    <w:rsid w:val="00D1035F"/>
    <w:rsid w:val="00D10B78"/>
    <w:rsid w:val="00D111DF"/>
    <w:rsid w:val="00D11334"/>
    <w:rsid w:val="00D113E9"/>
    <w:rsid w:val="00D138C7"/>
    <w:rsid w:val="00D14AEB"/>
    <w:rsid w:val="00D1737C"/>
    <w:rsid w:val="00D17594"/>
    <w:rsid w:val="00D177D7"/>
    <w:rsid w:val="00D23EF4"/>
    <w:rsid w:val="00D25AAF"/>
    <w:rsid w:val="00D260C2"/>
    <w:rsid w:val="00D27622"/>
    <w:rsid w:val="00D32B6A"/>
    <w:rsid w:val="00D334CC"/>
    <w:rsid w:val="00D33DD4"/>
    <w:rsid w:val="00D40520"/>
    <w:rsid w:val="00D40B21"/>
    <w:rsid w:val="00D42544"/>
    <w:rsid w:val="00D42959"/>
    <w:rsid w:val="00D42CFB"/>
    <w:rsid w:val="00D43200"/>
    <w:rsid w:val="00D43C19"/>
    <w:rsid w:val="00D44AE4"/>
    <w:rsid w:val="00D45481"/>
    <w:rsid w:val="00D466BF"/>
    <w:rsid w:val="00D47CDE"/>
    <w:rsid w:val="00D5164B"/>
    <w:rsid w:val="00D51823"/>
    <w:rsid w:val="00D5203C"/>
    <w:rsid w:val="00D524EF"/>
    <w:rsid w:val="00D529B1"/>
    <w:rsid w:val="00D52A5F"/>
    <w:rsid w:val="00D53808"/>
    <w:rsid w:val="00D53B71"/>
    <w:rsid w:val="00D53DD1"/>
    <w:rsid w:val="00D54953"/>
    <w:rsid w:val="00D54C34"/>
    <w:rsid w:val="00D57F7F"/>
    <w:rsid w:val="00D6037C"/>
    <w:rsid w:val="00D60389"/>
    <w:rsid w:val="00D61A63"/>
    <w:rsid w:val="00D62566"/>
    <w:rsid w:val="00D64000"/>
    <w:rsid w:val="00D64088"/>
    <w:rsid w:val="00D6428C"/>
    <w:rsid w:val="00D64690"/>
    <w:rsid w:val="00D65E52"/>
    <w:rsid w:val="00D65FEF"/>
    <w:rsid w:val="00D6604E"/>
    <w:rsid w:val="00D7103D"/>
    <w:rsid w:val="00D72D4E"/>
    <w:rsid w:val="00D7434C"/>
    <w:rsid w:val="00D74800"/>
    <w:rsid w:val="00D757D7"/>
    <w:rsid w:val="00D765F1"/>
    <w:rsid w:val="00D7694C"/>
    <w:rsid w:val="00D77266"/>
    <w:rsid w:val="00D81506"/>
    <w:rsid w:val="00D81D05"/>
    <w:rsid w:val="00D82680"/>
    <w:rsid w:val="00D8327B"/>
    <w:rsid w:val="00D844CD"/>
    <w:rsid w:val="00D84571"/>
    <w:rsid w:val="00D847D0"/>
    <w:rsid w:val="00D8543D"/>
    <w:rsid w:val="00D85FBB"/>
    <w:rsid w:val="00D860C2"/>
    <w:rsid w:val="00D862A5"/>
    <w:rsid w:val="00D869A0"/>
    <w:rsid w:val="00D86BB4"/>
    <w:rsid w:val="00D86C68"/>
    <w:rsid w:val="00D90173"/>
    <w:rsid w:val="00D904A2"/>
    <w:rsid w:val="00D91168"/>
    <w:rsid w:val="00D91DDC"/>
    <w:rsid w:val="00D922CD"/>
    <w:rsid w:val="00D9282B"/>
    <w:rsid w:val="00D93AF6"/>
    <w:rsid w:val="00D94E4B"/>
    <w:rsid w:val="00D95436"/>
    <w:rsid w:val="00D9547C"/>
    <w:rsid w:val="00D958D4"/>
    <w:rsid w:val="00D9649E"/>
    <w:rsid w:val="00D96E85"/>
    <w:rsid w:val="00DA1CFA"/>
    <w:rsid w:val="00DA3775"/>
    <w:rsid w:val="00DA3C12"/>
    <w:rsid w:val="00DA3E43"/>
    <w:rsid w:val="00DA4067"/>
    <w:rsid w:val="00DA55EF"/>
    <w:rsid w:val="00DA72FB"/>
    <w:rsid w:val="00DA7C95"/>
    <w:rsid w:val="00DB07E8"/>
    <w:rsid w:val="00DB21B6"/>
    <w:rsid w:val="00DB230B"/>
    <w:rsid w:val="00DB25DA"/>
    <w:rsid w:val="00DB296E"/>
    <w:rsid w:val="00DB3393"/>
    <w:rsid w:val="00DB412E"/>
    <w:rsid w:val="00DB53A5"/>
    <w:rsid w:val="00DB55B6"/>
    <w:rsid w:val="00DB5DC7"/>
    <w:rsid w:val="00DB6C33"/>
    <w:rsid w:val="00DB7195"/>
    <w:rsid w:val="00DB74B6"/>
    <w:rsid w:val="00DB7529"/>
    <w:rsid w:val="00DC016D"/>
    <w:rsid w:val="00DC0259"/>
    <w:rsid w:val="00DC0319"/>
    <w:rsid w:val="00DC14FF"/>
    <w:rsid w:val="00DC238C"/>
    <w:rsid w:val="00DC2DA7"/>
    <w:rsid w:val="00DC6B6C"/>
    <w:rsid w:val="00DC7C5C"/>
    <w:rsid w:val="00DD18B6"/>
    <w:rsid w:val="00DD1A0B"/>
    <w:rsid w:val="00DD34CD"/>
    <w:rsid w:val="00DD41F4"/>
    <w:rsid w:val="00DD4259"/>
    <w:rsid w:val="00DD4C18"/>
    <w:rsid w:val="00DD528D"/>
    <w:rsid w:val="00DD54F0"/>
    <w:rsid w:val="00DD5C4E"/>
    <w:rsid w:val="00DD6448"/>
    <w:rsid w:val="00DD74DC"/>
    <w:rsid w:val="00DD7F69"/>
    <w:rsid w:val="00DE025E"/>
    <w:rsid w:val="00DE1D60"/>
    <w:rsid w:val="00DE4C3E"/>
    <w:rsid w:val="00DE5978"/>
    <w:rsid w:val="00DE6FE2"/>
    <w:rsid w:val="00DF14A8"/>
    <w:rsid w:val="00DF1D9F"/>
    <w:rsid w:val="00DF26FE"/>
    <w:rsid w:val="00DF28DD"/>
    <w:rsid w:val="00DF2FF6"/>
    <w:rsid w:val="00DF37B6"/>
    <w:rsid w:val="00DF45B6"/>
    <w:rsid w:val="00DF52C6"/>
    <w:rsid w:val="00DF52CF"/>
    <w:rsid w:val="00DF644C"/>
    <w:rsid w:val="00DF6687"/>
    <w:rsid w:val="00DF686F"/>
    <w:rsid w:val="00DF6F38"/>
    <w:rsid w:val="00DF7CAC"/>
    <w:rsid w:val="00E00EFB"/>
    <w:rsid w:val="00E0124F"/>
    <w:rsid w:val="00E033ED"/>
    <w:rsid w:val="00E0401F"/>
    <w:rsid w:val="00E04D37"/>
    <w:rsid w:val="00E053B7"/>
    <w:rsid w:val="00E05EEE"/>
    <w:rsid w:val="00E102DE"/>
    <w:rsid w:val="00E10828"/>
    <w:rsid w:val="00E12D67"/>
    <w:rsid w:val="00E13DFC"/>
    <w:rsid w:val="00E13E26"/>
    <w:rsid w:val="00E13EBA"/>
    <w:rsid w:val="00E14054"/>
    <w:rsid w:val="00E143E4"/>
    <w:rsid w:val="00E146A7"/>
    <w:rsid w:val="00E147D8"/>
    <w:rsid w:val="00E14885"/>
    <w:rsid w:val="00E155A6"/>
    <w:rsid w:val="00E15F37"/>
    <w:rsid w:val="00E166A7"/>
    <w:rsid w:val="00E17CA7"/>
    <w:rsid w:val="00E207F8"/>
    <w:rsid w:val="00E22236"/>
    <w:rsid w:val="00E23373"/>
    <w:rsid w:val="00E2359F"/>
    <w:rsid w:val="00E23C6D"/>
    <w:rsid w:val="00E240C7"/>
    <w:rsid w:val="00E245FD"/>
    <w:rsid w:val="00E24A74"/>
    <w:rsid w:val="00E26CA3"/>
    <w:rsid w:val="00E273B4"/>
    <w:rsid w:val="00E27F0B"/>
    <w:rsid w:val="00E30870"/>
    <w:rsid w:val="00E30A4F"/>
    <w:rsid w:val="00E31450"/>
    <w:rsid w:val="00E31794"/>
    <w:rsid w:val="00E31DA5"/>
    <w:rsid w:val="00E3228A"/>
    <w:rsid w:val="00E34086"/>
    <w:rsid w:val="00E35571"/>
    <w:rsid w:val="00E36721"/>
    <w:rsid w:val="00E36867"/>
    <w:rsid w:val="00E40016"/>
    <w:rsid w:val="00E412E5"/>
    <w:rsid w:val="00E41EAA"/>
    <w:rsid w:val="00E4285C"/>
    <w:rsid w:val="00E448E1"/>
    <w:rsid w:val="00E4617B"/>
    <w:rsid w:val="00E47CD7"/>
    <w:rsid w:val="00E47FA0"/>
    <w:rsid w:val="00E51330"/>
    <w:rsid w:val="00E53199"/>
    <w:rsid w:val="00E540C3"/>
    <w:rsid w:val="00E54EFA"/>
    <w:rsid w:val="00E558DB"/>
    <w:rsid w:val="00E55E03"/>
    <w:rsid w:val="00E5610E"/>
    <w:rsid w:val="00E56164"/>
    <w:rsid w:val="00E562A0"/>
    <w:rsid w:val="00E569A6"/>
    <w:rsid w:val="00E569C2"/>
    <w:rsid w:val="00E56C67"/>
    <w:rsid w:val="00E577C4"/>
    <w:rsid w:val="00E60B0A"/>
    <w:rsid w:val="00E60DAD"/>
    <w:rsid w:val="00E61DAF"/>
    <w:rsid w:val="00E6324E"/>
    <w:rsid w:val="00E63664"/>
    <w:rsid w:val="00E65206"/>
    <w:rsid w:val="00E65EFF"/>
    <w:rsid w:val="00E6735E"/>
    <w:rsid w:val="00E67DBB"/>
    <w:rsid w:val="00E703DC"/>
    <w:rsid w:val="00E71ECF"/>
    <w:rsid w:val="00E727DC"/>
    <w:rsid w:val="00E7294B"/>
    <w:rsid w:val="00E72B77"/>
    <w:rsid w:val="00E72D7C"/>
    <w:rsid w:val="00E739E4"/>
    <w:rsid w:val="00E7413B"/>
    <w:rsid w:val="00E750B0"/>
    <w:rsid w:val="00E7682D"/>
    <w:rsid w:val="00E7726D"/>
    <w:rsid w:val="00E776A3"/>
    <w:rsid w:val="00E77CD1"/>
    <w:rsid w:val="00E81053"/>
    <w:rsid w:val="00E814B6"/>
    <w:rsid w:val="00E82E34"/>
    <w:rsid w:val="00E842EA"/>
    <w:rsid w:val="00E84A4B"/>
    <w:rsid w:val="00E84E9E"/>
    <w:rsid w:val="00E84EB0"/>
    <w:rsid w:val="00E84EEB"/>
    <w:rsid w:val="00E850AD"/>
    <w:rsid w:val="00E8540D"/>
    <w:rsid w:val="00E85572"/>
    <w:rsid w:val="00E862BF"/>
    <w:rsid w:val="00E870BE"/>
    <w:rsid w:val="00E87194"/>
    <w:rsid w:val="00E90161"/>
    <w:rsid w:val="00E9077F"/>
    <w:rsid w:val="00E90B46"/>
    <w:rsid w:val="00E92381"/>
    <w:rsid w:val="00E92FFE"/>
    <w:rsid w:val="00E938E6"/>
    <w:rsid w:val="00E9422A"/>
    <w:rsid w:val="00E976A4"/>
    <w:rsid w:val="00EA0052"/>
    <w:rsid w:val="00EA1975"/>
    <w:rsid w:val="00EA1B3E"/>
    <w:rsid w:val="00EA2FBF"/>
    <w:rsid w:val="00EA34D7"/>
    <w:rsid w:val="00EA39D0"/>
    <w:rsid w:val="00EA3EF8"/>
    <w:rsid w:val="00EA4EC1"/>
    <w:rsid w:val="00EA5320"/>
    <w:rsid w:val="00EA65E1"/>
    <w:rsid w:val="00EA6BF3"/>
    <w:rsid w:val="00EA6D30"/>
    <w:rsid w:val="00EA6E1F"/>
    <w:rsid w:val="00EB21B9"/>
    <w:rsid w:val="00EB4C09"/>
    <w:rsid w:val="00EB4F8F"/>
    <w:rsid w:val="00EB5515"/>
    <w:rsid w:val="00EB5D87"/>
    <w:rsid w:val="00EB6B7F"/>
    <w:rsid w:val="00EB6BA9"/>
    <w:rsid w:val="00EC24D7"/>
    <w:rsid w:val="00EC25A3"/>
    <w:rsid w:val="00EC2DB5"/>
    <w:rsid w:val="00EC2EE2"/>
    <w:rsid w:val="00EC34DC"/>
    <w:rsid w:val="00EC36C0"/>
    <w:rsid w:val="00EC52F6"/>
    <w:rsid w:val="00EC66CD"/>
    <w:rsid w:val="00EC6B59"/>
    <w:rsid w:val="00EC7C08"/>
    <w:rsid w:val="00ED0CD7"/>
    <w:rsid w:val="00ED0F15"/>
    <w:rsid w:val="00ED1AC4"/>
    <w:rsid w:val="00ED1D28"/>
    <w:rsid w:val="00ED252A"/>
    <w:rsid w:val="00ED2A36"/>
    <w:rsid w:val="00ED509D"/>
    <w:rsid w:val="00ED5534"/>
    <w:rsid w:val="00ED7B02"/>
    <w:rsid w:val="00EE01A0"/>
    <w:rsid w:val="00EE0346"/>
    <w:rsid w:val="00EE0680"/>
    <w:rsid w:val="00EE28D2"/>
    <w:rsid w:val="00EE3D8F"/>
    <w:rsid w:val="00EE50A7"/>
    <w:rsid w:val="00EE57D2"/>
    <w:rsid w:val="00EE6806"/>
    <w:rsid w:val="00EF023E"/>
    <w:rsid w:val="00EF2D19"/>
    <w:rsid w:val="00EF3262"/>
    <w:rsid w:val="00EF3B3E"/>
    <w:rsid w:val="00EF3C33"/>
    <w:rsid w:val="00EF530B"/>
    <w:rsid w:val="00EF69D9"/>
    <w:rsid w:val="00EF7054"/>
    <w:rsid w:val="00F012B9"/>
    <w:rsid w:val="00F01ECC"/>
    <w:rsid w:val="00F02009"/>
    <w:rsid w:val="00F0265F"/>
    <w:rsid w:val="00F027C5"/>
    <w:rsid w:val="00F027C7"/>
    <w:rsid w:val="00F02C73"/>
    <w:rsid w:val="00F031CD"/>
    <w:rsid w:val="00F035B1"/>
    <w:rsid w:val="00F0370D"/>
    <w:rsid w:val="00F0387C"/>
    <w:rsid w:val="00F04438"/>
    <w:rsid w:val="00F0504A"/>
    <w:rsid w:val="00F055BC"/>
    <w:rsid w:val="00F05D82"/>
    <w:rsid w:val="00F06740"/>
    <w:rsid w:val="00F06C0F"/>
    <w:rsid w:val="00F06F15"/>
    <w:rsid w:val="00F10010"/>
    <w:rsid w:val="00F10FF6"/>
    <w:rsid w:val="00F114DC"/>
    <w:rsid w:val="00F11CFE"/>
    <w:rsid w:val="00F11F25"/>
    <w:rsid w:val="00F12414"/>
    <w:rsid w:val="00F1431D"/>
    <w:rsid w:val="00F14678"/>
    <w:rsid w:val="00F15283"/>
    <w:rsid w:val="00F15C7B"/>
    <w:rsid w:val="00F16ED4"/>
    <w:rsid w:val="00F171E2"/>
    <w:rsid w:val="00F21CDD"/>
    <w:rsid w:val="00F22027"/>
    <w:rsid w:val="00F237EF"/>
    <w:rsid w:val="00F23AF7"/>
    <w:rsid w:val="00F23AFF"/>
    <w:rsid w:val="00F24617"/>
    <w:rsid w:val="00F24978"/>
    <w:rsid w:val="00F249AE"/>
    <w:rsid w:val="00F25731"/>
    <w:rsid w:val="00F25B30"/>
    <w:rsid w:val="00F25E34"/>
    <w:rsid w:val="00F25ECE"/>
    <w:rsid w:val="00F27087"/>
    <w:rsid w:val="00F31C8A"/>
    <w:rsid w:val="00F32D7A"/>
    <w:rsid w:val="00F33CEC"/>
    <w:rsid w:val="00F3437E"/>
    <w:rsid w:val="00F34C97"/>
    <w:rsid w:val="00F34D1A"/>
    <w:rsid w:val="00F35B4F"/>
    <w:rsid w:val="00F35EFD"/>
    <w:rsid w:val="00F35F75"/>
    <w:rsid w:val="00F36FDE"/>
    <w:rsid w:val="00F37547"/>
    <w:rsid w:val="00F378A4"/>
    <w:rsid w:val="00F37946"/>
    <w:rsid w:val="00F409AD"/>
    <w:rsid w:val="00F40F8C"/>
    <w:rsid w:val="00F41260"/>
    <w:rsid w:val="00F41374"/>
    <w:rsid w:val="00F41F18"/>
    <w:rsid w:val="00F42400"/>
    <w:rsid w:val="00F46508"/>
    <w:rsid w:val="00F46A64"/>
    <w:rsid w:val="00F47681"/>
    <w:rsid w:val="00F47A83"/>
    <w:rsid w:val="00F47AAF"/>
    <w:rsid w:val="00F47F41"/>
    <w:rsid w:val="00F5018F"/>
    <w:rsid w:val="00F505F9"/>
    <w:rsid w:val="00F517A0"/>
    <w:rsid w:val="00F51AD3"/>
    <w:rsid w:val="00F51C58"/>
    <w:rsid w:val="00F526B5"/>
    <w:rsid w:val="00F530B1"/>
    <w:rsid w:val="00F53690"/>
    <w:rsid w:val="00F538E0"/>
    <w:rsid w:val="00F54BD1"/>
    <w:rsid w:val="00F562B8"/>
    <w:rsid w:val="00F62629"/>
    <w:rsid w:val="00F63546"/>
    <w:rsid w:val="00F6364A"/>
    <w:rsid w:val="00F65944"/>
    <w:rsid w:val="00F65CD7"/>
    <w:rsid w:val="00F71555"/>
    <w:rsid w:val="00F72492"/>
    <w:rsid w:val="00F7291E"/>
    <w:rsid w:val="00F72C8F"/>
    <w:rsid w:val="00F74008"/>
    <w:rsid w:val="00F741B6"/>
    <w:rsid w:val="00F74B3E"/>
    <w:rsid w:val="00F7666F"/>
    <w:rsid w:val="00F7772B"/>
    <w:rsid w:val="00F779F9"/>
    <w:rsid w:val="00F77C09"/>
    <w:rsid w:val="00F800D5"/>
    <w:rsid w:val="00F80E41"/>
    <w:rsid w:val="00F82D6B"/>
    <w:rsid w:val="00F8305E"/>
    <w:rsid w:val="00F83889"/>
    <w:rsid w:val="00F83C47"/>
    <w:rsid w:val="00F84FFE"/>
    <w:rsid w:val="00F86023"/>
    <w:rsid w:val="00F86293"/>
    <w:rsid w:val="00F8655D"/>
    <w:rsid w:val="00F86A3D"/>
    <w:rsid w:val="00F91696"/>
    <w:rsid w:val="00F92EBE"/>
    <w:rsid w:val="00F9378C"/>
    <w:rsid w:val="00F944F5"/>
    <w:rsid w:val="00F95519"/>
    <w:rsid w:val="00F95F34"/>
    <w:rsid w:val="00F96E79"/>
    <w:rsid w:val="00F978BA"/>
    <w:rsid w:val="00FA021C"/>
    <w:rsid w:val="00FA0EFA"/>
    <w:rsid w:val="00FA272E"/>
    <w:rsid w:val="00FA27AF"/>
    <w:rsid w:val="00FA32F9"/>
    <w:rsid w:val="00FA3899"/>
    <w:rsid w:val="00FA45A4"/>
    <w:rsid w:val="00FA47F2"/>
    <w:rsid w:val="00FA4FFE"/>
    <w:rsid w:val="00FA6387"/>
    <w:rsid w:val="00FA73AD"/>
    <w:rsid w:val="00FA7B9E"/>
    <w:rsid w:val="00FB090E"/>
    <w:rsid w:val="00FB1539"/>
    <w:rsid w:val="00FB1822"/>
    <w:rsid w:val="00FB2EF4"/>
    <w:rsid w:val="00FB4276"/>
    <w:rsid w:val="00FB4F60"/>
    <w:rsid w:val="00FB5625"/>
    <w:rsid w:val="00FB6205"/>
    <w:rsid w:val="00FB6ED6"/>
    <w:rsid w:val="00FC095B"/>
    <w:rsid w:val="00FC1882"/>
    <w:rsid w:val="00FC1E52"/>
    <w:rsid w:val="00FC2747"/>
    <w:rsid w:val="00FC3B86"/>
    <w:rsid w:val="00FC6C08"/>
    <w:rsid w:val="00FC6D0A"/>
    <w:rsid w:val="00FD0678"/>
    <w:rsid w:val="00FD1A7A"/>
    <w:rsid w:val="00FD28F4"/>
    <w:rsid w:val="00FD47B9"/>
    <w:rsid w:val="00FD4F76"/>
    <w:rsid w:val="00FD5B97"/>
    <w:rsid w:val="00FE16AD"/>
    <w:rsid w:val="00FE16C7"/>
    <w:rsid w:val="00FE24ED"/>
    <w:rsid w:val="00FE271F"/>
    <w:rsid w:val="00FE2CDB"/>
    <w:rsid w:val="00FE34FD"/>
    <w:rsid w:val="00FE3B2E"/>
    <w:rsid w:val="00FE55E3"/>
    <w:rsid w:val="00FE635E"/>
    <w:rsid w:val="00FF2344"/>
    <w:rsid w:val="00FF2ADB"/>
    <w:rsid w:val="00FF2ADD"/>
    <w:rsid w:val="00FF3202"/>
    <w:rsid w:val="00FF32DE"/>
    <w:rsid w:val="00FF3EBA"/>
    <w:rsid w:val="00FF5199"/>
    <w:rsid w:val="00FF5ED2"/>
    <w:rsid w:val="00FF6252"/>
    <w:rsid w:val="00FF6977"/>
    <w:rsid w:val="00FF6E1B"/>
    <w:rsid w:val="01727407"/>
    <w:rsid w:val="019CE9D4"/>
    <w:rsid w:val="026CBB06"/>
    <w:rsid w:val="0289D5D9"/>
    <w:rsid w:val="02DDEC30"/>
    <w:rsid w:val="0352DC71"/>
    <w:rsid w:val="03B3AD69"/>
    <w:rsid w:val="041850F6"/>
    <w:rsid w:val="0442C694"/>
    <w:rsid w:val="04FA0A19"/>
    <w:rsid w:val="05BFFB5C"/>
    <w:rsid w:val="05D7F4C9"/>
    <w:rsid w:val="062CDA46"/>
    <w:rsid w:val="06CFBFB5"/>
    <w:rsid w:val="07C77B8C"/>
    <w:rsid w:val="07D11A32"/>
    <w:rsid w:val="08CA70BC"/>
    <w:rsid w:val="08E923CE"/>
    <w:rsid w:val="08FD697D"/>
    <w:rsid w:val="097ECB66"/>
    <w:rsid w:val="09B8EC6A"/>
    <w:rsid w:val="09FC9A8A"/>
    <w:rsid w:val="0A2AC227"/>
    <w:rsid w:val="0B9DC2EB"/>
    <w:rsid w:val="0C6827C8"/>
    <w:rsid w:val="0C6A4BD3"/>
    <w:rsid w:val="0C8A24D3"/>
    <w:rsid w:val="0D4A04D5"/>
    <w:rsid w:val="0D86231D"/>
    <w:rsid w:val="0E0FB60C"/>
    <w:rsid w:val="0E705FF3"/>
    <w:rsid w:val="0E8E5D7C"/>
    <w:rsid w:val="0ED45A95"/>
    <w:rsid w:val="0EEB9AE5"/>
    <w:rsid w:val="0F1DC4D3"/>
    <w:rsid w:val="0F24BDED"/>
    <w:rsid w:val="0FC29ADB"/>
    <w:rsid w:val="0FCA9118"/>
    <w:rsid w:val="1025903B"/>
    <w:rsid w:val="10A010A8"/>
    <w:rsid w:val="11316085"/>
    <w:rsid w:val="11599AC0"/>
    <w:rsid w:val="11A4BA68"/>
    <w:rsid w:val="11DA12A0"/>
    <w:rsid w:val="12543159"/>
    <w:rsid w:val="1399C93B"/>
    <w:rsid w:val="13F428EB"/>
    <w:rsid w:val="142AA785"/>
    <w:rsid w:val="14596B6F"/>
    <w:rsid w:val="14634D00"/>
    <w:rsid w:val="14E192E5"/>
    <w:rsid w:val="15CA80C0"/>
    <w:rsid w:val="15EBBAB3"/>
    <w:rsid w:val="1634BEE2"/>
    <w:rsid w:val="166E1C7A"/>
    <w:rsid w:val="1699566F"/>
    <w:rsid w:val="16C25A35"/>
    <w:rsid w:val="172AF347"/>
    <w:rsid w:val="17359426"/>
    <w:rsid w:val="175D7EB7"/>
    <w:rsid w:val="1770F368"/>
    <w:rsid w:val="178EAE51"/>
    <w:rsid w:val="17A28A82"/>
    <w:rsid w:val="18310F45"/>
    <w:rsid w:val="18445995"/>
    <w:rsid w:val="18683EA7"/>
    <w:rsid w:val="19BC8BEC"/>
    <w:rsid w:val="1A086FDD"/>
    <w:rsid w:val="1AA04B99"/>
    <w:rsid w:val="1AD75814"/>
    <w:rsid w:val="1AEC72F8"/>
    <w:rsid w:val="1C7AE897"/>
    <w:rsid w:val="1C86FA9C"/>
    <w:rsid w:val="1CF358F2"/>
    <w:rsid w:val="1DCF86A9"/>
    <w:rsid w:val="1E181F94"/>
    <w:rsid w:val="1E2D282F"/>
    <w:rsid w:val="1E8F2E5C"/>
    <w:rsid w:val="1F81DF34"/>
    <w:rsid w:val="1F8C76D6"/>
    <w:rsid w:val="1F8ED7C1"/>
    <w:rsid w:val="1FC0FC3C"/>
    <w:rsid w:val="1FC962E6"/>
    <w:rsid w:val="2050C832"/>
    <w:rsid w:val="2138CD3D"/>
    <w:rsid w:val="22049BE8"/>
    <w:rsid w:val="22222CE3"/>
    <w:rsid w:val="22FE5E7A"/>
    <w:rsid w:val="2372C552"/>
    <w:rsid w:val="2398BDE1"/>
    <w:rsid w:val="23D58239"/>
    <w:rsid w:val="242E146C"/>
    <w:rsid w:val="2463AFC1"/>
    <w:rsid w:val="24EEFFDB"/>
    <w:rsid w:val="25B2FD1E"/>
    <w:rsid w:val="25CC4A56"/>
    <w:rsid w:val="267EF1CC"/>
    <w:rsid w:val="26B02E38"/>
    <w:rsid w:val="271A692E"/>
    <w:rsid w:val="2768F7A2"/>
    <w:rsid w:val="279B3E30"/>
    <w:rsid w:val="28813319"/>
    <w:rsid w:val="289F857A"/>
    <w:rsid w:val="293BF424"/>
    <w:rsid w:val="2A00604A"/>
    <w:rsid w:val="2A0238C3"/>
    <w:rsid w:val="2A25D452"/>
    <w:rsid w:val="2AA361A3"/>
    <w:rsid w:val="2BBE305A"/>
    <w:rsid w:val="2C696647"/>
    <w:rsid w:val="2C7056B3"/>
    <w:rsid w:val="2C9C5512"/>
    <w:rsid w:val="2CAD8371"/>
    <w:rsid w:val="2CFA6C5D"/>
    <w:rsid w:val="2D259B2D"/>
    <w:rsid w:val="2DB9874F"/>
    <w:rsid w:val="2E316FA6"/>
    <w:rsid w:val="2E77C291"/>
    <w:rsid w:val="2EE3B0C3"/>
    <w:rsid w:val="2EF51F18"/>
    <w:rsid w:val="2F740987"/>
    <w:rsid w:val="300E370E"/>
    <w:rsid w:val="3030B810"/>
    <w:rsid w:val="304A2B31"/>
    <w:rsid w:val="3060BDBA"/>
    <w:rsid w:val="316BEB65"/>
    <w:rsid w:val="31822FEF"/>
    <w:rsid w:val="31EC8591"/>
    <w:rsid w:val="31F7F4F8"/>
    <w:rsid w:val="3200100B"/>
    <w:rsid w:val="32057D47"/>
    <w:rsid w:val="322EA68B"/>
    <w:rsid w:val="3259C818"/>
    <w:rsid w:val="3411B6C4"/>
    <w:rsid w:val="34AD50DC"/>
    <w:rsid w:val="358F4021"/>
    <w:rsid w:val="359E3CE5"/>
    <w:rsid w:val="369CB913"/>
    <w:rsid w:val="36D42F72"/>
    <w:rsid w:val="36FD6D0D"/>
    <w:rsid w:val="37767915"/>
    <w:rsid w:val="37B0AB7A"/>
    <w:rsid w:val="37B142F2"/>
    <w:rsid w:val="39192565"/>
    <w:rsid w:val="39457426"/>
    <w:rsid w:val="398CA1F2"/>
    <w:rsid w:val="3A14703C"/>
    <w:rsid w:val="3A234A22"/>
    <w:rsid w:val="3B1E162C"/>
    <w:rsid w:val="3C0DB1DD"/>
    <w:rsid w:val="3C76E359"/>
    <w:rsid w:val="3C8029BE"/>
    <w:rsid w:val="3CE07581"/>
    <w:rsid w:val="3D11E56C"/>
    <w:rsid w:val="3D73A532"/>
    <w:rsid w:val="3D9AB6AD"/>
    <w:rsid w:val="3E47713C"/>
    <w:rsid w:val="3EA26E25"/>
    <w:rsid w:val="3F9266F6"/>
    <w:rsid w:val="3FB79466"/>
    <w:rsid w:val="4033F84E"/>
    <w:rsid w:val="40AA564E"/>
    <w:rsid w:val="40B70836"/>
    <w:rsid w:val="40E66398"/>
    <w:rsid w:val="41B1AD17"/>
    <w:rsid w:val="41BB8894"/>
    <w:rsid w:val="420BAA90"/>
    <w:rsid w:val="420E7920"/>
    <w:rsid w:val="423CAC84"/>
    <w:rsid w:val="4280D962"/>
    <w:rsid w:val="43D1DEA9"/>
    <w:rsid w:val="44EB5FF4"/>
    <w:rsid w:val="45940EF3"/>
    <w:rsid w:val="45B01CC5"/>
    <w:rsid w:val="467A3C42"/>
    <w:rsid w:val="46937BBA"/>
    <w:rsid w:val="470864F4"/>
    <w:rsid w:val="47743853"/>
    <w:rsid w:val="47DB0FB6"/>
    <w:rsid w:val="49008737"/>
    <w:rsid w:val="492A770F"/>
    <w:rsid w:val="495BDDD7"/>
    <w:rsid w:val="498A27EE"/>
    <w:rsid w:val="49BF936F"/>
    <w:rsid w:val="4A04950C"/>
    <w:rsid w:val="4A4D81D0"/>
    <w:rsid w:val="4AC2015B"/>
    <w:rsid w:val="4AF12C79"/>
    <w:rsid w:val="4B688B05"/>
    <w:rsid w:val="4C99DBC0"/>
    <w:rsid w:val="4CA3DE5F"/>
    <w:rsid w:val="4D68CF9A"/>
    <w:rsid w:val="4DE42651"/>
    <w:rsid w:val="4DEB99A7"/>
    <w:rsid w:val="4E7A0B98"/>
    <w:rsid w:val="4E81937C"/>
    <w:rsid w:val="4F13E804"/>
    <w:rsid w:val="4FDFDA44"/>
    <w:rsid w:val="5053E57A"/>
    <w:rsid w:val="512336F5"/>
    <w:rsid w:val="529165F2"/>
    <w:rsid w:val="537D38EC"/>
    <w:rsid w:val="548603CC"/>
    <w:rsid w:val="5592698F"/>
    <w:rsid w:val="55A2B306"/>
    <w:rsid w:val="55C4C9C5"/>
    <w:rsid w:val="55D0AFF8"/>
    <w:rsid w:val="563C7797"/>
    <w:rsid w:val="568D6FAA"/>
    <w:rsid w:val="56C93F9B"/>
    <w:rsid w:val="56EB6F81"/>
    <w:rsid w:val="56F64BDF"/>
    <w:rsid w:val="570E8236"/>
    <w:rsid w:val="579A2A79"/>
    <w:rsid w:val="57B90C20"/>
    <w:rsid w:val="57DBA616"/>
    <w:rsid w:val="584EB5A9"/>
    <w:rsid w:val="585A2AD1"/>
    <w:rsid w:val="5926E9D6"/>
    <w:rsid w:val="592AB105"/>
    <w:rsid w:val="5AAB650B"/>
    <w:rsid w:val="5AE3D3C8"/>
    <w:rsid w:val="5B314F5B"/>
    <w:rsid w:val="5B484FE8"/>
    <w:rsid w:val="5B4D7DEA"/>
    <w:rsid w:val="5CD4D37E"/>
    <w:rsid w:val="5D0272AA"/>
    <w:rsid w:val="5E0199B8"/>
    <w:rsid w:val="5E6EE6DD"/>
    <w:rsid w:val="60794AA8"/>
    <w:rsid w:val="6151A441"/>
    <w:rsid w:val="61D04FB2"/>
    <w:rsid w:val="61D981CF"/>
    <w:rsid w:val="61ED3677"/>
    <w:rsid w:val="628D06EF"/>
    <w:rsid w:val="62E108B5"/>
    <w:rsid w:val="638476E2"/>
    <w:rsid w:val="64960598"/>
    <w:rsid w:val="64B006B9"/>
    <w:rsid w:val="64BD4092"/>
    <w:rsid w:val="6514A7CC"/>
    <w:rsid w:val="654A1FDE"/>
    <w:rsid w:val="65ECE640"/>
    <w:rsid w:val="672892A4"/>
    <w:rsid w:val="6749225B"/>
    <w:rsid w:val="67756042"/>
    <w:rsid w:val="6795F7B2"/>
    <w:rsid w:val="67B308DF"/>
    <w:rsid w:val="68694E45"/>
    <w:rsid w:val="6931B134"/>
    <w:rsid w:val="693EF0CB"/>
    <w:rsid w:val="6956A32D"/>
    <w:rsid w:val="6C7B839F"/>
    <w:rsid w:val="6CAE8F89"/>
    <w:rsid w:val="6D46BF0A"/>
    <w:rsid w:val="6D5A7F5D"/>
    <w:rsid w:val="6DDD957D"/>
    <w:rsid w:val="6DFB1AB7"/>
    <w:rsid w:val="6DFDDCE4"/>
    <w:rsid w:val="6E4568C4"/>
    <w:rsid w:val="6E5711D2"/>
    <w:rsid w:val="6EAD11C2"/>
    <w:rsid w:val="6F32959A"/>
    <w:rsid w:val="6FA6FAD8"/>
    <w:rsid w:val="70C3DAD8"/>
    <w:rsid w:val="70D40FA4"/>
    <w:rsid w:val="711BFAC7"/>
    <w:rsid w:val="7134E6F7"/>
    <w:rsid w:val="71CD8F44"/>
    <w:rsid w:val="71E9DC88"/>
    <w:rsid w:val="72217CD5"/>
    <w:rsid w:val="7265256F"/>
    <w:rsid w:val="72CDEAA4"/>
    <w:rsid w:val="732DCC88"/>
    <w:rsid w:val="73AD8067"/>
    <w:rsid w:val="73BC0853"/>
    <w:rsid w:val="73E58E6A"/>
    <w:rsid w:val="755FF0B1"/>
    <w:rsid w:val="765CB0F3"/>
    <w:rsid w:val="76757116"/>
    <w:rsid w:val="7690DC6A"/>
    <w:rsid w:val="76C7C6B4"/>
    <w:rsid w:val="77ED4C86"/>
    <w:rsid w:val="7867C57E"/>
    <w:rsid w:val="787807B9"/>
    <w:rsid w:val="78BF3F5B"/>
    <w:rsid w:val="79DC9D3E"/>
    <w:rsid w:val="7A1C53F7"/>
    <w:rsid w:val="7A1D8801"/>
    <w:rsid w:val="7AB4D144"/>
    <w:rsid w:val="7AD455B3"/>
    <w:rsid w:val="7B2F0374"/>
    <w:rsid w:val="7B7E9CB2"/>
    <w:rsid w:val="7BA33E0D"/>
    <w:rsid w:val="7BEF715F"/>
    <w:rsid w:val="7C0FB612"/>
    <w:rsid w:val="7C48F074"/>
    <w:rsid w:val="7C4B448B"/>
    <w:rsid w:val="7C98E45C"/>
    <w:rsid w:val="7CE87706"/>
    <w:rsid w:val="7D43FD80"/>
    <w:rsid w:val="7DF2B8F5"/>
    <w:rsid w:val="7E644D6E"/>
    <w:rsid w:val="7EA25F13"/>
    <w:rsid w:val="7F1FD7C3"/>
    <w:rsid w:val="7F6727BA"/>
    <w:rsid w:val="7F76F3F4"/>
    <w:rsid w:val="7F773DF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ABAB3"/>
  <w15:docId w15:val="{06E701D4-8E9F-4C30-A175-14D90596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28B"/>
    <w:rPr>
      <w:rFonts w:ascii="Ubuntu" w:eastAsia="Ubuntu" w:hAnsi="Ubuntu" w:cs="Ubuntu"/>
      <w:lang w:val="el-GR"/>
    </w:rPr>
  </w:style>
  <w:style w:type="paragraph" w:styleId="Heading1">
    <w:name w:val="heading 1"/>
    <w:basedOn w:val="Normal"/>
    <w:link w:val="Heading1Char"/>
    <w:uiPriority w:val="9"/>
    <w:qFormat/>
    <w:rsid w:val="003532CF"/>
    <w:pPr>
      <w:spacing w:line="845" w:lineRule="exact"/>
      <w:ind w:left="117"/>
      <w:outlineLvl w:val="0"/>
    </w:pPr>
    <w:rPr>
      <w:b/>
      <w:bCs/>
      <w:sz w:val="77"/>
      <w:szCs w:val="7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pPr>
    <w:rPr>
      <w:rFonts w:ascii="Ubuntu-Medium" w:eastAsia="Ubuntu-Medium" w:hAnsi="Ubuntu-Medium" w:cs="Ubuntu-Medium"/>
      <w:sz w:val="80"/>
      <w:szCs w:val="80"/>
    </w:rPr>
  </w:style>
  <w:style w:type="paragraph" w:styleId="Title">
    <w:name w:val="Title"/>
    <w:basedOn w:val="Normal"/>
    <w:link w:val="TitleChar"/>
    <w:uiPriority w:val="1"/>
    <w:qFormat/>
    <w:pPr>
      <w:spacing w:before="63"/>
      <w:ind w:left="1176"/>
    </w:pPr>
    <w:rPr>
      <w:b/>
      <w:bCs/>
      <w:sz w:val="92"/>
      <w:szCs w:val="9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4578EA"/>
    <w:pPr>
      <w:widowControl/>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4578EA"/>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table" w:styleId="TableGrid">
    <w:name w:val="Table Grid"/>
    <w:basedOn w:val="TableNormal"/>
    <w:uiPriority w:val="39"/>
    <w:rsid w:val="0045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5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E34"/>
    <w:rPr>
      <w:rFonts w:ascii="Segoe UI" w:eastAsia="Ubuntu" w:hAnsi="Segoe UI" w:cs="Segoe UI"/>
      <w:sz w:val="18"/>
      <w:szCs w:val="18"/>
      <w:lang w:val="el-GR"/>
    </w:rPr>
  </w:style>
  <w:style w:type="paragraph" w:styleId="Revision">
    <w:name w:val="Revision"/>
    <w:hidden/>
    <w:uiPriority w:val="99"/>
    <w:semiHidden/>
    <w:rsid w:val="000A70EC"/>
    <w:pPr>
      <w:widowControl/>
      <w:autoSpaceDE/>
      <w:autoSpaceDN/>
    </w:pPr>
    <w:rPr>
      <w:rFonts w:ascii="Ubuntu" w:eastAsia="Ubuntu" w:hAnsi="Ubuntu" w:cs="Ubuntu"/>
      <w:lang w:val="el-GR"/>
    </w:rPr>
  </w:style>
  <w:style w:type="character" w:styleId="CommentReference">
    <w:name w:val="annotation reference"/>
    <w:basedOn w:val="DefaultParagraphFont"/>
    <w:uiPriority w:val="99"/>
    <w:semiHidden/>
    <w:unhideWhenUsed/>
    <w:rsid w:val="00402D2D"/>
    <w:rPr>
      <w:sz w:val="16"/>
      <w:szCs w:val="16"/>
    </w:rPr>
  </w:style>
  <w:style w:type="paragraph" w:styleId="CommentText">
    <w:name w:val="annotation text"/>
    <w:basedOn w:val="Normal"/>
    <w:link w:val="CommentTextChar"/>
    <w:uiPriority w:val="99"/>
    <w:unhideWhenUsed/>
    <w:rsid w:val="00402D2D"/>
    <w:rPr>
      <w:sz w:val="20"/>
      <w:szCs w:val="20"/>
    </w:rPr>
  </w:style>
  <w:style w:type="character" w:customStyle="1" w:styleId="CommentTextChar">
    <w:name w:val="Comment Text Char"/>
    <w:basedOn w:val="DefaultParagraphFont"/>
    <w:link w:val="CommentText"/>
    <w:uiPriority w:val="99"/>
    <w:rsid w:val="00402D2D"/>
    <w:rPr>
      <w:rFonts w:ascii="Ubuntu" w:eastAsia="Ubuntu" w:hAnsi="Ubuntu" w:cs="Ubuntu"/>
      <w:sz w:val="20"/>
      <w:szCs w:val="20"/>
      <w:lang w:val="el-GR"/>
    </w:rPr>
  </w:style>
  <w:style w:type="paragraph" w:styleId="CommentSubject">
    <w:name w:val="annotation subject"/>
    <w:basedOn w:val="CommentText"/>
    <w:next w:val="CommentText"/>
    <w:link w:val="CommentSubjectChar"/>
    <w:uiPriority w:val="99"/>
    <w:semiHidden/>
    <w:unhideWhenUsed/>
    <w:rsid w:val="00402D2D"/>
    <w:rPr>
      <w:b/>
      <w:bCs/>
    </w:rPr>
  </w:style>
  <w:style w:type="character" w:customStyle="1" w:styleId="CommentSubjectChar">
    <w:name w:val="Comment Subject Char"/>
    <w:basedOn w:val="CommentTextChar"/>
    <w:link w:val="CommentSubject"/>
    <w:uiPriority w:val="99"/>
    <w:semiHidden/>
    <w:rsid w:val="00402D2D"/>
    <w:rPr>
      <w:rFonts w:ascii="Ubuntu" w:eastAsia="Ubuntu" w:hAnsi="Ubuntu" w:cs="Ubuntu"/>
      <w:b/>
      <w:bCs/>
      <w:sz w:val="20"/>
      <w:szCs w:val="20"/>
      <w:lang w:val="el-GR"/>
    </w:rPr>
  </w:style>
  <w:style w:type="character" w:customStyle="1" w:styleId="TitleChar">
    <w:name w:val="Title Char"/>
    <w:basedOn w:val="DefaultParagraphFont"/>
    <w:link w:val="Title"/>
    <w:uiPriority w:val="1"/>
    <w:rsid w:val="00D847D0"/>
    <w:rPr>
      <w:rFonts w:ascii="Ubuntu" w:eastAsia="Ubuntu" w:hAnsi="Ubuntu" w:cs="Ubuntu"/>
      <w:b/>
      <w:bCs/>
      <w:sz w:val="92"/>
      <w:szCs w:val="92"/>
      <w:lang w:val="el-GR"/>
    </w:rPr>
  </w:style>
  <w:style w:type="paragraph" w:styleId="Header">
    <w:name w:val="header"/>
    <w:basedOn w:val="Normal"/>
    <w:link w:val="HeaderChar"/>
    <w:uiPriority w:val="99"/>
    <w:unhideWhenUsed/>
    <w:rsid w:val="00AA73D8"/>
    <w:pPr>
      <w:tabs>
        <w:tab w:val="center" w:pos="4513"/>
        <w:tab w:val="right" w:pos="9026"/>
      </w:tabs>
    </w:pPr>
  </w:style>
  <w:style w:type="character" w:customStyle="1" w:styleId="HeaderChar">
    <w:name w:val="Header Char"/>
    <w:basedOn w:val="DefaultParagraphFont"/>
    <w:link w:val="Header"/>
    <w:uiPriority w:val="99"/>
    <w:rsid w:val="00AA73D8"/>
    <w:rPr>
      <w:rFonts w:ascii="Ubuntu" w:eastAsia="Ubuntu" w:hAnsi="Ubuntu" w:cs="Ubuntu"/>
      <w:lang w:val="el-GR"/>
    </w:rPr>
  </w:style>
  <w:style w:type="paragraph" w:styleId="Footer">
    <w:name w:val="footer"/>
    <w:basedOn w:val="Normal"/>
    <w:link w:val="FooterChar"/>
    <w:uiPriority w:val="99"/>
    <w:unhideWhenUsed/>
    <w:rsid w:val="00AA73D8"/>
    <w:pPr>
      <w:tabs>
        <w:tab w:val="center" w:pos="4513"/>
        <w:tab w:val="right" w:pos="9026"/>
      </w:tabs>
    </w:pPr>
  </w:style>
  <w:style w:type="character" w:customStyle="1" w:styleId="FooterChar">
    <w:name w:val="Footer Char"/>
    <w:basedOn w:val="DefaultParagraphFont"/>
    <w:link w:val="Footer"/>
    <w:uiPriority w:val="99"/>
    <w:rsid w:val="00AA73D8"/>
    <w:rPr>
      <w:rFonts w:ascii="Ubuntu" w:eastAsia="Ubuntu" w:hAnsi="Ubuntu" w:cs="Ubuntu"/>
      <w:lang w:val="el-GR"/>
    </w:rPr>
  </w:style>
  <w:style w:type="paragraph" w:styleId="FootnoteText">
    <w:name w:val="footnote text"/>
    <w:basedOn w:val="Normal"/>
    <w:link w:val="FootnoteTextChar"/>
    <w:uiPriority w:val="99"/>
    <w:semiHidden/>
    <w:unhideWhenUsed/>
    <w:rsid w:val="002D070C"/>
    <w:rPr>
      <w:sz w:val="20"/>
      <w:szCs w:val="20"/>
    </w:rPr>
  </w:style>
  <w:style w:type="character" w:customStyle="1" w:styleId="FootnoteTextChar">
    <w:name w:val="Footnote Text Char"/>
    <w:basedOn w:val="DefaultParagraphFont"/>
    <w:link w:val="FootnoteText"/>
    <w:uiPriority w:val="99"/>
    <w:semiHidden/>
    <w:rsid w:val="002D070C"/>
    <w:rPr>
      <w:rFonts w:ascii="Ubuntu" w:eastAsia="Ubuntu" w:hAnsi="Ubuntu" w:cs="Ubuntu"/>
      <w:sz w:val="20"/>
      <w:szCs w:val="20"/>
      <w:lang w:val="el-GR"/>
    </w:rPr>
  </w:style>
  <w:style w:type="character" w:styleId="FootnoteReference">
    <w:name w:val="footnote reference"/>
    <w:basedOn w:val="DefaultParagraphFont"/>
    <w:uiPriority w:val="99"/>
    <w:semiHidden/>
    <w:unhideWhenUsed/>
    <w:rsid w:val="002D070C"/>
    <w:rPr>
      <w:vertAlign w:val="superscript"/>
    </w:rPr>
  </w:style>
  <w:style w:type="character" w:customStyle="1" w:styleId="Mention1">
    <w:name w:val="Mention1"/>
    <w:basedOn w:val="DefaultParagraphFont"/>
    <w:uiPriority w:val="99"/>
    <w:unhideWhenUsed/>
    <w:rsid w:val="008111D5"/>
    <w:rPr>
      <w:color w:val="2B579A"/>
      <w:shd w:val="clear" w:color="auto" w:fill="E1DFDD"/>
    </w:rPr>
  </w:style>
  <w:style w:type="table" w:styleId="GridTable1Light">
    <w:name w:val="Grid Table 1 Light"/>
    <w:basedOn w:val="TableNormal"/>
    <w:uiPriority w:val="46"/>
    <w:rsid w:val="00B54A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4A6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4A6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B54A6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54A6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4-Accent4">
    <w:name w:val="Grid Table 4 Accent 4"/>
    <w:basedOn w:val="TableNormal"/>
    <w:uiPriority w:val="49"/>
    <w:rsid w:val="00B54A6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1">
    <w:name w:val="Grid Table 4 Accent 1"/>
    <w:basedOn w:val="TableNormal"/>
    <w:uiPriority w:val="49"/>
    <w:rsid w:val="00B54A6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014B53"/>
  </w:style>
  <w:style w:type="character" w:customStyle="1" w:styleId="ui-provider">
    <w:name w:val="ui-provider"/>
    <w:basedOn w:val="DefaultParagraphFont"/>
    <w:rsid w:val="00CF17EB"/>
  </w:style>
  <w:style w:type="paragraph" w:styleId="EndnoteText">
    <w:name w:val="endnote text"/>
    <w:basedOn w:val="Normal"/>
    <w:link w:val="EndnoteTextChar"/>
    <w:uiPriority w:val="99"/>
    <w:semiHidden/>
    <w:unhideWhenUsed/>
    <w:rsid w:val="002B1C0E"/>
    <w:rPr>
      <w:sz w:val="20"/>
      <w:szCs w:val="20"/>
    </w:rPr>
  </w:style>
  <w:style w:type="character" w:customStyle="1" w:styleId="EndnoteTextChar">
    <w:name w:val="Endnote Text Char"/>
    <w:basedOn w:val="DefaultParagraphFont"/>
    <w:link w:val="EndnoteText"/>
    <w:uiPriority w:val="99"/>
    <w:semiHidden/>
    <w:rsid w:val="002B1C0E"/>
    <w:rPr>
      <w:rFonts w:ascii="Ubuntu" w:eastAsia="Ubuntu" w:hAnsi="Ubuntu" w:cs="Ubuntu"/>
      <w:sz w:val="20"/>
      <w:szCs w:val="20"/>
      <w:lang w:val="el-GR"/>
    </w:rPr>
  </w:style>
  <w:style w:type="character" w:styleId="EndnoteReference">
    <w:name w:val="endnote reference"/>
    <w:basedOn w:val="DefaultParagraphFont"/>
    <w:uiPriority w:val="99"/>
    <w:semiHidden/>
    <w:unhideWhenUsed/>
    <w:rsid w:val="002B1C0E"/>
    <w:rPr>
      <w:vertAlign w:val="superscript"/>
    </w:rPr>
  </w:style>
  <w:style w:type="character" w:customStyle="1" w:styleId="Heading1Char">
    <w:name w:val="Heading 1 Char"/>
    <w:basedOn w:val="DefaultParagraphFont"/>
    <w:link w:val="Heading1"/>
    <w:uiPriority w:val="9"/>
    <w:rsid w:val="003532CF"/>
    <w:rPr>
      <w:rFonts w:ascii="Ubuntu" w:eastAsia="Ubuntu" w:hAnsi="Ubuntu" w:cs="Ubuntu"/>
      <w:b/>
      <w:bCs/>
      <w:sz w:val="77"/>
      <w:szCs w:val="77"/>
    </w:rPr>
  </w:style>
  <w:style w:type="character" w:customStyle="1" w:styleId="BodyTextChar">
    <w:name w:val="Body Text Char"/>
    <w:basedOn w:val="DefaultParagraphFont"/>
    <w:link w:val="BodyText"/>
    <w:uiPriority w:val="1"/>
    <w:rsid w:val="009E476B"/>
    <w:rPr>
      <w:rFonts w:ascii="Ubuntu-Medium" w:eastAsia="Ubuntu-Medium" w:hAnsi="Ubuntu-Medium" w:cs="Ubuntu-Medium"/>
      <w:sz w:val="80"/>
      <w:szCs w:val="8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1572">
      <w:bodyDiv w:val="1"/>
      <w:marLeft w:val="0"/>
      <w:marRight w:val="0"/>
      <w:marTop w:val="0"/>
      <w:marBottom w:val="0"/>
      <w:divBdr>
        <w:top w:val="none" w:sz="0" w:space="0" w:color="auto"/>
        <w:left w:val="none" w:sz="0" w:space="0" w:color="auto"/>
        <w:bottom w:val="none" w:sz="0" w:space="0" w:color="auto"/>
        <w:right w:val="none" w:sz="0" w:space="0" w:color="auto"/>
      </w:divBdr>
    </w:div>
    <w:div w:id="191070114">
      <w:bodyDiv w:val="1"/>
      <w:marLeft w:val="0"/>
      <w:marRight w:val="0"/>
      <w:marTop w:val="0"/>
      <w:marBottom w:val="0"/>
      <w:divBdr>
        <w:top w:val="none" w:sz="0" w:space="0" w:color="auto"/>
        <w:left w:val="none" w:sz="0" w:space="0" w:color="auto"/>
        <w:bottom w:val="none" w:sz="0" w:space="0" w:color="auto"/>
        <w:right w:val="none" w:sz="0" w:space="0" w:color="auto"/>
      </w:divBdr>
    </w:div>
    <w:div w:id="192117970">
      <w:bodyDiv w:val="1"/>
      <w:marLeft w:val="0"/>
      <w:marRight w:val="0"/>
      <w:marTop w:val="0"/>
      <w:marBottom w:val="0"/>
      <w:divBdr>
        <w:top w:val="none" w:sz="0" w:space="0" w:color="auto"/>
        <w:left w:val="none" w:sz="0" w:space="0" w:color="auto"/>
        <w:bottom w:val="none" w:sz="0" w:space="0" w:color="auto"/>
        <w:right w:val="none" w:sz="0" w:space="0" w:color="auto"/>
      </w:divBdr>
    </w:div>
    <w:div w:id="208301588">
      <w:bodyDiv w:val="1"/>
      <w:marLeft w:val="0"/>
      <w:marRight w:val="0"/>
      <w:marTop w:val="0"/>
      <w:marBottom w:val="0"/>
      <w:divBdr>
        <w:top w:val="none" w:sz="0" w:space="0" w:color="auto"/>
        <w:left w:val="none" w:sz="0" w:space="0" w:color="auto"/>
        <w:bottom w:val="none" w:sz="0" w:space="0" w:color="auto"/>
        <w:right w:val="none" w:sz="0" w:space="0" w:color="auto"/>
      </w:divBdr>
    </w:div>
    <w:div w:id="344941642">
      <w:bodyDiv w:val="1"/>
      <w:marLeft w:val="0"/>
      <w:marRight w:val="0"/>
      <w:marTop w:val="0"/>
      <w:marBottom w:val="0"/>
      <w:divBdr>
        <w:top w:val="none" w:sz="0" w:space="0" w:color="auto"/>
        <w:left w:val="none" w:sz="0" w:space="0" w:color="auto"/>
        <w:bottom w:val="none" w:sz="0" w:space="0" w:color="auto"/>
        <w:right w:val="none" w:sz="0" w:space="0" w:color="auto"/>
      </w:divBdr>
    </w:div>
    <w:div w:id="355622377">
      <w:bodyDiv w:val="1"/>
      <w:marLeft w:val="0"/>
      <w:marRight w:val="0"/>
      <w:marTop w:val="0"/>
      <w:marBottom w:val="0"/>
      <w:divBdr>
        <w:top w:val="none" w:sz="0" w:space="0" w:color="auto"/>
        <w:left w:val="none" w:sz="0" w:space="0" w:color="auto"/>
        <w:bottom w:val="none" w:sz="0" w:space="0" w:color="auto"/>
        <w:right w:val="none" w:sz="0" w:space="0" w:color="auto"/>
      </w:divBdr>
    </w:div>
    <w:div w:id="365787998">
      <w:bodyDiv w:val="1"/>
      <w:marLeft w:val="0"/>
      <w:marRight w:val="0"/>
      <w:marTop w:val="0"/>
      <w:marBottom w:val="0"/>
      <w:divBdr>
        <w:top w:val="none" w:sz="0" w:space="0" w:color="auto"/>
        <w:left w:val="none" w:sz="0" w:space="0" w:color="auto"/>
        <w:bottom w:val="none" w:sz="0" w:space="0" w:color="auto"/>
        <w:right w:val="none" w:sz="0" w:space="0" w:color="auto"/>
      </w:divBdr>
    </w:div>
    <w:div w:id="452015121">
      <w:bodyDiv w:val="1"/>
      <w:marLeft w:val="0"/>
      <w:marRight w:val="0"/>
      <w:marTop w:val="0"/>
      <w:marBottom w:val="0"/>
      <w:divBdr>
        <w:top w:val="none" w:sz="0" w:space="0" w:color="auto"/>
        <w:left w:val="none" w:sz="0" w:space="0" w:color="auto"/>
        <w:bottom w:val="none" w:sz="0" w:space="0" w:color="auto"/>
        <w:right w:val="none" w:sz="0" w:space="0" w:color="auto"/>
      </w:divBdr>
    </w:div>
    <w:div w:id="476461322">
      <w:bodyDiv w:val="1"/>
      <w:marLeft w:val="0"/>
      <w:marRight w:val="0"/>
      <w:marTop w:val="0"/>
      <w:marBottom w:val="0"/>
      <w:divBdr>
        <w:top w:val="none" w:sz="0" w:space="0" w:color="auto"/>
        <w:left w:val="none" w:sz="0" w:space="0" w:color="auto"/>
        <w:bottom w:val="none" w:sz="0" w:space="0" w:color="auto"/>
        <w:right w:val="none" w:sz="0" w:space="0" w:color="auto"/>
      </w:divBdr>
    </w:div>
    <w:div w:id="528377118">
      <w:bodyDiv w:val="1"/>
      <w:marLeft w:val="0"/>
      <w:marRight w:val="0"/>
      <w:marTop w:val="0"/>
      <w:marBottom w:val="0"/>
      <w:divBdr>
        <w:top w:val="none" w:sz="0" w:space="0" w:color="auto"/>
        <w:left w:val="none" w:sz="0" w:space="0" w:color="auto"/>
        <w:bottom w:val="none" w:sz="0" w:space="0" w:color="auto"/>
        <w:right w:val="none" w:sz="0" w:space="0" w:color="auto"/>
      </w:divBdr>
    </w:div>
    <w:div w:id="550044647">
      <w:bodyDiv w:val="1"/>
      <w:marLeft w:val="0"/>
      <w:marRight w:val="0"/>
      <w:marTop w:val="0"/>
      <w:marBottom w:val="0"/>
      <w:divBdr>
        <w:top w:val="none" w:sz="0" w:space="0" w:color="auto"/>
        <w:left w:val="none" w:sz="0" w:space="0" w:color="auto"/>
        <w:bottom w:val="none" w:sz="0" w:space="0" w:color="auto"/>
        <w:right w:val="none" w:sz="0" w:space="0" w:color="auto"/>
      </w:divBdr>
    </w:div>
    <w:div w:id="629014636">
      <w:bodyDiv w:val="1"/>
      <w:marLeft w:val="0"/>
      <w:marRight w:val="0"/>
      <w:marTop w:val="0"/>
      <w:marBottom w:val="0"/>
      <w:divBdr>
        <w:top w:val="none" w:sz="0" w:space="0" w:color="auto"/>
        <w:left w:val="none" w:sz="0" w:space="0" w:color="auto"/>
        <w:bottom w:val="none" w:sz="0" w:space="0" w:color="auto"/>
        <w:right w:val="none" w:sz="0" w:space="0" w:color="auto"/>
      </w:divBdr>
    </w:div>
    <w:div w:id="796483692">
      <w:bodyDiv w:val="1"/>
      <w:marLeft w:val="0"/>
      <w:marRight w:val="0"/>
      <w:marTop w:val="0"/>
      <w:marBottom w:val="0"/>
      <w:divBdr>
        <w:top w:val="none" w:sz="0" w:space="0" w:color="auto"/>
        <w:left w:val="none" w:sz="0" w:space="0" w:color="auto"/>
        <w:bottom w:val="none" w:sz="0" w:space="0" w:color="auto"/>
        <w:right w:val="none" w:sz="0" w:space="0" w:color="auto"/>
      </w:divBdr>
    </w:div>
    <w:div w:id="805859288">
      <w:bodyDiv w:val="1"/>
      <w:marLeft w:val="0"/>
      <w:marRight w:val="0"/>
      <w:marTop w:val="0"/>
      <w:marBottom w:val="0"/>
      <w:divBdr>
        <w:top w:val="none" w:sz="0" w:space="0" w:color="auto"/>
        <w:left w:val="none" w:sz="0" w:space="0" w:color="auto"/>
        <w:bottom w:val="none" w:sz="0" w:space="0" w:color="auto"/>
        <w:right w:val="none" w:sz="0" w:space="0" w:color="auto"/>
      </w:divBdr>
    </w:div>
    <w:div w:id="885338445">
      <w:bodyDiv w:val="1"/>
      <w:marLeft w:val="0"/>
      <w:marRight w:val="0"/>
      <w:marTop w:val="0"/>
      <w:marBottom w:val="0"/>
      <w:divBdr>
        <w:top w:val="none" w:sz="0" w:space="0" w:color="auto"/>
        <w:left w:val="none" w:sz="0" w:space="0" w:color="auto"/>
        <w:bottom w:val="none" w:sz="0" w:space="0" w:color="auto"/>
        <w:right w:val="none" w:sz="0" w:space="0" w:color="auto"/>
      </w:divBdr>
    </w:div>
    <w:div w:id="977419513">
      <w:bodyDiv w:val="1"/>
      <w:marLeft w:val="0"/>
      <w:marRight w:val="0"/>
      <w:marTop w:val="0"/>
      <w:marBottom w:val="0"/>
      <w:divBdr>
        <w:top w:val="none" w:sz="0" w:space="0" w:color="auto"/>
        <w:left w:val="none" w:sz="0" w:space="0" w:color="auto"/>
        <w:bottom w:val="none" w:sz="0" w:space="0" w:color="auto"/>
        <w:right w:val="none" w:sz="0" w:space="0" w:color="auto"/>
      </w:divBdr>
    </w:div>
    <w:div w:id="983267843">
      <w:bodyDiv w:val="1"/>
      <w:marLeft w:val="0"/>
      <w:marRight w:val="0"/>
      <w:marTop w:val="0"/>
      <w:marBottom w:val="0"/>
      <w:divBdr>
        <w:top w:val="none" w:sz="0" w:space="0" w:color="auto"/>
        <w:left w:val="none" w:sz="0" w:space="0" w:color="auto"/>
        <w:bottom w:val="none" w:sz="0" w:space="0" w:color="auto"/>
        <w:right w:val="none" w:sz="0" w:space="0" w:color="auto"/>
      </w:divBdr>
    </w:div>
    <w:div w:id="995763718">
      <w:bodyDiv w:val="1"/>
      <w:marLeft w:val="0"/>
      <w:marRight w:val="0"/>
      <w:marTop w:val="0"/>
      <w:marBottom w:val="0"/>
      <w:divBdr>
        <w:top w:val="none" w:sz="0" w:space="0" w:color="auto"/>
        <w:left w:val="none" w:sz="0" w:space="0" w:color="auto"/>
        <w:bottom w:val="none" w:sz="0" w:space="0" w:color="auto"/>
        <w:right w:val="none" w:sz="0" w:space="0" w:color="auto"/>
      </w:divBdr>
    </w:div>
    <w:div w:id="1007244166">
      <w:bodyDiv w:val="1"/>
      <w:marLeft w:val="0"/>
      <w:marRight w:val="0"/>
      <w:marTop w:val="0"/>
      <w:marBottom w:val="0"/>
      <w:divBdr>
        <w:top w:val="none" w:sz="0" w:space="0" w:color="auto"/>
        <w:left w:val="none" w:sz="0" w:space="0" w:color="auto"/>
        <w:bottom w:val="none" w:sz="0" w:space="0" w:color="auto"/>
        <w:right w:val="none" w:sz="0" w:space="0" w:color="auto"/>
      </w:divBdr>
    </w:div>
    <w:div w:id="1051076446">
      <w:bodyDiv w:val="1"/>
      <w:marLeft w:val="0"/>
      <w:marRight w:val="0"/>
      <w:marTop w:val="0"/>
      <w:marBottom w:val="0"/>
      <w:divBdr>
        <w:top w:val="none" w:sz="0" w:space="0" w:color="auto"/>
        <w:left w:val="none" w:sz="0" w:space="0" w:color="auto"/>
        <w:bottom w:val="none" w:sz="0" w:space="0" w:color="auto"/>
        <w:right w:val="none" w:sz="0" w:space="0" w:color="auto"/>
      </w:divBdr>
    </w:div>
    <w:div w:id="1281104273">
      <w:bodyDiv w:val="1"/>
      <w:marLeft w:val="0"/>
      <w:marRight w:val="0"/>
      <w:marTop w:val="0"/>
      <w:marBottom w:val="0"/>
      <w:divBdr>
        <w:top w:val="none" w:sz="0" w:space="0" w:color="auto"/>
        <w:left w:val="none" w:sz="0" w:space="0" w:color="auto"/>
        <w:bottom w:val="none" w:sz="0" w:space="0" w:color="auto"/>
        <w:right w:val="none" w:sz="0" w:space="0" w:color="auto"/>
      </w:divBdr>
    </w:div>
    <w:div w:id="1295599469">
      <w:bodyDiv w:val="1"/>
      <w:marLeft w:val="0"/>
      <w:marRight w:val="0"/>
      <w:marTop w:val="0"/>
      <w:marBottom w:val="0"/>
      <w:divBdr>
        <w:top w:val="none" w:sz="0" w:space="0" w:color="auto"/>
        <w:left w:val="none" w:sz="0" w:space="0" w:color="auto"/>
        <w:bottom w:val="none" w:sz="0" w:space="0" w:color="auto"/>
        <w:right w:val="none" w:sz="0" w:space="0" w:color="auto"/>
      </w:divBdr>
    </w:div>
    <w:div w:id="1529873804">
      <w:bodyDiv w:val="1"/>
      <w:marLeft w:val="0"/>
      <w:marRight w:val="0"/>
      <w:marTop w:val="0"/>
      <w:marBottom w:val="0"/>
      <w:divBdr>
        <w:top w:val="none" w:sz="0" w:space="0" w:color="auto"/>
        <w:left w:val="none" w:sz="0" w:space="0" w:color="auto"/>
        <w:bottom w:val="none" w:sz="0" w:space="0" w:color="auto"/>
        <w:right w:val="none" w:sz="0" w:space="0" w:color="auto"/>
      </w:divBdr>
    </w:div>
    <w:div w:id="1557661082">
      <w:bodyDiv w:val="1"/>
      <w:marLeft w:val="0"/>
      <w:marRight w:val="0"/>
      <w:marTop w:val="0"/>
      <w:marBottom w:val="0"/>
      <w:divBdr>
        <w:top w:val="none" w:sz="0" w:space="0" w:color="auto"/>
        <w:left w:val="none" w:sz="0" w:space="0" w:color="auto"/>
        <w:bottom w:val="none" w:sz="0" w:space="0" w:color="auto"/>
        <w:right w:val="none" w:sz="0" w:space="0" w:color="auto"/>
      </w:divBdr>
    </w:div>
    <w:div w:id="1666202199">
      <w:bodyDiv w:val="1"/>
      <w:marLeft w:val="0"/>
      <w:marRight w:val="0"/>
      <w:marTop w:val="0"/>
      <w:marBottom w:val="0"/>
      <w:divBdr>
        <w:top w:val="none" w:sz="0" w:space="0" w:color="auto"/>
        <w:left w:val="none" w:sz="0" w:space="0" w:color="auto"/>
        <w:bottom w:val="none" w:sz="0" w:space="0" w:color="auto"/>
        <w:right w:val="none" w:sz="0" w:space="0" w:color="auto"/>
      </w:divBdr>
    </w:div>
    <w:div w:id="1715420495">
      <w:bodyDiv w:val="1"/>
      <w:marLeft w:val="0"/>
      <w:marRight w:val="0"/>
      <w:marTop w:val="0"/>
      <w:marBottom w:val="0"/>
      <w:divBdr>
        <w:top w:val="none" w:sz="0" w:space="0" w:color="auto"/>
        <w:left w:val="none" w:sz="0" w:space="0" w:color="auto"/>
        <w:bottom w:val="none" w:sz="0" w:space="0" w:color="auto"/>
        <w:right w:val="none" w:sz="0" w:space="0" w:color="auto"/>
      </w:divBdr>
    </w:div>
    <w:div w:id="1836337931">
      <w:bodyDiv w:val="1"/>
      <w:marLeft w:val="0"/>
      <w:marRight w:val="0"/>
      <w:marTop w:val="0"/>
      <w:marBottom w:val="0"/>
      <w:divBdr>
        <w:top w:val="none" w:sz="0" w:space="0" w:color="auto"/>
        <w:left w:val="none" w:sz="0" w:space="0" w:color="auto"/>
        <w:bottom w:val="none" w:sz="0" w:space="0" w:color="auto"/>
        <w:right w:val="none" w:sz="0" w:space="0" w:color="auto"/>
      </w:divBdr>
    </w:div>
    <w:div w:id="1909877980">
      <w:bodyDiv w:val="1"/>
      <w:marLeft w:val="0"/>
      <w:marRight w:val="0"/>
      <w:marTop w:val="0"/>
      <w:marBottom w:val="0"/>
      <w:divBdr>
        <w:top w:val="none" w:sz="0" w:space="0" w:color="auto"/>
        <w:left w:val="none" w:sz="0" w:space="0" w:color="auto"/>
        <w:bottom w:val="none" w:sz="0" w:space="0" w:color="auto"/>
        <w:right w:val="none" w:sz="0" w:space="0" w:color="auto"/>
      </w:divBdr>
    </w:div>
    <w:div w:id="2038505340">
      <w:bodyDiv w:val="1"/>
      <w:marLeft w:val="0"/>
      <w:marRight w:val="0"/>
      <w:marTop w:val="0"/>
      <w:marBottom w:val="0"/>
      <w:divBdr>
        <w:top w:val="none" w:sz="0" w:space="0" w:color="auto"/>
        <w:left w:val="none" w:sz="0" w:space="0" w:color="auto"/>
        <w:bottom w:val="none" w:sz="0" w:space="0" w:color="auto"/>
        <w:right w:val="none" w:sz="0" w:space="0" w:color="auto"/>
      </w:divBdr>
    </w:div>
    <w:div w:id="2098479832">
      <w:bodyDiv w:val="1"/>
      <w:marLeft w:val="0"/>
      <w:marRight w:val="0"/>
      <w:marTop w:val="0"/>
      <w:marBottom w:val="0"/>
      <w:divBdr>
        <w:top w:val="none" w:sz="0" w:space="0" w:color="auto"/>
        <w:left w:val="none" w:sz="0" w:space="0" w:color="auto"/>
        <w:bottom w:val="none" w:sz="0" w:space="0" w:color="auto"/>
        <w:right w:val="none" w:sz="0" w:space="0" w:color="auto"/>
      </w:divBdr>
    </w:div>
    <w:div w:id="2110008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filehlcinf\FINANCIAL%20SERVICES\STATUTORY%20REPORTING\01.%20ELVALHALCOR\2025\06_2025\CONSOLIDATION\FAIR%20VALUE\ELVALHALCOR_TABLES%20FOR%20WORD_30.06.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hlcinf\FINANCIAL%20SERVICES\STATUTORY%20REPORTING\01.%20ELVALHALCOR\2025\06_2025\CONSOLIDATION\FAIR%20VALUE\ELVALHALCOR_TABLES%20FOR%20WORD_30.06.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hlcinf\FINANCIAL%20SERVICES\STATUTORY%20REPORTING\01.%20ELVALHALCOR\2025\06_2025\CONSOLIDATION\FAIR%20VALUE\ELVALHALCOR_TABLES%20FOR%20WORD_30.06.2025.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filehlcinf\FINANCIAL%20SERVICES\STATUTORY%20REPORTING\01.%20ELVALHALCOR\2025\06_2025\CONSOLIDATION\FAIR%20VALUE\ELVALHALCOR_TABLES%20FOR%20WORD_30.06.20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00942277677498"/>
          <c:y val="0.23165279893171917"/>
          <c:w val="0.7623403097217627"/>
          <c:h val="0.57245136498017379"/>
        </c:manualLayout>
      </c:layout>
      <c:barChart>
        <c:barDir val="col"/>
        <c:grouping val="stacked"/>
        <c:varyColors val="0"/>
        <c:ser>
          <c:idx val="0"/>
          <c:order val="0"/>
          <c:tx>
            <c:strRef>
              <c:f>Charts!$V$57</c:f>
              <c:strCache>
                <c:ptCount val="1"/>
                <c:pt idx="0">
                  <c:v>CU</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Charts!$U$74:$U$76</c:f>
              <c:strCache>
                <c:ptCount val="3"/>
                <c:pt idx="0">
                  <c:v>Η1' 25</c:v>
                </c:pt>
                <c:pt idx="2">
                  <c:v>Η1' 24</c:v>
                </c:pt>
              </c:strCache>
            </c:strRef>
          </c:cat>
          <c:val>
            <c:numRef>
              <c:f>Charts!$V$74:$V$76</c:f>
              <c:numCache>
                <c:formatCode>General</c:formatCode>
                <c:ptCount val="3"/>
                <c:pt idx="0" formatCode="#,###,;\(#,###,\);_(* &quot;-&quot;_)">
                  <c:v>53001.652407125759</c:v>
                </c:pt>
                <c:pt idx="2" formatCode="#,###,;\(#,###,\);_(* &quot;-&quot;_)">
                  <c:v>57882.520752851284</c:v>
                </c:pt>
              </c:numCache>
            </c:numRef>
          </c:val>
          <c:extLst>
            <c:ext xmlns:c16="http://schemas.microsoft.com/office/drawing/2014/chart" uri="{C3380CC4-5D6E-409C-BE32-E72D297353CC}">
              <c16:uniqueId val="{00000000-A60E-4A4E-B171-7327C7A92AE2}"/>
            </c:ext>
          </c:extLst>
        </c:ser>
        <c:ser>
          <c:idx val="1"/>
          <c:order val="1"/>
          <c:tx>
            <c:strRef>
              <c:f>Charts!$W$57</c:f>
              <c:strCache>
                <c:ptCount val="1"/>
                <c:pt idx="0">
                  <c:v>AL</c:v>
                </c:pt>
              </c:strCache>
            </c:strRef>
          </c:tx>
          <c:spPr>
            <a:solidFill>
              <a:srgbClr val="558E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l-GR"/>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Charts!$U$74:$U$76</c:f>
              <c:strCache>
                <c:ptCount val="3"/>
                <c:pt idx="0">
                  <c:v>Η1' 25</c:v>
                </c:pt>
                <c:pt idx="2">
                  <c:v>Η1' 24</c:v>
                </c:pt>
              </c:strCache>
            </c:strRef>
          </c:cat>
          <c:val>
            <c:numRef>
              <c:f>Charts!$W$74:$W$76</c:f>
              <c:numCache>
                <c:formatCode>General</c:formatCode>
                <c:ptCount val="3"/>
                <c:pt idx="0" formatCode="#,###,;\(#,###,\);_(* &quot;-&quot;_)">
                  <c:v>81418.640535947794</c:v>
                </c:pt>
                <c:pt idx="2" formatCode="#,###,;\(#,###,\);_(* &quot;-&quot;_)">
                  <c:v>55906.968646738547</c:v>
                </c:pt>
              </c:numCache>
            </c:numRef>
          </c:val>
          <c:extLst>
            <c:ext xmlns:c16="http://schemas.microsoft.com/office/drawing/2014/chart" uri="{C3380CC4-5D6E-409C-BE32-E72D297353CC}">
              <c16:uniqueId val="{00000001-A60E-4A4E-B171-7327C7A92AE2}"/>
            </c:ext>
          </c:extLst>
        </c:ser>
        <c:ser>
          <c:idx val="2"/>
          <c:order val="2"/>
          <c:tx>
            <c:strRef>
              <c:f>Charts!$X$57</c:f>
              <c:strCache>
                <c:ptCount val="1"/>
                <c:pt idx="0">
                  <c:v>Total</c:v>
                </c:pt>
              </c:strCache>
            </c:strRef>
          </c:tx>
          <c:spPr>
            <a:no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Charts!$U$74:$U$76</c:f>
              <c:strCache>
                <c:ptCount val="3"/>
                <c:pt idx="0">
                  <c:v>Η1' 25</c:v>
                </c:pt>
                <c:pt idx="2">
                  <c:v>Η1' 24</c:v>
                </c:pt>
              </c:strCache>
            </c:strRef>
          </c:cat>
          <c:val>
            <c:numRef>
              <c:f>Charts!$X$74:$X$76</c:f>
              <c:numCache>
                <c:formatCode>General</c:formatCode>
                <c:ptCount val="3"/>
                <c:pt idx="0" formatCode="#,###,;\(#,###,\);_(* &quot;-&quot;_)">
                  <c:v>134420.29294307355</c:v>
                </c:pt>
                <c:pt idx="2" formatCode="#,###,;\(#,###,\);_(* &quot;-&quot;_)">
                  <c:v>113789.48939958983</c:v>
                </c:pt>
              </c:numCache>
            </c:numRef>
          </c:val>
          <c:extLst>
            <c:ext xmlns:c16="http://schemas.microsoft.com/office/drawing/2014/chart" uri="{C3380CC4-5D6E-409C-BE32-E72D297353CC}">
              <c16:uniqueId val="{00000002-A60E-4A4E-B171-7327C7A92AE2}"/>
            </c:ext>
          </c:extLst>
        </c:ser>
        <c:dLbls>
          <c:showLegendKey val="0"/>
          <c:showVal val="0"/>
          <c:showCatName val="0"/>
          <c:showSerName val="0"/>
          <c:showPercent val="0"/>
          <c:showBubbleSize val="0"/>
        </c:dLbls>
        <c:gapWidth val="12"/>
        <c:overlap val="100"/>
        <c:axId val="395119392"/>
        <c:axId val="1072004096"/>
      </c:barChart>
      <c:catAx>
        <c:axId val="395119392"/>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10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072004096"/>
        <c:crosses val="autoZero"/>
        <c:auto val="1"/>
        <c:lblAlgn val="ctr"/>
        <c:lblOffset val="0"/>
        <c:noMultiLvlLbl val="0"/>
      </c:catAx>
      <c:valAx>
        <c:axId val="1072004096"/>
        <c:scaling>
          <c:orientation val="minMax"/>
          <c:max val="200000"/>
          <c:min val="0"/>
        </c:scaling>
        <c:delete val="0"/>
        <c:axPos val="l"/>
        <c:numFmt formatCode="#,###,;\(#,###,\);_(* &quot;-&quot;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l-GR"/>
          </a:p>
        </c:txPr>
        <c:crossAx val="395119392"/>
        <c:crosses val="autoZero"/>
        <c:crossBetween val="between"/>
      </c:valAx>
      <c:spPr>
        <a:noFill/>
        <a:ln>
          <a:noFill/>
        </a:ln>
        <a:effectLst/>
      </c:spPr>
    </c:plotArea>
    <c:legend>
      <c:legendPos val="b"/>
      <c:legendEntry>
        <c:idx val="2"/>
        <c:delete val="1"/>
      </c:legendEntry>
      <c:layout>
        <c:manualLayout>
          <c:xMode val="edge"/>
          <c:yMode val="edge"/>
          <c:x val="3.8006597507568754E-2"/>
          <c:y val="3.059350172749966E-2"/>
          <c:w val="0.2935575134031328"/>
          <c:h val="6.59744572700918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00942277677498"/>
          <c:y val="0.23165279893171917"/>
          <c:w val="0.7623403097217627"/>
          <c:h val="0.57245136498017379"/>
        </c:manualLayout>
      </c:layout>
      <c:barChart>
        <c:barDir val="col"/>
        <c:grouping val="stacked"/>
        <c:varyColors val="0"/>
        <c:ser>
          <c:idx val="0"/>
          <c:order val="0"/>
          <c:tx>
            <c:strRef>
              <c:f>Charts!$V$57</c:f>
              <c:strCache>
                <c:ptCount val="1"/>
                <c:pt idx="0">
                  <c:v>CU</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Charts!$U$96:$U$98</c:f>
              <c:strCache>
                <c:ptCount val="3"/>
                <c:pt idx="0">
                  <c:v>Η1' 25</c:v>
                </c:pt>
                <c:pt idx="2">
                  <c:v>Η1' 24</c:v>
                </c:pt>
              </c:strCache>
            </c:strRef>
          </c:cat>
          <c:val>
            <c:numRef>
              <c:f>Charts!$V$96:$V$98</c:f>
              <c:numCache>
                <c:formatCode>General</c:formatCode>
                <c:ptCount val="3"/>
                <c:pt idx="0" formatCode="#,###,;\(#,###,\);_(* &quot;-&quot;_)">
                  <c:v>48164.843023760055</c:v>
                </c:pt>
                <c:pt idx="2" formatCode="#,###,;\(#,###,\);_(* &quot;-&quot;_)">
                  <c:v>69445.853920362264</c:v>
                </c:pt>
              </c:numCache>
            </c:numRef>
          </c:val>
          <c:extLst>
            <c:ext xmlns:c16="http://schemas.microsoft.com/office/drawing/2014/chart" uri="{C3380CC4-5D6E-409C-BE32-E72D297353CC}">
              <c16:uniqueId val="{00000000-C4EF-4673-A737-63CA2484AAA2}"/>
            </c:ext>
          </c:extLst>
        </c:ser>
        <c:ser>
          <c:idx val="1"/>
          <c:order val="1"/>
          <c:tx>
            <c:strRef>
              <c:f>Charts!$W$57</c:f>
              <c:strCache>
                <c:ptCount val="1"/>
                <c:pt idx="0">
                  <c:v>AL</c:v>
                </c:pt>
              </c:strCache>
            </c:strRef>
          </c:tx>
          <c:spPr>
            <a:solidFill>
              <a:srgbClr val="558E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Charts!$U$96:$U$98</c:f>
              <c:strCache>
                <c:ptCount val="3"/>
                <c:pt idx="0">
                  <c:v>Η1' 25</c:v>
                </c:pt>
                <c:pt idx="2">
                  <c:v>Η1' 24</c:v>
                </c:pt>
              </c:strCache>
            </c:strRef>
          </c:cat>
          <c:val>
            <c:numRef>
              <c:f>Charts!$W$96:$W$98</c:f>
              <c:numCache>
                <c:formatCode>General</c:formatCode>
                <c:ptCount val="3"/>
                <c:pt idx="0" formatCode="#,###,;\(#,###,\);_(* &quot;-&quot;_)">
                  <c:v>90887.293848165864</c:v>
                </c:pt>
                <c:pt idx="2" formatCode="#,###,;\(#,###,\);_(* &quot;-&quot;_)">
                  <c:v>45637.163124770253</c:v>
                </c:pt>
              </c:numCache>
            </c:numRef>
          </c:val>
          <c:extLst>
            <c:ext xmlns:c16="http://schemas.microsoft.com/office/drawing/2014/chart" uri="{C3380CC4-5D6E-409C-BE32-E72D297353CC}">
              <c16:uniqueId val="{00000001-C4EF-4673-A737-63CA2484AAA2}"/>
            </c:ext>
          </c:extLst>
        </c:ser>
        <c:ser>
          <c:idx val="2"/>
          <c:order val="2"/>
          <c:tx>
            <c:strRef>
              <c:f>Charts!$X$57</c:f>
              <c:strCache>
                <c:ptCount val="1"/>
                <c:pt idx="0">
                  <c:v>Total</c:v>
                </c:pt>
              </c:strCache>
            </c:strRef>
          </c:tx>
          <c:spPr>
            <a:no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Charts!$U$96:$U$98</c:f>
              <c:strCache>
                <c:ptCount val="3"/>
                <c:pt idx="0">
                  <c:v>Η1' 25</c:v>
                </c:pt>
                <c:pt idx="2">
                  <c:v>Η1' 24</c:v>
                </c:pt>
              </c:strCache>
            </c:strRef>
          </c:cat>
          <c:val>
            <c:numRef>
              <c:f>Charts!$X$96:$X$98</c:f>
              <c:numCache>
                <c:formatCode>General</c:formatCode>
                <c:ptCount val="3"/>
                <c:pt idx="0" formatCode="#,###,;\(#,###,\);_(* &quot;-&quot;_)">
                  <c:v>139052.1368719259</c:v>
                </c:pt>
                <c:pt idx="2" formatCode="#,###,;\(#,###,\);_(* &quot;-&quot;_)">
                  <c:v>115083.01704513252</c:v>
                </c:pt>
              </c:numCache>
            </c:numRef>
          </c:val>
          <c:extLst>
            <c:ext xmlns:c16="http://schemas.microsoft.com/office/drawing/2014/chart" uri="{C3380CC4-5D6E-409C-BE32-E72D297353CC}">
              <c16:uniqueId val="{00000002-C4EF-4673-A737-63CA2484AAA2}"/>
            </c:ext>
          </c:extLst>
        </c:ser>
        <c:dLbls>
          <c:showLegendKey val="0"/>
          <c:showVal val="0"/>
          <c:showCatName val="0"/>
          <c:showSerName val="0"/>
          <c:showPercent val="0"/>
          <c:showBubbleSize val="0"/>
        </c:dLbls>
        <c:gapWidth val="12"/>
        <c:overlap val="100"/>
        <c:axId val="395119392"/>
        <c:axId val="1072004096"/>
      </c:barChart>
      <c:catAx>
        <c:axId val="395119392"/>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10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072004096"/>
        <c:crosses val="autoZero"/>
        <c:auto val="1"/>
        <c:lblAlgn val="ctr"/>
        <c:lblOffset val="0"/>
        <c:noMultiLvlLbl val="0"/>
      </c:catAx>
      <c:valAx>
        <c:axId val="1072004096"/>
        <c:scaling>
          <c:orientation val="minMax"/>
          <c:max val="200000"/>
          <c:min val="0"/>
        </c:scaling>
        <c:delete val="0"/>
        <c:axPos val="l"/>
        <c:numFmt formatCode="#,###,;\(#,###,\);_(* &quot;-&quot;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l-GR"/>
          </a:p>
        </c:txPr>
        <c:crossAx val="395119392"/>
        <c:crosses val="autoZero"/>
        <c:crossBetween val="between"/>
      </c:valAx>
      <c:spPr>
        <a:noFill/>
        <a:ln>
          <a:noFill/>
        </a:ln>
        <a:effectLst/>
      </c:spPr>
    </c:plotArea>
    <c:legend>
      <c:legendPos val="b"/>
      <c:legendEntry>
        <c:idx val="2"/>
        <c:delete val="1"/>
      </c:legendEntry>
      <c:layout>
        <c:manualLayout>
          <c:xMode val="edge"/>
          <c:yMode val="edge"/>
          <c:x val="3.8006597507568754E-2"/>
          <c:y val="3.059350172749966E-2"/>
          <c:w val="0.2935575134031328"/>
          <c:h val="6.59744572700918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00942277677498"/>
          <c:y val="0.1331747399901726"/>
          <c:w val="0.7623403097217627"/>
          <c:h val="0.67092942392172039"/>
        </c:manualLayout>
      </c:layout>
      <c:barChart>
        <c:barDir val="col"/>
        <c:grouping val="stacked"/>
        <c:varyColors val="0"/>
        <c:ser>
          <c:idx val="0"/>
          <c:order val="0"/>
          <c:tx>
            <c:strRef>
              <c:f>Charts!$V$57</c:f>
              <c:strCache>
                <c:ptCount val="1"/>
                <c:pt idx="0">
                  <c:v>CU</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Charts!$U$45:$U$47</c:f>
              <c:strCache>
                <c:ptCount val="3"/>
                <c:pt idx="0">
                  <c:v>Η1' 25</c:v>
                </c:pt>
                <c:pt idx="2">
                  <c:v>Η1' 24</c:v>
                </c:pt>
              </c:strCache>
              <c:extLst/>
            </c:strRef>
          </c:cat>
          <c:val>
            <c:numRef>
              <c:f>Charts!$V$45:$V$47</c:f>
              <c:numCache>
                <c:formatCode>General</c:formatCode>
                <c:ptCount val="3"/>
                <c:pt idx="0" formatCode="#,###,;\(#,###,\);_(* &quot;-&quot;_)">
                  <c:v>925739.26630999986</c:v>
                </c:pt>
                <c:pt idx="2" formatCode="#,###,;\(#,###,\);_(* &quot;-&quot;_)">
                  <c:v>881221.73303999985</c:v>
                </c:pt>
              </c:numCache>
              <c:extLst/>
            </c:numRef>
          </c:val>
          <c:extLst>
            <c:ext xmlns:c16="http://schemas.microsoft.com/office/drawing/2014/chart" uri="{C3380CC4-5D6E-409C-BE32-E72D297353CC}">
              <c16:uniqueId val="{00000000-652C-4027-8CC6-1492CC9E0AF6}"/>
            </c:ext>
          </c:extLst>
        </c:ser>
        <c:ser>
          <c:idx val="1"/>
          <c:order val="1"/>
          <c:tx>
            <c:strRef>
              <c:f>Charts!$W$57</c:f>
              <c:strCache>
                <c:ptCount val="1"/>
                <c:pt idx="0">
                  <c:v>AL</c:v>
                </c:pt>
              </c:strCache>
            </c:strRef>
          </c:tx>
          <c:spPr>
            <a:solidFill>
              <a:srgbClr val="558E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Charts!$U$45:$U$47</c:f>
              <c:strCache>
                <c:ptCount val="3"/>
                <c:pt idx="0">
                  <c:v>Η1' 25</c:v>
                </c:pt>
                <c:pt idx="2">
                  <c:v>Η1' 24</c:v>
                </c:pt>
              </c:strCache>
              <c:extLst/>
            </c:strRef>
          </c:cat>
          <c:val>
            <c:numRef>
              <c:f>Charts!$W$45:$W$47</c:f>
              <c:numCache>
                <c:formatCode>General</c:formatCode>
                <c:ptCount val="3"/>
                <c:pt idx="0" formatCode="#,###,;\(#,###,\);_(* &quot;-&quot;_)">
                  <c:v>936272.62035999994</c:v>
                </c:pt>
                <c:pt idx="2" formatCode="#,###,;\(#,###,\);_(* &quot;-&quot;_)">
                  <c:v>842359.30422000005</c:v>
                </c:pt>
              </c:numCache>
              <c:extLst/>
            </c:numRef>
          </c:val>
          <c:extLst>
            <c:ext xmlns:c16="http://schemas.microsoft.com/office/drawing/2014/chart" uri="{C3380CC4-5D6E-409C-BE32-E72D297353CC}">
              <c16:uniqueId val="{00000001-652C-4027-8CC6-1492CC9E0AF6}"/>
            </c:ext>
          </c:extLst>
        </c:ser>
        <c:ser>
          <c:idx val="2"/>
          <c:order val="2"/>
          <c:tx>
            <c:strRef>
              <c:f>Charts!$X$57</c:f>
              <c:strCache>
                <c:ptCount val="1"/>
                <c:pt idx="0">
                  <c:v>Total</c:v>
                </c:pt>
              </c:strCache>
            </c:strRef>
          </c:tx>
          <c:spPr>
            <a:noFill/>
            <a:ln>
              <a:noFill/>
            </a:ln>
            <a:effectLst/>
          </c:spPr>
          <c:invertIfNegative val="0"/>
          <c:dLbls>
            <c:dLbl>
              <c:idx val="0"/>
              <c:tx>
                <c:rich>
                  <a:bodyPr/>
                  <a:lstStyle/>
                  <a:p>
                    <a:r>
                      <a:rPr lang="en-US"/>
                      <a:t>1.862</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52C-4027-8CC6-1492CC9E0AF6}"/>
                </c:ext>
              </c:extLst>
            </c:dLbl>
            <c:dLbl>
              <c:idx val="2"/>
              <c:tx>
                <c:rich>
                  <a:bodyPr/>
                  <a:lstStyle/>
                  <a:p>
                    <a:r>
                      <a:rPr lang="en-US"/>
                      <a:t>1.724</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52C-4027-8CC6-1492CC9E0A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Charts!$U$45:$U$47</c:f>
              <c:strCache>
                <c:ptCount val="3"/>
                <c:pt idx="0">
                  <c:v>Η1' 25</c:v>
                </c:pt>
                <c:pt idx="2">
                  <c:v>Η1' 24</c:v>
                </c:pt>
              </c:strCache>
              <c:extLst/>
            </c:strRef>
          </c:cat>
          <c:val>
            <c:numRef>
              <c:f>Charts!$X$45:$X$47</c:f>
              <c:numCache>
                <c:formatCode>General</c:formatCode>
                <c:ptCount val="3"/>
                <c:pt idx="0" formatCode="#,###,;\(#,###,\);_(* &quot;-&quot;_)">
                  <c:v>1862011.8866699999</c:v>
                </c:pt>
                <c:pt idx="2" formatCode="#,###,;\(#,###,\);_(* &quot;-&quot;_)">
                  <c:v>1723581.0372599999</c:v>
                </c:pt>
              </c:numCache>
              <c:extLst/>
            </c:numRef>
          </c:val>
          <c:extLst>
            <c:ext xmlns:c16="http://schemas.microsoft.com/office/drawing/2014/chart" uri="{C3380CC4-5D6E-409C-BE32-E72D297353CC}">
              <c16:uniqueId val="{00000004-652C-4027-8CC6-1492CC9E0AF6}"/>
            </c:ext>
          </c:extLst>
        </c:ser>
        <c:dLbls>
          <c:showLegendKey val="0"/>
          <c:showVal val="0"/>
          <c:showCatName val="0"/>
          <c:showSerName val="0"/>
          <c:showPercent val="0"/>
          <c:showBubbleSize val="0"/>
        </c:dLbls>
        <c:gapWidth val="12"/>
        <c:overlap val="100"/>
        <c:axId val="395119392"/>
        <c:axId val="1072004096"/>
      </c:barChart>
      <c:catAx>
        <c:axId val="395119392"/>
        <c:scaling>
          <c:orientation val="minMax"/>
        </c:scaling>
        <c:delete val="0"/>
        <c:axPos val="b"/>
        <c:numFmt formatCode="General" sourceLinked="1"/>
        <c:majorTickMark val="out"/>
        <c:minorTickMark val="none"/>
        <c:tickLblPos val="nextTo"/>
        <c:spPr>
          <a:noFill/>
          <a:ln w="9525" cap="flat" cmpd="sng" algn="ctr">
            <a:solidFill>
              <a:schemeClr val="accent1"/>
            </a:solidFill>
            <a:round/>
          </a:ln>
          <a:effectLst/>
        </c:spPr>
        <c:txPr>
          <a:bodyPr rot="10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072004096"/>
        <c:crosses val="autoZero"/>
        <c:auto val="1"/>
        <c:lblAlgn val="ctr"/>
        <c:lblOffset val="0"/>
        <c:noMultiLvlLbl val="0"/>
      </c:catAx>
      <c:valAx>
        <c:axId val="1072004096"/>
        <c:scaling>
          <c:orientation val="minMax"/>
          <c:max val="4600000"/>
          <c:min val="0"/>
        </c:scaling>
        <c:delete val="0"/>
        <c:axPos val="l"/>
        <c:numFmt formatCode="#,###,;\(#,###,\);_(* &quot;-&quot;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l-GR"/>
          </a:p>
        </c:txPr>
        <c:crossAx val="395119392"/>
        <c:crosses val="autoZero"/>
        <c:crossBetween val="between"/>
      </c:valAx>
      <c:spPr>
        <a:noFill/>
        <a:ln>
          <a:noFill/>
        </a:ln>
        <a:effectLst/>
      </c:spPr>
    </c:plotArea>
    <c:legend>
      <c:legendPos val="b"/>
      <c:legendEntry>
        <c:idx val="0"/>
        <c:delete val="1"/>
      </c:legendEntry>
      <c:legendEntry>
        <c:idx val="2"/>
        <c:delete val="1"/>
      </c:legendEntry>
      <c:layout>
        <c:manualLayout>
          <c:xMode val="edge"/>
          <c:yMode val="edge"/>
          <c:x val="3.8006597507568754E-2"/>
          <c:y val="3.059350172749966E-2"/>
          <c:w val="0.2935575134031328"/>
          <c:h val="6.59744572700918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00942277677498"/>
          <c:y val="0.24720196613301598"/>
          <c:w val="0.7623403097217627"/>
          <c:h val="0.55690219777887706"/>
        </c:manualLayout>
      </c:layout>
      <c:barChart>
        <c:barDir val="col"/>
        <c:grouping val="stacked"/>
        <c:varyColors val="0"/>
        <c:ser>
          <c:idx val="0"/>
          <c:order val="0"/>
          <c:tx>
            <c:strRef>
              <c:f>Charts!$V$57</c:f>
              <c:strCache>
                <c:ptCount val="1"/>
                <c:pt idx="0">
                  <c:v>CU</c:v>
                </c:pt>
              </c:strCache>
            </c:strRef>
          </c:tx>
          <c:spPr>
            <a:solidFill>
              <a:schemeClr val="bg1">
                <a:lumMod val="75000"/>
              </a:schemeClr>
            </a:solidFill>
            <a:ln>
              <a:noFill/>
            </a:ln>
            <a:effectLst/>
          </c:spPr>
          <c:invertIfNegative val="0"/>
          <c:dLbls>
            <c:dLbl>
              <c:idx val="0"/>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A5D-42CB-BB24-514CC5B07C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Charts!$U$58:$U$60</c:f>
              <c:strCache>
                <c:ptCount val="3"/>
                <c:pt idx="0">
                  <c:v>Η1' 25</c:v>
                </c:pt>
                <c:pt idx="2">
                  <c:v>Η1' 24</c:v>
                </c:pt>
              </c:strCache>
            </c:strRef>
          </c:cat>
          <c:val>
            <c:numRef>
              <c:f>Charts!$V$58:$V$60</c:f>
              <c:numCache>
                <c:formatCode>General</c:formatCode>
                <c:ptCount val="3"/>
                <c:pt idx="0" formatCode="#,###,;\(#,###,\);_(* &quot;-&quot;_)">
                  <c:v>90739.51600000012</c:v>
                </c:pt>
                <c:pt idx="2" formatCode="#,###,;\(#,###,\);_(* &quot;-&quot;_)">
                  <c:v>90233.331691999978</c:v>
                </c:pt>
              </c:numCache>
            </c:numRef>
          </c:val>
          <c:extLst>
            <c:ext xmlns:c16="http://schemas.microsoft.com/office/drawing/2014/chart" uri="{C3380CC4-5D6E-409C-BE32-E72D297353CC}">
              <c16:uniqueId val="{00000000-A11E-40B1-869C-23C2F30DC7B5}"/>
            </c:ext>
          </c:extLst>
        </c:ser>
        <c:ser>
          <c:idx val="1"/>
          <c:order val="1"/>
          <c:tx>
            <c:strRef>
              <c:f>Charts!$W$57</c:f>
              <c:strCache>
                <c:ptCount val="1"/>
                <c:pt idx="0">
                  <c:v>AL</c:v>
                </c:pt>
              </c:strCache>
            </c:strRef>
          </c:tx>
          <c:spPr>
            <a:solidFill>
              <a:srgbClr val="558E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Charts!$U$58:$U$60</c:f>
              <c:strCache>
                <c:ptCount val="3"/>
                <c:pt idx="0">
                  <c:v>Η1' 25</c:v>
                </c:pt>
                <c:pt idx="2">
                  <c:v>Η1' 24</c:v>
                </c:pt>
              </c:strCache>
            </c:strRef>
          </c:cat>
          <c:val>
            <c:numRef>
              <c:f>Charts!$W$58:$W$60</c:f>
              <c:numCache>
                <c:formatCode>General</c:formatCode>
                <c:ptCount val="3"/>
                <c:pt idx="0" formatCode="#,###,;\(#,###,\);_(* &quot;-&quot;_)">
                  <c:v>212573.71805018003</c:v>
                </c:pt>
                <c:pt idx="2" formatCode="#,###,;\(#,###,\);_(* &quot;-&quot;_)">
                  <c:v>206724.63016533788</c:v>
                </c:pt>
              </c:numCache>
            </c:numRef>
          </c:val>
          <c:extLst>
            <c:ext xmlns:c16="http://schemas.microsoft.com/office/drawing/2014/chart" uri="{C3380CC4-5D6E-409C-BE32-E72D297353CC}">
              <c16:uniqueId val="{00000001-A11E-40B1-869C-23C2F30DC7B5}"/>
            </c:ext>
          </c:extLst>
        </c:ser>
        <c:ser>
          <c:idx val="2"/>
          <c:order val="2"/>
          <c:tx>
            <c:strRef>
              <c:f>Charts!$X$57</c:f>
              <c:strCache>
                <c:ptCount val="1"/>
                <c:pt idx="0">
                  <c:v>Total</c:v>
                </c:pt>
              </c:strCache>
            </c:strRef>
          </c:tx>
          <c:spPr>
            <a:noFill/>
            <a:ln>
              <a:noFill/>
            </a:ln>
            <a:effectLst/>
          </c:spPr>
          <c:invertIfNegative val="0"/>
          <c:cat>
            <c:strRef>
              <c:f>Charts!$U$58:$U$60</c:f>
              <c:strCache>
                <c:ptCount val="3"/>
                <c:pt idx="0">
                  <c:v>Η1' 25</c:v>
                </c:pt>
                <c:pt idx="2">
                  <c:v>Η1' 24</c:v>
                </c:pt>
              </c:strCache>
            </c:strRef>
          </c:cat>
          <c:val>
            <c:numRef>
              <c:f>Charts!$X$58:$X$60</c:f>
              <c:numCache>
                <c:formatCode>General</c:formatCode>
                <c:ptCount val="3"/>
                <c:pt idx="0" formatCode="#,###,;\(#,###,\);_(* &quot;-&quot;_)">
                  <c:v>303313.23405018018</c:v>
                </c:pt>
                <c:pt idx="2" formatCode="#,###,;\(#,###,\);_(* &quot;-&quot;_)">
                  <c:v>296957.96185733785</c:v>
                </c:pt>
              </c:numCache>
            </c:numRef>
          </c:val>
          <c:extLst>
            <c:ext xmlns:c16="http://schemas.microsoft.com/office/drawing/2014/chart" uri="{C3380CC4-5D6E-409C-BE32-E72D297353CC}">
              <c16:uniqueId val="{00000002-A11E-40B1-869C-23C2F30DC7B5}"/>
            </c:ext>
          </c:extLst>
        </c:ser>
        <c:dLbls>
          <c:showLegendKey val="0"/>
          <c:showVal val="0"/>
          <c:showCatName val="0"/>
          <c:showSerName val="0"/>
          <c:showPercent val="0"/>
          <c:showBubbleSize val="0"/>
        </c:dLbls>
        <c:gapWidth val="12"/>
        <c:overlap val="100"/>
        <c:axId val="395119392"/>
        <c:axId val="1072004096"/>
      </c:barChart>
      <c:catAx>
        <c:axId val="395119392"/>
        <c:scaling>
          <c:orientation val="minMax"/>
        </c:scaling>
        <c:delete val="0"/>
        <c:axPos val="b"/>
        <c:numFmt formatCode="General" sourceLinked="1"/>
        <c:majorTickMark val="out"/>
        <c:minorTickMark val="none"/>
        <c:tickLblPos val="nextTo"/>
        <c:spPr>
          <a:noFill/>
          <a:ln w="9525" cap="flat" cmpd="sng" algn="ctr">
            <a:solidFill>
              <a:schemeClr val="accent1"/>
            </a:solidFill>
            <a:round/>
          </a:ln>
          <a:effectLst/>
        </c:spPr>
        <c:txPr>
          <a:bodyPr rot="1020000" spcFirstLastPara="1" vertOverflow="ellipsis"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l-GR"/>
          </a:p>
        </c:txPr>
        <c:crossAx val="1072004096"/>
        <c:crosses val="autoZero"/>
        <c:auto val="1"/>
        <c:lblAlgn val="ctr"/>
        <c:lblOffset val="0"/>
        <c:noMultiLvlLbl val="0"/>
      </c:catAx>
      <c:valAx>
        <c:axId val="1072004096"/>
        <c:scaling>
          <c:orientation val="minMax"/>
          <c:max val="400000"/>
        </c:scaling>
        <c:delete val="0"/>
        <c:axPos val="l"/>
        <c:numFmt formatCode="#,###,;\(#,###,\);_(* &quot;-&quot;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l-GR"/>
          </a:p>
        </c:txPr>
        <c:crossAx val="395119392"/>
        <c:crosses val="autoZero"/>
        <c:crossBetween val="between"/>
      </c:valAx>
      <c:spPr>
        <a:noFill/>
        <a:ln>
          <a:noFill/>
        </a:ln>
        <a:effectLst/>
      </c:spPr>
    </c:plotArea>
    <c:legend>
      <c:legendPos val="b"/>
      <c:legendEntry>
        <c:idx val="2"/>
        <c:delete val="1"/>
      </c:legendEntry>
      <c:layout>
        <c:manualLayout>
          <c:xMode val="edge"/>
          <c:yMode val="edge"/>
          <c:x val="4.4876762349122627E-2"/>
          <c:y val="3.0593496611832385E-2"/>
          <c:w val="0.2935575134031328"/>
          <c:h val="6.59744572700918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0.05922</cdr:x>
      <cdr:y>0.02099</cdr:y>
    </cdr:from>
    <cdr:to>
      <cdr:x>0.30466</cdr:x>
      <cdr:y>0.09739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8464" y="41881"/>
          <a:ext cx="781159" cy="15242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CB7BF992983478AF6E2BDD6901B64" ma:contentTypeVersion="16" ma:contentTypeDescription="Create a new document." ma:contentTypeScope="" ma:versionID="97fcfa6f9082d6fa896bf7d79b6510f5">
  <xsd:schema xmlns:xsd="http://www.w3.org/2001/XMLSchema" xmlns:xs="http://www.w3.org/2001/XMLSchema" xmlns:p="http://schemas.microsoft.com/office/2006/metadata/properties" xmlns:ns3="9de7b25a-f304-457f-9363-263703bd9995" xmlns:ns4="28b25240-4b27-4f6f-82a3-ceaf2e2de58e" targetNamespace="http://schemas.microsoft.com/office/2006/metadata/properties" ma:root="true" ma:fieldsID="d5744cbc94ec9806888a4a178b0d1cc3" ns3:_="" ns4:_="">
    <xsd:import namespace="9de7b25a-f304-457f-9363-263703bd9995"/>
    <xsd:import namespace="28b25240-4b27-4f6f-82a3-ceaf2e2de5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7b25a-f304-457f-9363-263703bd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25240-4b27-4f6f-82a3-ceaf2e2de5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de7b25a-f304-457f-9363-263703bd99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D50F1-9883-401E-91D5-8CFB11EA5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7b25a-f304-457f-9363-263703bd9995"/>
    <ds:schemaRef ds:uri="28b25240-4b27-4f6f-82a3-ceaf2e2de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A0183-366F-47A9-930B-F2E2DC864964}">
  <ds:schemaRefs>
    <ds:schemaRef ds:uri="http://schemas.openxmlformats.org/officeDocument/2006/bibliography"/>
  </ds:schemaRefs>
</ds:datastoreItem>
</file>

<file path=customXml/itemProps3.xml><?xml version="1.0" encoding="utf-8"?>
<ds:datastoreItem xmlns:ds="http://schemas.openxmlformats.org/officeDocument/2006/customXml" ds:itemID="{B0576359-682E-49E0-AF6C-00B0FBA59DD6}">
  <ds:schemaRefs>
    <ds:schemaRef ds:uri="http://schemas.microsoft.com/office/2006/metadata/properties"/>
    <ds:schemaRef ds:uri="http://purl.org/dc/dcmitype/"/>
    <ds:schemaRef ds:uri="http://schemas.openxmlformats.org/package/2006/metadata/core-properties"/>
    <ds:schemaRef ds:uri="28b25240-4b27-4f6f-82a3-ceaf2e2de58e"/>
    <ds:schemaRef ds:uri="http://schemas.microsoft.com/office/2006/documentManagement/types"/>
    <ds:schemaRef ds:uri="http://purl.org/dc/terms/"/>
    <ds:schemaRef ds:uri="http://schemas.microsoft.com/office/infopath/2007/PartnerControls"/>
    <ds:schemaRef ds:uri="9de7b25a-f304-457f-9363-263703bd9995"/>
    <ds:schemaRef ds:uri="http://www.w3.org/XML/1998/namespace"/>
    <ds:schemaRef ds:uri="http://purl.org/dc/elements/1.1/"/>
  </ds:schemaRefs>
</ds:datastoreItem>
</file>

<file path=customXml/itemProps4.xml><?xml version="1.0" encoding="utf-8"?>
<ds:datastoreItem xmlns:ds="http://schemas.openxmlformats.org/officeDocument/2006/customXml" ds:itemID="{3015841E-41AA-4B10-AEA1-44714E5BA7F6}">
  <ds:schemaRefs>
    <ds:schemaRef ds:uri="http://schemas.microsoft.com/sharepoint/v3/contenttype/forms"/>
  </ds:schemaRefs>
</ds:datastoreItem>
</file>

<file path=docMetadata/LabelInfo.xml><?xml version="1.0" encoding="utf-8"?>
<clbl:labelList xmlns:clbl="http://schemas.microsoft.com/office/2020/mipLabelMetadata">
  <clbl:label id="{ac16fc13-eed0-45a8-a4cd-092120207ca4}" enabled="0" method="" siteId="{ac16fc13-eed0-45a8-a4cd-092120207ca4}" removed="1"/>
</clbl:labelList>
</file>

<file path=docProps/app.xml><?xml version="1.0" encoding="utf-8"?>
<Properties xmlns="http://schemas.openxmlformats.org/officeDocument/2006/extended-properties" xmlns:vt="http://schemas.openxmlformats.org/officeDocument/2006/docPropsVTypes">
  <Template>Normal</Template>
  <TotalTime>668</TotalTime>
  <Pages>7</Pages>
  <Words>2032</Words>
  <Characters>12411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Steelmet SA</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Kompotis, Alexandros (Κομπότης Αλέξανδρος)</dc:creator>
  <cp:keywords/>
  <dc:description/>
  <cp:lastModifiedBy>Theodorakatos, Dimitrios (Θεοδωρακάτος Δημήτριος)</cp:lastModifiedBy>
  <cp:revision>134</cp:revision>
  <cp:lastPrinted>2025-09-04T10:54:00Z</cp:lastPrinted>
  <dcterms:created xsi:type="dcterms:W3CDTF">2025-05-21T15:39:00Z</dcterms:created>
  <dcterms:modified xsi:type="dcterms:W3CDTF">2025-09-10T15:42:00Z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Adobe InDesign CS6 (Macintosh)</vt:lpwstr>
  </property>
  <property fmtid="{D5CDD505-2E9C-101B-9397-08002B2CF9AE}" pid="4" name="LastSaved">
    <vt:filetime>2022-03-10T00:00:00Z</vt:filetime>
  </property>
  <property fmtid="{D5CDD505-2E9C-101B-9397-08002B2CF9AE}" pid="5" name="GrammarlyDocumentId">
    <vt:lpwstr>5629eab9a5650dd95611a7b4b35e8ab6ff70827504323ec6188232686ffc9a47</vt:lpwstr>
  </property>
  <property fmtid="{D5CDD505-2E9C-101B-9397-08002B2CF9AE}" pid="6" name="ContentTypeId">
    <vt:lpwstr>0x01010071BCB7BF992983478AF6E2BDD6901B64</vt:lpwstr>
  </property>
</Properties>
</file>