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5EA7" w14:textId="54A7B498" w:rsidR="008D0D95" w:rsidRPr="00A85193" w:rsidRDefault="008D0D95" w:rsidP="00983A85">
      <w:pPr>
        <w:pStyle w:val="Copy"/>
        <w:jc w:val="both"/>
        <w:rPr>
          <w:rFonts w:cs="Calibri Light"/>
          <w:color w:val="21286C"/>
          <w:sz w:val="36"/>
          <w:szCs w:val="36"/>
          <w:lang w:val="el-GR"/>
        </w:rPr>
      </w:pPr>
      <w:r w:rsidRPr="00A85193">
        <w:rPr>
          <w:rFonts w:cs="Calibri Light"/>
          <w:color w:val="21286C"/>
          <w:sz w:val="36"/>
          <w:szCs w:val="36"/>
          <w:lang w:val="el-GR"/>
        </w:rPr>
        <w:t>Αποτελέσματα Εννεαμήνου 202</w:t>
      </w:r>
      <w:r w:rsidR="00556F8F">
        <w:rPr>
          <w:rFonts w:cs="Calibri Light"/>
          <w:color w:val="21286C"/>
          <w:sz w:val="36"/>
          <w:szCs w:val="36"/>
          <w:lang w:val="en-US"/>
        </w:rPr>
        <w:t>5</w:t>
      </w:r>
      <w:r w:rsidRPr="00A85193">
        <w:rPr>
          <w:rFonts w:cs="Calibri Light"/>
          <w:color w:val="21286C"/>
          <w:sz w:val="36"/>
          <w:szCs w:val="36"/>
          <w:lang w:val="el-GR"/>
        </w:rPr>
        <w:t xml:space="preserve"> </w:t>
      </w:r>
    </w:p>
    <w:p w14:paraId="36BD886A" w14:textId="46A5BFA6" w:rsidR="00600D1A" w:rsidRDefault="00600D1A" w:rsidP="00983A85">
      <w:pPr>
        <w:pStyle w:val="Copy"/>
        <w:jc w:val="both"/>
        <w:rPr>
          <w:color w:val="21286C"/>
          <w:szCs w:val="21"/>
          <w:lang w:val="el-GR"/>
        </w:rPr>
      </w:pPr>
      <w:r w:rsidRPr="00600D1A">
        <w:rPr>
          <w:color w:val="21286C"/>
          <w:szCs w:val="21"/>
          <w:lang w:val="el-GR"/>
        </w:rPr>
        <w:t>Βρυξέλλες</w:t>
      </w:r>
      <w:r w:rsidRPr="00B10374">
        <w:rPr>
          <w:color w:val="21286C"/>
          <w:szCs w:val="21"/>
          <w:lang w:val="el-GR"/>
        </w:rPr>
        <w:t xml:space="preserve">, </w:t>
      </w:r>
      <w:r w:rsidR="00556F8F" w:rsidRPr="00556F8F">
        <w:rPr>
          <w:color w:val="21286C"/>
          <w:szCs w:val="21"/>
          <w:lang w:val="el-GR"/>
        </w:rPr>
        <w:t>6</w:t>
      </w:r>
      <w:r w:rsidR="008D0D95" w:rsidRPr="008D0D95">
        <w:rPr>
          <w:color w:val="21286C"/>
          <w:szCs w:val="21"/>
          <w:lang w:val="el-GR"/>
        </w:rPr>
        <w:t xml:space="preserve"> </w:t>
      </w:r>
      <w:r w:rsidR="008D0D95">
        <w:rPr>
          <w:color w:val="21286C"/>
          <w:szCs w:val="21"/>
          <w:lang w:val="el-GR"/>
        </w:rPr>
        <w:t>Νοεμβρίου</w:t>
      </w:r>
      <w:r w:rsidRPr="00B10374">
        <w:rPr>
          <w:color w:val="21286C"/>
          <w:szCs w:val="21"/>
          <w:lang w:val="el-GR"/>
        </w:rPr>
        <w:t xml:space="preserve"> 202</w:t>
      </w:r>
      <w:r w:rsidR="00556F8F" w:rsidRPr="00556F8F">
        <w:rPr>
          <w:color w:val="21286C"/>
          <w:szCs w:val="21"/>
          <w:lang w:val="el-GR"/>
        </w:rPr>
        <w:t>5</w:t>
      </w:r>
      <w:r w:rsidRPr="00B10374">
        <w:rPr>
          <w:color w:val="21286C"/>
          <w:szCs w:val="21"/>
          <w:lang w:val="el-GR"/>
        </w:rPr>
        <w:t>, 08:</w:t>
      </w:r>
      <w:r w:rsidR="002A0D54" w:rsidRPr="00556F8F">
        <w:rPr>
          <w:color w:val="21286C"/>
          <w:szCs w:val="21"/>
          <w:lang w:val="el-GR"/>
        </w:rPr>
        <w:t>3</w:t>
      </w:r>
      <w:r w:rsidRPr="00B10374">
        <w:rPr>
          <w:color w:val="21286C"/>
          <w:szCs w:val="21"/>
          <w:lang w:val="el-GR"/>
        </w:rPr>
        <w:t xml:space="preserve">0 </w:t>
      </w:r>
      <w:r w:rsidRPr="009362CE">
        <w:rPr>
          <w:color w:val="21286C"/>
          <w:szCs w:val="21"/>
        </w:rPr>
        <w:t>CET</w:t>
      </w:r>
      <w:r w:rsidRPr="00B10374">
        <w:rPr>
          <w:color w:val="21286C"/>
          <w:szCs w:val="21"/>
          <w:lang w:val="el-GR"/>
        </w:rPr>
        <w:t xml:space="preserve"> – </w:t>
      </w:r>
      <w:r w:rsidRPr="00600D1A">
        <w:rPr>
          <w:color w:val="21286C"/>
          <w:szCs w:val="21"/>
          <w:lang w:val="el-GR"/>
        </w:rPr>
        <w:t>Ανακοίνωση</w:t>
      </w:r>
      <w:r w:rsidRPr="00B10374">
        <w:rPr>
          <w:color w:val="21286C"/>
          <w:szCs w:val="21"/>
          <w:lang w:val="el-GR"/>
        </w:rPr>
        <w:t xml:space="preserve"> </w:t>
      </w:r>
      <w:r w:rsidRPr="00600D1A">
        <w:rPr>
          <w:color w:val="21286C"/>
          <w:szCs w:val="21"/>
          <w:lang w:val="el-GR"/>
        </w:rPr>
        <w:t>αποτελεσμάτων</w:t>
      </w:r>
      <w:r w:rsidRPr="00B10374">
        <w:rPr>
          <w:color w:val="21286C"/>
          <w:szCs w:val="21"/>
          <w:lang w:val="el-GR"/>
        </w:rPr>
        <w:t xml:space="preserve"> </w:t>
      </w:r>
      <w:r w:rsidR="006F04D1">
        <w:rPr>
          <w:color w:val="21286C"/>
          <w:szCs w:val="21"/>
          <w:lang w:val="el-GR"/>
        </w:rPr>
        <w:t xml:space="preserve">εννεαμήνου </w:t>
      </w:r>
      <w:r w:rsidRPr="00600D1A">
        <w:rPr>
          <w:color w:val="21286C"/>
          <w:szCs w:val="21"/>
          <w:lang w:val="el-GR"/>
        </w:rPr>
        <w:t>του</w:t>
      </w:r>
      <w:r w:rsidRPr="00B10374">
        <w:rPr>
          <w:color w:val="21286C"/>
          <w:szCs w:val="21"/>
          <w:lang w:val="el-GR"/>
        </w:rPr>
        <w:t xml:space="preserve"> 202</w:t>
      </w:r>
      <w:r w:rsidR="00556F8F" w:rsidRPr="00556F8F">
        <w:rPr>
          <w:color w:val="21286C"/>
          <w:szCs w:val="21"/>
          <w:lang w:val="el-GR"/>
        </w:rPr>
        <w:t>5</w:t>
      </w:r>
      <w:r w:rsidRPr="00B10374">
        <w:rPr>
          <w:color w:val="21286C"/>
          <w:szCs w:val="21"/>
          <w:lang w:val="el-GR"/>
        </w:rPr>
        <w:t xml:space="preserve"> </w:t>
      </w:r>
      <w:r w:rsidRPr="00600D1A">
        <w:rPr>
          <w:color w:val="21286C"/>
          <w:szCs w:val="21"/>
          <w:lang w:val="el-GR"/>
        </w:rPr>
        <w:t>από</w:t>
      </w:r>
      <w:r w:rsidRPr="00B10374">
        <w:rPr>
          <w:color w:val="21286C"/>
          <w:szCs w:val="21"/>
          <w:lang w:val="el-GR"/>
        </w:rPr>
        <w:t xml:space="preserve"> </w:t>
      </w:r>
      <w:r w:rsidRPr="00600D1A">
        <w:rPr>
          <w:color w:val="21286C"/>
          <w:szCs w:val="21"/>
          <w:lang w:val="el-GR"/>
        </w:rPr>
        <w:t>την</w:t>
      </w:r>
      <w:r w:rsidRPr="00B10374">
        <w:rPr>
          <w:color w:val="21286C"/>
          <w:szCs w:val="21"/>
          <w:lang w:val="el-GR"/>
        </w:rPr>
        <w:t xml:space="preserve"> </w:t>
      </w:r>
      <w:r w:rsidRPr="009362CE">
        <w:rPr>
          <w:color w:val="21286C"/>
          <w:szCs w:val="21"/>
        </w:rPr>
        <w:t>Titan</w:t>
      </w:r>
      <w:r w:rsidRPr="00B10374">
        <w:rPr>
          <w:color w:val="21286C"/>
          <w:szCs w:val="21"/>
          <w:lang w:val="el-GR"/>
        </w:rPr>
        <w:t xml:space="preserve"> </w:t>
      </w:r>
      <w:r w:rsidRPr="009362CE">
        <w:rPr>
          <w:color w:val="21286C"/>
          <w:szCs w:val="21"/>
        </w:rPr>
        <w:t>SA</w:t>
      </w:r>
      <w:r w:rsidRPr="00B10374">
        <w:rPr>
          <w:color w:val="21286C"/>
          <w:szCs w:val="21"/>
          <w:lang w:val="el-GR"/>
        </w:rPr>
        <w:t xml:space="preserve"> (</w:t>
      </w:r>
      <w:r w:rsidRPr="009362CE">
        <w:rPr>
          <w:color w:val="21286C"/>
          <w:szCs w:val="21"/>
        </w:rPr>
        <w:t>Euronext</w:t>
      </w:r>
      <w:r w:rsidRPr="00B10374">
        <w:rPr>
          <w:color w:val="21286C"/>
          <w:szCs w:val="21"/>
          <w:lang w:val="el-GR"/>
        </w:rPr>
        <w:t xml:space="preserve"> </w:t>
      </w:r>
      <w:r w:rsidRPr="009362CE">
        <w:rPr>
          <w:color w:val="21286C"/>
          <w:szCs w:val="21"/>
        </w:rPr>
        <w:t>Brussels</w:t>
      </w:r>
      <w:r w:rsidRPr="00B10374">
        <w:rPr>
          <w:color w:val="21286C"/>
          <w:szCs w:val="21"/>
          <w:lang w:val="el-GR"/>
        </w:rPr>
        <w:t xml:space="preserve">, </w:t>
      </w:r>
      <w:r w:rsidRPr="009362CE">
        <w:rPr>
          <w:color w:val="21286C"/>
          <w:szCs w:val="21"/>
        </w:rPr>
        <w:t>ATHEX</w:t>
      </w:r>
      <w:r w:rsidRPr="00B10374">
        <w:rPr>
          <w:color w:val="21286C"/>
          <w:szCs w:val="21"/>
          <w:lang w:val="el-GR"/>
        </w:rPr>
        <w:t xml:space="preserve"> </w:t>
      </w:r>
      <w:r w:rsidRPr="00600D1A">
        <w:rPr>
          <w:color w:val="21286C"/>
          <w:szCs w:val="21"/>
          <w:lang w:val="el-GR"/>
        </w:rPr>
        <w:t>και</w:t>
      </w:r>
      <w:r w:rsidRPr="00B10374">
        <w:rPr>
          <w:color w:val="21286C"/>
          <w:szCs w:val="21"/>
          <w:lang w:val="el-GR"/>
        </w:rPr>
        <w:t xml:space="preserve"> </w:t>
      </w:r>
      <w:r w:rsidRPr="009362CE">
        <w:rPr>
          <w:color w:val="21286C"/>
          <w:szCs w:val="21"/>
        </w:rPr>
        <w:t>Euronext</w:t>
      </w:r>
      <w:r w:rsidRPr="00B10374">
        <w:rPr>
          <w:color w:val="21286C"/>
          <w:szCs w:val="21"/>
          <w:lang w:val="el-GR"/>
        </w:rPr>
        <w:t xml:space="preserve"> </w:t>
      </w:r>
      <w:r w:rsidRPr="009362CE">
        <w:rPr>
          <w:color w:val="21286C"/>
          <w:szCs w:val="21"/>
        </w:rPr>
        <w:t>Paris</w:t>
      </w:r>
      <w:r w:rsidRPr="00B10374">
        <w:rPr>
          <w:color w:val="21286C"/>
          <w:szCs w:val="21"/>
          <w:lang w:val="el-GR"/>
        </w:rPr>
        <w:t xml:space="preserve">, </w:t>
      </w:r>
      <w:r w:rsidRPr="009362CE">
        <w:rPr>
          <w:color w:val="21286C"/>
          <w:szCs w:val="21"/>
        </w:rPr>
        <w:t>TITC</w:t>
      </w:r>
      <w:r w:rsidRPr="00B10374">
        <w:rPr>
          <w:color w:val="21286C"/>
          <w:szCs w:val="21"/>
          <w:lang w:val="el-GR"/>
        </w:rPr>
        <w:t>).</w:t>
      </w:r>
    </w:p>
    <w:p w14:paraId="5692BBE6" w14:textId="733ABE6C" w:rsidR="00FC09C6" w:rsidRPr="006241E8" w:rsidRDefault="00083749" w:rsidP="00FC09C6">
      <w:pPr>
        <w:pStyle w:val="Copy"/>
        <w:rPr>
          <w:rFonts w:ascii="Calibri" w:hAnsi="Calibri" w:cstheme="minorBidi"/>
          <w:b/>
          <w:bCs/>
          <w:color w:val="21286C"/>
          <w:sz w:val="34"/>
          <w:szCs w:val="34"/>
          <w:lang w:val="el-GR" w:bidi="el-GR"/>
        </w:rPr>
      </w:pPr>
      <w:r w:rsidRPr="006241E8">
        <w:rPr>
          <w:rFonts w:ascii="Calibri" w:hAnsi="Calibri" w:cstheme="minorBidi"/>
          <w:b/>
          <w:color w:val="21286C"/>
          <w:sz w:val="34"/>
          <w:szCs w:val="34"/>
          <w:lang w:val="el-GR" w:bidi="el-GR"/>
        </w:rPr>
        <w:t xml:space="preserve">Ρεκόρ </w:t>
      </w:r>
      <w:r w:rsidR="006241E8" w:rsidRPr="006241E8">
        <w:rPr>
          <w:rFonts w:ascii="Calibri" w:hAnsi="Calibri" w:cstheme="minorBidi"/>
          <w:b/>
          <w:color w:val="21286C"/>
          <w:sz w:val="34"/>
          <w:szCs w:val="34"/>
          <w:lang w:val="el-GR" w:bidi="el-GR"/>
        </w:rPr>
        <w:t xml:space="preserve">κερδοφορίας </w:t>
      </w:r>
      <w:r w:rsidR="0054086C">
        <w:rPr>
          <w:rFonts w:ascii="Calibri" w:hAnsi="Calibri" w:cstheme="minorBidi"/>
          <w:b/>
          <w:color w:val="21286C"/>
          <w:sz w:val="34"/>
          <w:szCs w:val="34"/>
          <w:lang w:val="en-US" w:bidi="el-GR"/>
        </w:rPr>
        <w:t>EBITDA</w:t>
      </w:r>
      <w:r w:rsidR="0054086C" w:rsidRPr="0054086C">
        <w:rPr>
          <w:rFonts w:ascii="Calibri" w:hAnsi="Calibri" w:cstheme="minorBidi"/>
          <w:b/>
          <w:color w:val="21286C"/>
          <w:sz w:val="34"/>
          <w:szCs w:val="34"/>
          <w:lang w:val="el-GR" w:bidi="el-GR"/>
        </w:rPr>
        <w:t xml:space="preserve"> </w:t>
      </w:r>
      <w:r w:rsidR="006241E8" w:rsidRPr="006241E8">
        <w:rPr>
          <w:rFonts w:ascii="Calibri" w:hAnsi="Calibri" w:cstheme="minorBidi"/>
          <w:b/>
          <w:color w:val="21286C"/>
          <w:sz w:val="34"/>
          <w:szCs w:val="34"/>
          <w:lang w:val="el-GR" w:bidi="el-GR"/>
        </w:rPr>
        <w:t>εννεαμήνου</w:t>
      </w:r>
      <w:r w:rsidR="00FC09C6" w:rsidRPr="006241E8">
        <w:rPr>
          <w:rFonts w:ascii="Calibri" w:hAnsi="Calibri" w:cstheme="minorBidi"/>
          <w:b/>
          <w:color w:val="21286C"/>
          <w:sz w:val="34"/>
          <w:szCs w:val="34"/>
          <w:lang w:val="el-GR" w:bidi="el-GR"/>
        </w:rPr>
        <w:t xml:space="preserve"> και θετικές προοπτικές </w:t>
      </w:r>
    </w:p>
    <w:p w14:paraId="16529880" w14:textId="4ABF414F" w:rsidR="00375FFD" w:rsidRPr="00C3630C" w:rsidRDefault="00375FFD" w:rsidP="00FB7693">
      <w:pPr>
        <w:pStyle w:val="C"/>
        <w:numPr>
          <w:ilvl w:val="0"/>
          <w:numId w:val="16"/>
        </w:numPr>
        <w:spacing w:before="80" w:after="0" w:line="240" w:lineRule="auto"/>
        <w:ind w:left="357" w:hanging="357"/>
        <w:jc w:val="both"/>
        <w:rPr>
          <w:color w:val="21286C"/>
          <w:sz w:val="21"/>
          <w:szCs w:val="21"/>
          <w:lang w:val="el-GR" w:bidi="el-GR"/>
        </w:rPr>
      </w:pPr>
      <w:r w:rsidRPr="00375FFD">
        <w:rPr>
          <w:color w:val="21286C"/>
          <w:sz w:val="21"/>
          <w:szCs w:val="21"/>
          <w:lang w:val="el-GR" w:bidi="el-GR"/>
        </w:rPr>
        <w:t xml:space="preserve">Οι πωλήσεις </w:t>
      </w:r>
      <w:r w:rsidR="00B812EB">
        <w:rPr>
          <w:color w:val="21286C"/>
          <w:sz w:val="21"/>
          <w:szCs w:val="21"/>
          <w:lang w:val="el-GR" w:bidi="el-GR"/>
        </w:rPr>
        <w:t xml:space="preserve">εννεαμήνου </w:t>
      </w:r>
      <w:r w:rsidRPr="00375FFD">
        <w:rPr>
          <w:color w:val="21286C"/>
          <w:sz w:val="21"/>
          <w:szCs w:val="21"/>
          <w:lang w:val="el-GR" w:bidi="el-GR"/>
        </w:rPr>
        <w:t xml:space="preserve">αυξήθηκαν κατά </w:t>
      </w:r>
      <w:r w:rsidR="0010191A" w:rsidRPr="0010191A">
        <w:rPr>
          <w:color w:val="21286C"/>
          <w:sz w:val="21"/>
          <w:szCs w:val="21"/>
          <w:lang w:val="el-GR" w:bidi="el-GR"/>
        </w:rPr>
        <w:t>1,4</w:t>
      </w:r>
      <w:r w:rsidRPr="00375FFD">
        <w:rPr>
          <w:color w:val="21286C"/>
          <w:sz w:val="21"/>
          <w:szCs w:val="21"/>
          <w:lang w:val="el-GR" w:bidi="el-GR"/>
        </w:rPr>
        <w:t xml:space="preserve">% και </w:t>
      </w:r>
      <w:r w:rsidR="00B812EB">
        <w:rPr>
          <w:color w:val="21286C"/>
          <w:sz w:val="21"/>
          <w:szCs w:val="21"/>
          <w:lang w:val="el-GR" w:bidi="el-GR"/>
        </w:rPr>
        <w:t xml:space="preserve">ανήλθαν </w:t>
      </w:r>
      <w:r w:rsidRPr="00375FFD">
        <w:rPr>
          <w:color w:val="21286C"/>
          <w:sz w:val="21"/>
          <w:szCs w:val="21"/>
          <w:lang w:val="el-GR" w:bidi="el-GR"/>
        </w:rPr>
        <w:t>σε €</w:t>
      </w:r>
      <w:r w:rsidR="0010191A" w:rsidRPr="0010191A">
        <w:rPr>
          <w:color w:val="21286C"/>
          <w:sz w:val="21"/>
          <w:szCs w:val="21"/>
          <w:lang w:val="el-GR" w:bidi="el-GR"/>
        </w:rPr>
        <w:t>2.013</w:t>
      </w:r>
      <w:r w:rsidRPr="00375FFD">
        <w:rPr>
          <w:color w:val="21286C"/>
          <w:sz w:val="21"/>
          <w:szCs w:val="21"/>
          <w:lang w:val="el-GR" w:bidi="el-GR"/>
        </w:rPr>
        <w:t xml:space="preserve"> εκ., χάρη στις </w:t>
      </w:r>
      <w:r w:rsidR="007C0263">
        <w:rPr>
          <w:color w:val="21286C"/>
          <w:sz w:val="21"/>
          <w:szCs w:val="21"/>
          <w:lang w:val="el-GR" w:bidi="el-GR"/>
        </w:rPr>
        <w:t>ισχυρές</w:t>
      </w:r>
      <w:r w:rsidRPr="00375FFD">
        <w:rPr>
          <w:color w:val="21286C"/>
          <w:sz w:val="21"/>
          <w:szCs w:val="21"/>
          <w:lang w:val="el-GR" w:bidi="el-GR"/>
        </w:rPr>
        <w:t xml:space="preserve"> επιδόσεις στην Ελλάδα, στις ΗΠΑ και στην Αίγυπτο, </w:t>
      </w:r>
      <w:r w:rsidR="0054086C">
        <w:rPr>
          <w:color w:val="21286C"/>
          <w:sz w:val="21"/>
          <w:szCs w:val="21"/>
          <w:lang w:val="el-GR" w:bidi="el-GR"/>
        </w:rPr>
        <w:t>με</w:t>
      </w:r>
      <w:r w:rsidRPr="00C3630C">
        <w:rPr>
          <w:color w:val="21286C"/>
          <w:sz w:val="21"/>
          <w:szCs w:val="21"/>
          <w:lang w:val="el-GR" w:bidi="el-GR"/>
        </w:rPr>
        <w:t xml:space="preserve"> αυξημένους όγκους πωλήσεων και σταθερά επίπεδα τιμών.</w:t>
      </w:r>
    </w:p>
    <w:p w14:paraId="79B12237" w14:textId="6CFF11F5" w:rsidR="00375FFD" w:rsidRPr="00C3630C" w:rsidRDefault="00375FFD" w:rsidP="00FB7693">
      <w:pPr>
        <w:pStyle w:val="C"/>
        <w:numPr>
          <w:ilvl w:val="0"/>
          <w:numId w:val="16"/>
        </w:numPr>
        <w:spacing w:before="80" w:after="0" w:line="240" w:lineRule="auto"/>
        <w:ind w:left="357" w:hanging="357"/>
        <w:jc w:val="both"/>
        <w:rPr>
          <w:color w:val="21286C"/>
          <w:sz w:val="21"/>
          <w:szCs w:val="21"/>
          <w:lang w:val="el-GR" w:bidi="el-GR"/>
        </w:rPr>
      </w:pPr>
      <w:r w:rsidRPr="00C3630C">
        <w:rPr>
          <w:color w:val="21286C"/>
          <w:sz w:val="21"/>
          <w:szCs w:val="21"/>
          <w:lang w:val="el-GR" w:bidi="el-GR"/>
        </w:rPr>
        <w:t xml:space="preserve">Τα κέρδη EBITDA για το εννεάμηνο αυξήθηκαν κατά </w:t>
      </w:r>
      <w:r w:rsidR="0010191A" w:rsidRPr="00C3630C">
        <w:rPr>
          <w:color w:val="21286C"/>
          <w:sz w:val="21"/>
          <w:szCs w:val="21"/>
          <w:lang w:val="el-GR" w:bidi="el-GR"/>
        </w:rPr>
        <w:t>8,4</w:t>
      </w:r>
      <w:r w:rsidRPr="00C3630C">
        <w:rPr>
          <w:color w:val="21286C"/>
          <w:sz w:val="21"/>
          <w:szCs w:val="21"/>
          <w:lang w:val="el-GR" w:bidi="el-GR"/>
        </w:rPr>
        <w:t xml:space="preserve">% </w:t>
      </w:r>
      <w:r w:rsidR="00A758F6" w:rsidRPr="00C3630C">
        <w:rPr>
          <w:color w:val="21286C"/>
          <w:sz w:val="21"/>
          <w:szCs w:val="21"/>
          <w:lang w:val="el-GR" w:bidi="el-GR"/>
        </w:rPr>
        <w:t>και διαμορφώθηκαν στα</w:t>
      </w:r>
      <w:r w:rsidR="000F2AAE" w:rsidRPr="00C3630C">
        <w:rPr>
          <w:color w:val="21286C"/>
          <w:sz w:val="21"/>
          <w:szCs w:val="21"/>
          <w:lang w:val="el-GR" w:bidi="el-GR"/>
        </w:rPr>
        <w:t xml:space="preserve"> €474 εκ. </w:t>
      </w:r>
      <w:r w:rsidR="009F2466" w:rsidRPr="00C3630C">
        <w:rPr>
          <w:color w:val="21286C"/>
          <w:sz w:val="21"/>
          <w:szCs w:val="21"/>
          <w:lang w:val="el-GR" w:bidi="el-GR"/>
        </w:rPr>
        <w:t xml:space="preserve">μετά από ένα ισχυρό τρίτο τρίμηνο </w:t>
      </w:r>
      <w:r w:rsidR="002C3DF4">
        <w:rPr>
          <w:color w:val="21286C"/>
          <w:sz w:val="21"/>
          <w:szCs w:val="21"/>
          <w:lang w:val="el-GR" w:bidi="el-GR"/>
        </w:rPr>
        <w:t>(</w:t>
      </w:r>
      <w:r w:rsidR="009F2466" w:rsidRPr="00C3630C">
        <w:rPr>
          <w:color w:val="21286C"/>
          <w:sz w:val="21"/>
          <w:szCs w:val="21"/>
          <w:lang w:val="el-GR" w:bidi="el-GR"/>
        </w:rPr>
        <w:t>+19,9%</w:t>
      </w:r>
      <w:r w:rsidR="002C3DF4">
        <w:rPr>
          <w:color w:val="21286C"/>
          <w:sz w:val="21"/>
          <w:szCs w:val="21"/>
          <w:lang w:val="el-GR" w:bidi="el-GR"/>
        </w:rPr>
        <w:t xml:space="preserve"> κέρδη </w:t>
      </w:r>
      <w:r w:rsidR="002C3DF4">
        <w:rPr>
          <w:color w:val="21286C"/>
          <w:sz w:val="21"/>
          <w:szCs w:val="21"/>
          <w:lang w:val="en-US" w:bidi="el-GR"/>
        </w:rPr>
        <w:t>EBITDA</w:t>
      </w:r>
      <w:r w:rsidR="002C3DF4">
        <w:rPr>
          <w:color w:val="21286C"/>
          <w:sz w:val="21"/>
          <w:szCs w:val="21"/>
          <w:lang w:val="el-GR" w:bidi="el-GR"/>
        </w:rPr>
        <w:t>)</w:t>
      </w:r>
      <w:r w:rsidRPr="00C3630C">
        <w:rPr>
          <w:color w:val="21286C"/>
          <w:sz w:val="21"/>
          <w:szCs w:val="21"/>
          <w:lang w:val="el-GR" w:bidi="el-GR"/>
        </w:rPr>
        <w:t xml:space="preserve">, </w:t>
      </w:r>
      <w:r w:rsidR="00A758F6" w:rsidRPr="00C3630C">
        <w:rPr>
          <w:color w:val="21286C"/>
          <w:sz w:val="21"/>
          <w:szCs w:val="21"/>
          <w:lang w:val="el-GR" w:bidi="el-GR"/>
        </w:rPr>
        <w:t>ως αποτέλεσμα</w:t>
      </w:r>
      <w:r w:rsidR="002E62AB" w:rsidRPr="00C3630C">
        <w:rPr>
          <w:color w:val="21286C"/>
          <w:sz w:val="21"/>
          <w:szCs w:val="21"/>
          <w:lang w:val="el-GR" w:bidi="el-GR"/>
        </w:rPr>
        <w:t xml:space="preserve"> </w:t>
      </w:r>
      <w:r w:rsidR="006013A9" w:rsidRPr="00C3630C">
        <w:rPr>
          <w:color w:val="21286C"/>
          <w:sz w:val="21"/>
          <w:szCs w:val="21"/>
          <w:lang w:val="el-GR" w:bidi="el-GR"/>
        </w:rPr>
        <w:t xml:space="preserve">της συνετής </w:t>
      </w:r>
      <w:r w:rsidR="003125E6" w:rsidRPr="00C3630C">
        <w:rPr>
          <w:color w:val="21286C"/>
          <w:sz w:val="21"/>
          <w:szCs w:val="21"/>
          <w:lang w:val="el-GR" w:bidi="el-GR"/>
        </w:rPr>
        <w:t>διαχείρισης του κόστους και της βελτίωσης της ενεργειακής αποδοτικότητας</w:t>
      </w:r>
      <w:r w:rsidR="007B55EE" w:rsidRPr="00C3630C">
        <w:rPr>
          <w:color w:val="21286C"/>
          <w:sz w:val="21"/>
          <w:szCs w:val="21"/>
          <w:lang w:val="el-GR" w:bidi="el-GR"/>
        </w:rPr>
        <w:t xml:space="preserve">. </w:t>
      </w:r>
      <w:r w:rsidR="008D25EF" w:rsidRPr="008D25EF">
        <w:rPr>
          <w:color w:val="21286C"/>
          <w:sz w:val="21"/>
          <w:szCs w:val="21"/>
          <w:lang w:val="el-GR" w:bidi="el-GR"/>
        </w:rPr>
        <w:t xml:space="preserve">Τα καθαρά κέρδη του Ομίλου για το εννεάμηνο διαμορφώθηκαν σε €223 εκ., μειωμένα κατά 0,8%, </w:t>
      </w:r>
      <w:r w:rsidR="00A90829">
        <w:rPr>
          <w:color w:val="21286C"/>
          <w:sz w:val="21"/>
          <w:szCs w:val="21"/>
          <w:lang w:val="el-GR" w:bidi="el-GR"/>
        </w:rPr>
        <w:t xml:space="preserve">μη </w:t>
      </w:r>
      <w:r w:rsidR="008D25EF" w:rsidRPr="008D25EF">
        <w:rPr>
          <w:color w:val="21286C"/>
          <w:sz w:val="21"/>
          <w:szCs w:val="21"/>
          <w:lang w:val="el-GR" w:bidi="el-GR"/>
        </w:rPr>
        <w:t xml:space="preserve">συμπεριλαμβανομένης </w:t>
      </w:r>
      <w:r w:rsidR="00D00BD0">
        <w:rPr>
          <w:color w:val="21286C"/>
          <w:sz w:val="21"/>
          <w:szCs w:val="21"/>
          <w:lang w:val="el-GR" w:bidi="el-GR"/>
        </w:rPr>
        <w:t xml:space="preserve">της </w:t>
      </w:r>
      <w:r w:rsidR="008D25EF" w:rsidRPr="008D25EF">
        <w:rPr>
          <w:color w:val="21286C"/>
          <w:sz w:val="21"/>
          <w:szCs w:val="21"/>
          <w:lang w:val="el-GR" w:bidi="el-GR"/>
        </w:rPr>
        <w:t xml:space="preserve">έκτακτης ζημίας ύψους €51,9 εκατ. που σχετίζεται με την πώληση της </w:t>
      </w:r>
      <w:r w:rsidR="008D25EF" w:rsidRPr="008D25EF">
        <w:rPr>
          <w:color w:val="21286C"/>
          <w:sz w:val="21"/>
          <w:szCs w:val="21"/>
          <w:lang w:val="en-US" w:bidi="el-GR"/>
        </w:rPr>
        <w:t>Adocim</w:t>
      </w:r>
      <w:r w:rsidR="008D25EF" w:rsidRPr="008D25EF">
        <w:rPr>
          <w:color w:val="21286C"/>
          <w:sz w:val="21"/>
          <w:szCs w:val="21"/>
          <w:lang w:val="el-GR" w:bidi="el-GR"/>
        </w:rPr>
        <w:t xml:space="preserve"> κατά το δεύτερο τρίμηνο.</w:t>
      </w:r>
    </w:p>
    <w:p w14:paraId="7E6FD38A" w14:textId="7C1FF126" w:rsidR="0072658F" w:rsidRPr="00C3630C" w:rsidRDefault="00375FFD" w:rsidP="0072658F">
      <w:pPr>
        <w:pStyle w:val="C"/>
        <w:numPr>
          <w:ilvl w:val="0"/>
          <w:numId w:val="16"/>
        </w:numPr>
        <w:spacing w:before="80" w:after="0" w:line="240" w:lineRule="auto"/>
        <w:ind w:left="357" w:hanging="357"/>
        <w:jc w:val="both"/>
        <w:rPr>
          <w:color w:val="21286C"/>
          <w:sz w:val="21"/>
          <w:szCs w:val="21"/>
          <w:lang w:val="el-GR" w:bidi="el-GR"/>
        </w:rPr>
      </w:pPr>
      <w:r w:rsidRPr="00C3630C">
        <w:rPr>
          <w:color w:val="21286C"/>
          <w:sz w:val="21"/>
          <w:szCs w:val="21"/>
          <w:lang w:val="el-GR" w:bidi="el-GR"/>
        </w:rPr>
        <w:t xml:space="preserve">Η ρευστότητα </w:t>
      </w:r>
      <w:r w:rsidR="00A6347E" w:rsidRPr="00C3630C">
        <w:rPr>
          <w:color w:val="21286C"/>
          <w:sz w:val="21"/>
          <w:szCs w:val="21"/>
          <w:lang w:val="el-GR" w:bidi="el-GR"/>
        </w:rPr>
        <w:t>παραμένει ισχυρή</w:t>
      </w:r>
      <w:r w:rsidR="00B91A3B" w:rsidRPr="00C3630C">
        <w:rPr>
          <w:color w:val="21286C"/>
          <w:sz w:val="21"/>
          <w:szCs w:val="21"/>
          <w:lang w:val="el-GR" w:bidi="el-GR"/>
        </w:rPr>
        <w:t xml:space="preserve">, με τον </w:t>
      </w:r>
      <w:r w:rsidRPr="00C3630C">
        <w:rPr>
          <w:color w:val="21286C"/>
          <w:sz w:val="21"/>
          <w:szCs w:val="21"/>
          <w:lang w:val="el-GR" w:bidi="el-GR"/>
        </w:rPr>
        <w:t xml:space="preserve">καθαρό δανεισμό </w:t>
      </w:r>
      <w:r w:rsidR="00B91A3B" w:rsidRPr="00C3630C">
        <w:rPr>
          <w:color w:val="21286C"/>
          <w:sz w:val="21"/>
          <w:szCs w:val="21"/>
          <w:lang w:val="el-GR" w:bidi="el-GR"/>
        </w:rPr>
        <w:t xml:space="preserve">να ανέρχεται σε </w:t>
      </w:r>
      <w:r w:rsidRPr="00C3630C">
        <w:rPr>
          <w:color w:val="21286C"/>
          <w:sz w:val="21"/>
          <w:szCs w:val="21"/>
          <w:lang w:val="el-GR" w:bidi="el-GR"/>
        </w:rPr>
        <w:t>€</w:t>
      </w:r>
      <w:r w:rsidR="004819A1" w:rsidRPr="00C3630C">
        <w:rPr>
          <w:color w:val="21286C"/>
          <w:sz w:val="21"/>
          <w:szCs w:val="21"/>
          <w:lang w:val="el-GR" w:bidi="el-GR"/>
        </w:rPr>
        <w:t>302</w:t>
      </w:r>
      <w:r w:rsidRPr="00C3630C">
        <w:rPr>
          <w:color w:val="21286C"/>
          <w:sz w:val="21"/>
          <w:szCs w:val="21"/>
          <w:lang w:val="el-GR" w:bidi="el-GR"/>
        </w:rPr>
        <w:t xml:space="preserve"> εκ., </w:t>
      </w:r>
      <w:r w:rsidR="00EE4930">
        <w:rPr>
          <w:color w:val="21286C"/>
          <w:sz w:val="21"/>
          <w:szCs w:val="21"/>
          <w:lang w:val="el-GR" w:bidi="el-GR"/>
        </w:rPr>
        <w:t>μειωμένος ως αποτέλεσμα της</w:t>
      </w:r>
      <w:r w:rsidR="00CB3930">
        <w:rPr>
          <w:color w:val="21286C"/>
          <w:sz w:val="21"/>
          <w:szCs w:val="21"/>
          <w:lang w:val="el-GR" w:bidi="el-GR"/>
        </w:rPr>
        <w:t xml:space="preserve"> δημόσια</w:t>
      </w:r>
      <w:r w:rsidR="00EE4930">
        <w:rPr>
          <w:color w:val="21286C"/>
          <w:sz w:val="21"/>
          <w:szCs w:val="21"/>
          <w:lang w:val="el-GR" w:bidi="el-GR"/>
        </w:rPr>
        <w:t>ς</w:t>
      </w:r>
      <w:r w:rsidR="00CB3930">
        <w:rPr>
          <w:color w:val="21286C"/>
          <w:sz w:val="21"/>
          <w:szCs w:val="21"/>
          <w:lang w:val="el-GR" w:bidi="el-GR"/>
        </w:rPr>
        <w:t xml:space="preserve"> εγγραφή</w:t>
      </w:r>
      <w:r w:rsidR="00EE4930">
        <w:rPr>
          <w:color w:val="21286C"/>
          <w:sz w:val="21"/>
          <w:szCs w:val="21"/>
          <w:lang w:val="el-GR" w:bidi="el-GR"/>
        </w:rPr>
        <w:t>ς</w:t>
      </w:r>
      <w:r w:rsidRPr="00C3630C">
        <w:rPr>
          <w:color w:val="21286C"/>
          <w:sz w:val="21"/>
          <w:szCs w:val="21"/>
          <w:lang w:val="el-GR" w:bidi="el-GR"/>
        </w:rPr>
        <w:t xml:space="preserve"> της Titan </w:t>
      </w:r>
      <w:proofErr w:type="spellStart"/>
      <w:r w:rsidRPr="00C3630C">
        <w:rPr>
          <w:color w:val="21286C"/>
          <w:sz w:val="21"/>
          <w:szCs w:val="21"/>
          <w:lang w:val="el-GR" w:bidi="el-GR"/>
        </w:rPr>
        <w:t>America</w:t>
      </w:r>
      <w:proofErr w:type="spellEnd"/>
      <w:r w:rsidRPr="00C3630C">
        <w:rPr>
          <w:color w:val="21286C"/>
          <w:sz w:val="21"/>
          <w:szCs w:val="21"/>
          <w:lang w:val="el-GR" w:bidi="el-GR"/>
        </w:rPr>
        <w:t xml:space="preserve"> και τη</w:t>
      </w:r>
      <w:r w:rsidR="00EE4930">
        <w:rPr>
          <w:color w:val="21286C"/>
          <w:sz w:val="21"/>
          <w:szCs w:val="21"/>
          <w:lang w:val="el-GR" w:bidi="el-GR"/>
        </w:rPr>
        <w:t>ς</w:t>
      </w:r>
      <w:r w:rsidRPr="00C3630C">
        <w:rPr>
          <w:color w:val="21286C"/>
          <w:sz w:val="21"/>
          <w:szCs w:val="21"/>
          <w:lang w:val="el-GR" w:bidi="el-GR"/>
        </w:rPr>
        <w:t xml:space="preserve"> πώληση</w:t>
      </w:r>
      <w:r w:rsidR="00EE4930">
        <w:rPr>
          <w:color w:val="21286C"/>
          <w:sz w:val="21"/>
          <w:szCs w:val="21"/>
          <w:lang w:val="el-GR" w:bidi="el-GR"/>
        </w:rPr>
        <w:t>ς</w:t>
      </w:r>
      <w:r w:rsidRPr="00C3630C">
        <w:rPr>
          <w:color w:val="21286C"/>
          <w:sz w:val="21"/>
          <w:szCs w:val="21"/>
          <w:lang w:val="el-GR" w:bidi="el-GR"/>
        </w:rPr>
        <w:t xml:space="preserve"> της Adocim. Ο δείκτης </w:t>
      </w:r>
      <w:r w:rsidR="000B3180">
        <w:rPr>
          <w:color w:val="21286C"/>
          <w:sz w:val="21"/>
          <w:szCs w:val="21"/>
          <w:lang w:val="el-GR" w:bidi="el-GR"/>
        </w:rPr>
        <w:t xml:space="preserve">δανεισμού </w:t>
      </w:r>
      <w:r w:rsidRPr="00C3630C">
        <w:rPr>
          <w:color w:val="21286C"/>
          <w:sz w:val="21"/>
          <w:szCs w:val="21"/>
          <w:lang w:val="el-GR" w:bidi="el-GR"/>
        </w:rPr>
        <w:t>διατηρείται σε χαμηλά επίπεδα (</w:t>
      </w:r>
      <w:r w:rsidR="004819A1" w:rsidRPr="00C3630C">
        <w:rPr>
          <w:color w:val="21286C"/>
          <w:sz w:val="21"/>
          <w:szCs w:val="21"/>
          <w:lang w:val="el-GR" w:bidi="el-GR"/>
        </w:rPr>
        <w:t>0,5</w:t>
      </w:r>
      <w:r w:rsidRPr="00C3630C">
        <w:rPr>
          <w:color w:val="21286C"/>
          <w:sz w:val="21"/>
          <w:szCs w:val="21"/>
          <w:lang w:val="el-GR" w:bidi="el-GR"/>
        </w:rPr>
        <w:t>x), παρά τ</w:t>
      </w:r>
      <w:r w:rsidR="003F1407" w:rsidRPr="00C3630C">
        <w:rPr>
          <w:color w:val="21286C"/>
          <w:sz w:val="21"/>
          <w:szCs w:val="21"/>
          <w:lang w:val="el-GR" w:bidi="el-GR"/>
        </w:rPr>
        <w:t>ην καταβολή μερίσματος ύψους</w:t>
      </w:r>
      <w:r w:rsidRPr="00C3630C">
        <w:rPr>
          <w:color w:val="21286C"/>
          <w:sz w:val="21"/>
          <w:szCs w:val="21"/>
          <w:lang w:val="el-GR" w:bidi="el-GR"/>
        </w:rPr>
        <w:t xml:space="preserve"> €3 ανά μετοχή τον Ιούλιο. </w:t>
      </w:r>
      <w:r w:rsidR="00EE456C">
        <w:rPr>
          <w:color w:val="21286C"/>
          <w:sz w:val="21"/>
          <w:szCs w:val="21"/>
          <w:lang w:val="el-GR" w:bidi="el-GR"/>
        </w:rPr>
        <w:t xml:space="preserve">Ο οίκος </w:t>
      </w:r>
      <w:proofErr w:type="spellStart"/>
      <w:r w:rsidRPr="00C3630C">
        <w:rPr>
          <w:color w:val="21286C"/>
          <w:sz w:val="21"/>
          <w:szCs w:val="21"/>
          <w:lang w:val="el-GR" w:bidi="el-GR"/>
        </w:rPr>
        <w:t>Fitch</w:t>
      </w:r>
      <w:proofErr w:type="spellEnd"/>
      <w:r w:rsidR="006335F7" w:rsidRPr="00C3630C">
        <w:rPr>
          <w:color w:val="21286C"/>
          <w:sz w:val="21"/>
          <w:szCs w:val="21"/>
          <w:lang w:val="el-GR" w:bidi="el-GR"/>
        </w:rPr>
        <w:t xml:space="preserve"> </w:t>
      </w:r>
      <w:r w:rsidR="0072658F">
        <w:rPr>
          <w:color w:val="21286C"/>
          <w:sz w:val="21"/>
          <w:szCs w:val="21"/>
          <w:lang w:val="el-GR" w:bidi="el-GR"/>
        </w:rPr>
        <w:t xml:space="preserve">διατήρησε την μακροπρόθεσμη </w:t>
      </w:r>
      <w:r w:rsidR="0072658F" w:rsidRPr="00C3630C">
        <w:rPr>
          <w:color w:val="21286C"/>
          <w:sz w:val="21"/>
          <w:szCs w:val="21"/>
          <w:lang w:val="el-GR" w:bidi="el-GR"/>
        </w:rPr>
        <w:t>πιστοληπτική ικανότητα του Ομίλου σε «BB+»</w:t>
      </w:r>
      <w:r w:rsidR="0072658F">
        <w:rPr>
          <w:color w:val="21286C"/>
          <w:sz w:val="21"/>
          <w:szCs w:val="21"/>
          <w:lang w:val="el-GR" w:bidi="el-GR"/>
        </w:rPr>
        <w:t xml:space="preserve"> και αναβάθμισε την προοπτική </w:t>
      </w:r>
      <w:r w:rsidR="0037188A">
        <w:rPr>
          <w:color w:val="21286C"/>
          <w:sz w:val="21"/>
          <w:szCs w:val="21"/>
          <w:lang w:val="el-GR" w:bidi="el-GR"/>
        </w:rPr>
        <w:t>σε θετική από σταθερή</w:t>
      </w:r>
      <w:r w:rsidR="0072658F" w:rsidRPr="00C3630C">
        <w:rPr>
          <w:color w:val="21286C"/>
          <w:sz w:val="21"/>
          <w:szCs w:val="21"/>
          <w:lang w:val="el-GR" w:bidi="el-GR"/>
        </w:rPr>
        <w:t>.</w:t>
      </w:r>
    </w:p>
    <w:p w14:paraId="7CA71AA7" w14:textId="4AD0F097" w:rsidR="00684C67" w:rsidRPr="00C3630C" w:rsidRDefault="00684C67" w:rsidP="00FB7693">
      <w:pPr>
        <w:pStyle w:val="C"/>
        <w:numPr>
          <w:ilvl w:val="0"/>
          <w:numId w:val="16"/>
        </w:numPr>
        <w:spacing w:before="80" w:after="0" w:line="240" w:lineRule="auto"/>
        <w:ind w:left="357" w:hanging="357"/>
        <w:jc w:val="both"/>
        <w:rPr>
          <w:color w:val="21286C"/>
          <w:sz w:val="21"/>
          <w:szCs w:val="21"/>
          <w:lang w:val="el-GR" w:bidi="el-GR"/>
        </w:rPr>
      </w:pPr>
      <w:r w:rsidRPr="00C3630C">
        <w:rPr>
          <w:color w:val="21286C"/>
          <w:sz w:val="21"/>
          <w:szCs w:val="21"/>
          <w:lang w:val="el-GR" w:bidi="el-GR"/>
        </w:rPr>
        <w:t>Οι επενδυτικές δαπάνες παραμένουν σε υψηλά επίπεδα</w:t>
      </w:r>
      <w:r w:rsidR="00A24C3B" w:rsidRPr="002F067B">
        <w:rPr>
          <w:color w:val="21286C"/>
          <w:sz w:val="21"/>
          <w:szCs w:val="21"/>
          <w:lang w:val="el-GR" w:bidi="el-GR"/>
        </w:rPr>
        <w:t>,</w:t>
      </w:r>
      <w:r w:rsidR="00D00BD0" w:rsidDel="00A24C3B">
        <w:rPr>
          <w:color w:val="21286C"/>
          <w:sz w:val="21"/>
          <w:szCs w:val="21"/>
          <w:lang w:val="el-GR" w:bidi="el-GR"/>
        </w:rPr>
        <w:t xml:space="preserve"> </w:t>
      </w:r>
      <w:r w:rsidRPr="00C3630C">
        <w:rPr>
          <w:color w:val="21286C"/>
          <w:sz w:val="21"/>
          <w:szCs w:val="21"/>
          <w:lang w:val="el-GR" w:bidi="el-GR"/>
        </w:rPr>
        <w:t xml:space="preserve">€185 εκ. </w:t>
      </w:r>
      <w:r w:rsidR="008C218E" w:rsidRPr="00C3630C">
        <w:rPr>
          <w:color w:val="21286C"/>
          <w:sz w:val="21"/>
          <w:szCs w:val="21"/>
          <w:lang w:val="el-GR" w:bidi="el-GR"/>
        </w:rPr>
        <w:t>για το εννεάμηνο</w:t>
      </w:r>
      <w:r w:rsidR="00A24C3B" w:rsidRPr="002F067B">
        <w:rPr>
          <w:color w:val="21286C"/>
          <w:sz w:val="21"/>
          <w:szCs w:val="21"/>
          <w:lang w:val="el-GR" w:bidi="el-GR"/>
        </w:rPr>
        <w:t xml:space="preserve">, </w:t>
      </w:r>
      <w:r w:rsidRPr="00C3630C">
        <w:rPr>
          <w:color w:val="21286C"/>
          <w:sz w:val="21"/>
          <w:szCs w:val="21"/>
          <w:lang w:val="el-GR" w:bidi="el-GR"/>
        </w:rPr>
        <w:t>αντανακλώντας τη συνεχ</w:t>
      </w:r>
      <w:r w:rsidR="008C218E" w:rsidRPr="00C3630C">
        <w:rPr>
          <w:color w:val="21286C"/>
          <w:sz w:val="21"/>
          <w:szCs w:val="21"/>
          <w:lang w:val="el-GR" w:bidi="el-GR"/>
        </w:rPr>
        <w:t>ή</w:t>
      </w:r>
      <w:r w:rsidRPr="00C3630C">
        <w:rPr>
          <w:color w:val="21286C"/>
          <w:sz w:val="21"/>
          <w:szCs w:val="21"/>
          <w:lang w:val="el-GR" w:bidi="el-GR"/>
        </w:rPr>
        <w:t xml:space="preserve"> υλοποίηση </w:t>
      </w:r>
      <w:r w:rsidR="003722F0">
        <w:rPr>
          <w:color w:val="21286C"/>
          <w:sz w:val="21"/>
          <w:szCs w:val="21"/>
          <w:lang w:val="el-GR" w:bidi="el-GR"/>
        </w:rPr>
        <w:t>έργων</w:t>
      </w:r>
      <w:r w:rsidR="003722F0" w:rsidRPr="00C3630C">
        <w:rPr>
          <w:color w:val="21286C"/>
          <w:sz w:val="21"/>
          <w:szCs w:val="21"/>
          <w:lang w:val="el-GR" w:bidi="el-GR"/>
        </w:rPr>
        <w:t xml:space="preserve"> </w:t>
      </w:r>
      <w:r w:rsidRPr="00C3630C">
        <w:rPr>
          <w:color w:val="21286C"/>
          <w:sz w:val="21"/>
          <w:szCs w:val="21"/>
          <w:lang w:val="el-GR" w:bidi="el-GR"/>
        </w:rPr>
        <w:t xml:space="preserve">ανάπτυξης. Μεταξύ αυτών περιλαμβάνονται έργα </w:t>
      </w:r>
      <w:r w:rsidR="009A1B51">
        <w:rPr>
          <w:color w:val="21286C"/>
          <w:sz w:val="21"/>
          <w:szCs w:val="21"/>
          <w:lang w:val="el-GR" w:bidi="el-GR"/>
        </w:rPr>
        <w:t>μείωσης αποτυπώματος άνθρακα</w:t>
      </w:r>
      <w:r w:rsidRPr="00C3630C">
        <w:rPr>
          <w:color w:val="21286C"/>
          <w:sz w:val="21"/>
          <w:szCs w:val="21"/>
          <w:lang w:val="el-GR" w:bidi="el-GR"/>
        </w:rPr>
        <w:t xml:space="preserve">, όπως το </w:t>
      </w:r>
      <w:r w:rsidR="00324BED">
        <w:rPr>
          <w:color w:val="21286C"/>
          <w:sz w:val="21"/>
          <w:szCs w:val="21"/>
          <w:lang w:val="en-US" w:bidi="el-GR"/>
        </w:rPr>
        <w:t>I</w:t>
      </w:r>
      <w:r w:rsidRPr="00C3630C">
        <w:rPr>
          <w:color w:val="21286C"/>
          <w:sz w:val="21"/>
          <w:szCs w:val="21"/>
          <w:lang w:val="en-US" w:bidi="el-GR"/>
        </w:rPr>
        <w:t>FESTOS</w:t>
      </w:r>
      <w:r w:rsidRPr="00C3630C">
        <w:rPr>
          <w:color w:val="21286C"/>
          <w:sz w:val="21"/>
          <w:szCs w:val="21"/>
          <w:lang w:val="el-GR" w:bidi="el-GR"/>
        </w:rPr>
        <w:t xml:space="preserve"> </w:t>
      </w:r>
      <w:r w:rsidRPr="00C3630C">
        <w:rPr>
          <w:color w:val="21286C"/>
          <w:sz w:val="21"/>
          <w:szCs w:val="21"/>
          <w:lang w:val="en-US" w:bidi="el-GR"/>
        </w:rPr>
        <w:t>CCS</w:t>
      </w:r>
      <w:r w:rsidRPr="00C3630C">
        <w:rPr>
          <w:color w:val="21286C"/>
          <w:sz w:val="21"/>
          <w:szCs w:val="21"/>
          <w:lang w:val="el-GR" w:bidi="el-GR"/>
        </w:rPr>
        <w:t xml:space="preserve">, το οποίο βρίσκεται </w:t>
      </w:r>
      <w:r w:rsidR="00552E69">
        <w:rPr>
          <w:color w:val="21286C"/>
          <w:sz w:val="21"/>
          <w:szCs w:val="21"/>
          <w:lang w:val="el-GR" w:bidi="el-GR"/>
        </w:rPr>
        <w:t>σε στάδιο</w:t>
      </w:r>
      <w:r w:rsidR="00231643" w:rsidRPr="00231643">
        <w:rPr>
          <w:color w:val="21286C"/>
          <w:sz w:val="21"/>
          <w:szCs w:val="21"/>
          <w:lang w:val="el-GR" w:bidi="el-GR"/>
        </w:rPr>
        <w:t xml:space="preserve"> </w:t>
      </w:r>
      <w:r w:rsidR="00552E69">
        <w:rPr>
          <w:color w:val="21286C"/>
          <w:sz w:val="21"/>
          <w:szCs w:val="21"/>
          <w:lang w:val="el-GR" w:bidi="el-GR"/>
        </w:rPr>
        <w:t>ανάπτυξης.</w:t>
      </w:r>
    </w:p>
    <w:p w14:paraId="40BAA464" w14:textId="62AA4D90" w:rsidR="00375FFD" w:rsidRPr="00C3630C" w:rsidRDefault="00375FFD" w:rsidP="00FB7693">
      <w:pPr>
        <w:pStyle w:val="C"/>
        <w:numPr>
          <w:ilvl w:val="0"/>
          <w:numId w:val="16"/>
        </w:numPr>
        <w:spacing w:before="80" w:after="0" w:line="240" w:lineRule="auto"/>
        <w:ind w:left="357" w:hanging="357"/>
        <w:jc w:val="both"/>
        <w:rPr>
          <w:color w:val="21286C"/>
          <w:sz w:val="21"/>
          <w:szCs w:val="21"/>
          <w:lang w:val="el-GR" w:bidi="el-GR"/>
        </w:rPr>
      </w:pPr>
      <w:r w:rsidRPr="00C3630C">
        <w:rPr>
          <w:color w:val="21286C"/>
          <w:sz w:val="21"/>
          <w:szCs w:val="21"/>
          <w:lang w:val="el-GR" w:bidi="el-GR"/>
        </w:rPr>
        <w:t xml:space="preserve">Η εξαγορά </w:t>
      </w:r>
      <w:r w:rsidR="005D2BA2" w:rsidRPr="00C3630C">
        <w:rPr>
          <w:color w:val="21286C"/>
          <w:sz w:val="21"/>
          <w:szCs w:val="21"/>
          <w:lang w:val="el-GR" w:bidi="el-GR"/>
        </w:rPr>
        <w:t>ποσοστού</w:t>
      </w:r>
      <w:r w:rsidRPr="00C3630C">
        <w:rPr>
          <w:color w:val="21286C"/>
          <w:sz w:val="21"/>
          <w:szCs w:val="21"/>
          <w:lang w:val="el-GR" w:bidi="el-GR"/>
        </w:rPr>
        <w:t xml:space="preserve"> 80% </w:t>
      </w:r>
      <w:r w:rsidR="002E5AC2" w:rsidRPr="00C3630C">
        <w:rPr>
          <w:color w:val="21286C"/>
          <w:sz w:val="21"/>
          <w:szCs w:val="21"/>
          <w:lang w:val="el-GR" w:bidi="el-GR"/>
        </w:rPr>
        <w:t xml:space="preserve">της </w:t>
      </w:r>
      <w:proofErr w:type="spellStart"/>
      <w:r w:rsidR="002E5AC2" w:rsidRPr="00C3630C">
        <w:rPr>
          <w:color w:val="21286C"/>
          <w:sz w:val="21"/>
          <w:szCs w:val="21"/>
          <w:lang w:val="el-GR" w:bidi="el-GR"/>
        </w:rPr>
        <w:t>Baupartner</w:t>
      </w:r>
      <w:proofErr w:type="spellEnd"/>
      <w:r w:rsidR="002E5AC2" w:rsidRPr="00C3630C">
        <w:rPr>
          <w:color w:val="21286C"/>
          <w:sz w:val="21"/>
          <w:szCs w:val="21"/>
          <w:lang w:val="el-GR" w:bidi="el-GR"/>
        </w:rPr>
        <w:t xml:space="preserve"> </w:t>
      </w:r>
      <w:r w:rsidRPr="00C3630C">
        <w:rPr>
          <w:color w:val="21286C"/>
          <w:sz w:val="21"/>
          <w:szCs w:val="21"/>
          <w:lang w:val="el-GR" w:bidi="el-GR"/>
        </w:rPr>
        <w:t xml:space="preserve">στη Βοσνία-Ερζεγοβίνη </w:t>
      </w:r>
      <w:r w:rsidR="0018108A" w:rsidRPr="00C3630C">
        <w:rPr>
          <w:color w:val="21286C"/>
          <w:sz w:val="21"/>
          <w:szCs w:val="21"/>
          <w:lang w:val="el-GR" w:bidi="el-GR"/>
        </w:rPr>
        <w:t xml:space="preserve">μέσω κοινοπραξίας </w:t>
      </w:r>
      <w:r w:rsidRPr="00C3630C">
        <w:rPr>
          <w:color w:val="21286C"/>
          <w:sz w:val="21"/>
          <w:szCs w:val="21"/>
          <w:lang w:val="el-GR" w:bidi="el-GR"/>
        </w:rPr>
        <w:t>σηματοδοτεί την είσοδο του Τιτάνα στον κλάδο προκατασκευασμέν</w:t>
      </w:r>
      <w:r w:rsidR="0037188A">
        <w:rPr>
          <w:color w:val="21286C"/>
          <w:sz w:val="21"/>
          <w:szCs w:val="21"/>
          <w:lang w:val="el-GR" w:bidi="el-GR"/>
        </w:rPr>
        <w:t>ων προϊόντων</w:t>
      </w:r>
      <w:r w:rsidRPr="00C3630C">
        <w:rPr>
          <w:color w:val="21286C"/>
          <w:sz w:val="21"/>
          <w:szCs w:val="21"/>
          <w:lang w:val="el-GR" w:bidi="el-GR"/>
        </w:rPr>
        <w:t xml:space="preserve"> σκυροδέματος, </w:t>
      </w:r>
      <w:r w:rsidR="00420E23" w:rsidRPr="00C3630C">
        <w:rPr>
          <w:color w:val="21286C"/>
          <w:sz w:val="21"/>
          <w:szCs w:val="21"/>
          <w:lang w:val="el-GR" w:bidi="el-GR"/>
        </w:rPr>
        <w:t xml:space="preserve">ενώ </w:t>
      </w:r>
      <w:r w:rsidRPr="00C3630C">
        <w:rPr>
          <w:color w:val="21286C"/>
          <w:sz w:val="21"/>
          <w:szCs w:val="21"/>
          <w:lang w:val="el-GR" w:bidi="el-GR"/>
        </w:rPr>
        <w:t xml:space="preserve">παράλληλα </w:t>
      </w:r>
      <w:r w:rsidR="00420E23" w:rsidRPr="00C3630C">
        <w:rPr>
          <w:color w:val="21286C"/>
          <w:sz w:val="21"/>
          <w:szCs w:val="21"/>
          <w:lang w:val="el-GR" w:bidi="el-GR"/>
        </w:rPr>
        <w:t xml:space="preserve">εγκρίθηκε </w:t>
      </w:r>
      <w:r w:rsidR="00786DBC" w:rsidRPr="00C3630C">
        <w:rPr>
          <w:color w:val="21286C"/>
          <w:sz w:val="21"/>
          <w:szCs w:val="21"/>
          <w:lang w:val="el-GR" w:bidi="el-GR"/>
        </w:rPr>
        <w:t xml:space="preserve">από τις </w:t>
      </w:r>
      <w:r w:rsidR="00741EEE" w:rsidRPr="00C3630C">
        <w:rPr>
          <w:color w:val="21286C"/>
          <w:sz w:val="21"/>
          <w:szCs w:val="21"/>
          <w:lang w:val="el-GR" w:bidi="el-GR"/>
        </w:rPr>
        <w:t xml:space="preserve">ρυθμιστικές αρχές στη Φλόριντα </w:t>
      </w:r>
      <w:r w:rsidR="00420E23" w:rsidRPr="00C3630C">
        <w:rPr>
          <w:color w:val="21286C"/>
          <w:sz w:val="21"/>
          <w:szCs w:val="21"/>
          <w:lang w:val="el-GR" w:bidi="el-GR"/>
        </w:rPr>
        <w:t>η</w:t>
      </w:r>
      <w:r w:rsidR="00741EEE" w:rsidRPr="00C3630C">
        <w:rPr>
          <w:color w:val="21286C"/>
          <w:sz w:val="21"/>
          <w:szCs w:val="21"/>
          <w:lang w:val="el-GR" w:bidi="el-GR"/>
        </w:rPr>
        <w:t xml:space="preserve"> παραγωγή </w:t>
      </w:r>
      <w:r w:rsidR="00AE1296">
        <w:rPr>
          <w:color w:val="21286C"/>
          <w:sz w:val="21"/>
          <w:szCs w:val="21"/>
          <w:lang w:val="el-GR" w:bidi="el-GR"/>
        </w:rPr>
        <w:t xml:space="preserve">νέων προϊόντων </w:t>
      </w:r>
      <w:r w:rsidRPr="00290414">
        <w:rPr>
          <w:color w:val="21286C"/>
          <w:sz w:val="21"/>
          <w:szCs w:val="21"/>
          <w:lang w:val="el-GR" w:bidi="el-GR"/>
        </w:rPr>
        <w:t>προκατασκευασμέν</w:t>
      </w:r>
      <w:r w:rsidR="00AE1296">
        <w:rPr>
          <w:color w:val="21286C"/>
          <w:sz w:val="21"/>
          <w:szCs w:val="21"/>
          <w:lang w:val="el-GR" w:bidi="el-GR"/>
        </w:rPr>
        <w:t xml:space="preserve">ου </w:t>
      </w:r>
      <w:r w:rsidR="00B93E73">
        <w:rPr>
          <w:color w:val="21286C"/>
          <w:sz w:val="21"/>
          <w:szCs w:val="21"/>
          <w:lang w:val="el-GR" w:bidi="el-GR"/>
        </w:rPr>
        <w:t>σκυροδέματος</w:t>
      </w:r>
      <w:r w:rsidRPr="00290414">
        <w:rPr>
          <w:color w:val="21286C"/>
          <w:sz w:val="21"/>
          <w:szCs w:val="21"/>
          <w:lang w:val="el-GR" w:bidi="el-GR"/>
        </w:rPr>
        <w:t>.</w:t>
      </w:r>
    </w:p>
    <w:p w14:paraId="6A822036" w14:textId="378BCE01" w:rsidR="0077494C" w:rsidRPr="00C3630C" w:rsidRDefault="0077494C" w:rsidP="00FB7693">
      <w:pPr>
        <w:pStyle w:val="C"/>
        <w:numPr>
          <w:ilvl w:val="0"/>
          <w:numId w:val="16"/>
        </w:numPr>
        <w:spacing w:before="80" w:after="0" w:line="240" w:lineRule="auto"/>
        <w:ind w:left="357" w:hanging="357"/>
        <w:jc w:val="both"/>
        <w:rPr>
          <w:color w:val="21286C"/>
          <w:sz w:val="21"/>
          <w:szCs w:val="21"/>
          <w:lang w:val="el-GR" w:bidi="el-GR"/>
        </w:rPr>
      </w:pPr>
      <w:r w:rsidRPr="00C3630C">
        <w:rPr>
          <w:color w:val="21286C"/>
          <w:sz w:val="21"/>
          <w:szCs w:val="21"/>
          <w:lang w:val="el-GR" w:bidi="el-GR"/>
        </w:rPr>
        <w:t>Ολοκλ</w:t>
      </w:r>
      <w:r w:rsidR="00445AD5" w:rsidRPr="00C3630C">
        <w:rPr>
          <w:color w:val="21286C"/>
          <w:sz w:val="21"/>
          <w:szCs w:val="21"/>
          <w:lang w:val="el-GR" w:bidi="el-GR"/>
        </w:rPr>
        <w:t>ηρώθηκε</w:t>
      </w:r>
      <w:r w:rsidR="00357060" w:rsidRPr="00C3630C">
        <w:rPr>
          <w:color w:val="21286C"/>
          <w:sz w:val="21"/>
          <w:szCs w:val="21"/>
          <w:lang w:val="el-GR" w:bidi="el-GR"/>
        </w:rPr>
        <w:t xml:space="preserve"> η</w:t>
      </w:r>
      <w:r w:rsidRPr="00C3630C">
        <w:rPr>
          <w:color w:val="21286C"/>
          <w:sz w:val="21"/>
          <w:szCs w:val="21"/>
          <w:lang w:val="el-GR" w:bidi="el-GR"/>
        </w:rPr>
        <w:t xml:space="preserve"> εξαγορά μιας επιπλέον μονάδας έτοιμου σκυροδέματος και ενός λατομείου αδρανών υλικών στην Ελλάδα, ανεβάζοντας τον αριθμό των στρατηγικών επενδύσεων εντός του έτους</w:t>
      </w:r>
      <w:r w:rsidR="00C418A3">
        <w:rPr>
          <w:color w:val="21286C"/>
          <w:sz w:val="21"/>
          <w:szCs w:val="21"/>
          <w:lang w:val="el-GR" w:bidi="el-GR"/>
        </w:rPr>
        <w:t xml:space="preserve"> </w:t>
      </w:r>
      <w:r w:rsidRPr="00C3630C">
        <w:rPr>
          <w:color w:val="21286C"/>
          <w:sz w:val="21"/>
          <w:szCs w:val="21"/>
          <w:lang w:val="el-GR" w:bidi="el-GR"/>
        </w:rPr>
        <w:t>σε τρει</w:t>
      </w:r>
      <w:r w:rsidR="00D52725">
        <w:rPr>
          <w:color w:val="21286C"/>
          <w:sz w:val="21"/>
          <w:szCs w:val="21"/>
          <w:lang w:val="el-GR" w:bidi="el-GR"/>
        </w:rPr>
        <w:t>ς</w:t>
      </w:r>
      <w:r w:rsidRPr="00C3630C">
        <w:rPr>
          <w:color w:val="21286C"/>
          <w:sz w:val="21"/>
          <w:szCs w:val="21"/>
          <w:lang w:val="el-GR" w:bidi="el-GR"/>
        </w:rPr>
        <w:t>.</w:t>
      </w:r>
    </w:p>
    <w:p w14:paraId="0D0642A7" w14:textId="5BEEAD1D" w:rsidR="00375FFD" w:rsidRPr="00C3630C" w:rsidRDefault="002E5AC2" w:rsidP="00FB7693">
      <w:pPr>
        <w:pStyle w:val="C"/>
        <w:numPr>
          <w:ilvl w:val="0"/>
          <w:numId w:val="16"/>
        </w:numPr>
        <w:spacing w:before="80" w:after="0" w:line="240" w:lineRule="auto"/>
        <w:ind w:left="357" w:hanging="357"/>
        <w:jc w:val="both"/>
        <w:rPr>
          <w:color w:val="21286C"/>
          <w:sz w:val="21"/>
          <w:szCs w:val="21"/>
          <w:lang w:val="el-GR" w:bidi="el-GR"/>
        </w:rPr>
      </w:pPr>
      <w:r>
        <w:rPr>
          <w:color w:val="21286C"/>
          <w:sz w:val="21"/>
          <w:szCs w:val="21"/>
          <w:lang w:val="el-GR" w:bidi="el-GR"/>
        </w:rPr>
        <w:t xml:space="preserve"> Έ</w:t>
      </w:r>
      <w:r w:rsidR="00375FFD" w:rsidRPr="00C3630C">
        <w:rPr>
          <w:color w:val="21286C"/>
          <w:sz w:val="21"/>
          <w:szCs w:val="21"/>
          <w:lang w:val="el-GR" w:bidi="el-GR"/>
        </w:rPr>
        <w:t>χει προγραμματιστεί</w:t>
      </w:r>
      <w:r w:rsidRPr="00C3630C">
        <w:rPr>
          <w:color w:val="21286C"/>
          <w:sz w:val="21"/>
          <w:szCs w:val="21"/>
          <w:lang w:val="el-GR" w:bidi="el-GR"/>
        </w:rPr>
        <w:t xml:space="preserve"> Investor Day </w:t>
      </w:r>
      <w:r w:rsidR="009B57BF" w:rsidRPr="00C3630C">
        <w:rPr>
          <w:color w:val="21286C"/>
          <w:sz w:val="21"/>
          <w:szCs w:val="21"/>
          <w:lang w:val="el-GR" w:bidi="el-GR"/>
        </w:rPr>
        <w:t>στην Αθήνα</w:t>
      </w:r>
      <w:r w:rsidR="009B57BF">
        <w:rPr>
          <w:color w:val="21286C"/>
          <w:sz w:val="21"/>
          <w:szCs w:val="21"/>
          <w:lang w:val="el-GR" w:bidi="el-GR"/>
        </w:rPr>
        <w:t>, την Τρίτη</w:t>
      </w:r>
      <w:r w:rsidR="00375FFD" w:rsidRPr="00C3630C">
        <w:rPr>
          <w:color w:val="21286C"/>
          <w:sz w:val="21"/>
          <w:szCs w:val="21"/>
          <w:lang w:val="el-GR" w:bidi="el-GR"/>
        </w:rPr>
        <w:t xml:space="preserve"> 11 Νοεμβρίου.</w:t>
      </w:r>
    </w:p>
    <w:p w14:paraId="4437C275" w14:textId="2D6A6B96" w:rsidR="00375FFD" w:rsidRPr="005B7D10" w:rsidRDefault="00375FFD" w:rsidP="00FB7693">
      <w:pPr>
        <w:pStyle w:val="C"/>
        <w:numPr>
          <w:ilvl w:val="0"/>
          <w:numId w:val="16"/>
        </w:numPr>
        <w:spacing w:before="80" w:after="0" w:line="240" w:lineRule="auto"/>
        <w:ind w:left="357" w:hanging="357"/>
        <w:jc w:val="both"/>
        <w:rPr>
          <w:color w:val="21286C"/>
          <w:sz w:val="21"/>
          <w:szCs w:val="21"/>
          <w:lang w:val="el-GR" w:bidi="el-GR"/>
        </w:rPr>
      </w:pPr>
      <w:r w:rsidRPr="00C3630C">
        <w:rPr>
          <w:color w:val="21286C"/>
          <w:sz w:val="21"/>
          <w:szCs w:val="21"/>
          <w:lang w:val="el-GR" w:bidi="el-GR"/>
        </w:rPr>
        <w:t>Οι προοπτικές για το</w:t>
      </w:r>
      <w:r w:rsidR="00A60FC9" w:rsidRPr="00C3630C">
        <w:rPr>
          <w:color w:val="21286C"/>
          <w:sz w:val="21"/>
          <w:szCs w:val="21"/>
          <w:lang w:val="el-GR" w:bidi="el-GR"/>
        </w:rPr>
        <w:t xml:space="preserve"> υπόλοιπο </w:t>
      </w:r>
      <w:r w:rsidRPr="00C3630C">
        <w:rPr>
          <w:color w:val="21286C"/>
          <w:sz w:val="21"/>
          <w:szCs w:val="21"/>
          <w:lang w:val="el-GR" w:bidi="el-GR"/>
        </w:rPr>
        <w:t xml:space="preserve">του έτους </w:t>
      </w:r>
      <w:r w:rsidR="00A60FC9" w:rsidRPr="00C3630C">
        <w:rPr>
          <w:color w:val="21286C"/>
          <w:sz w:val="21"/>
          <w:szCs w:val="21"/>
          <w:lang w:val="el-GR" w:bidi="el-GR"/>
        </w:rPr>
        <w:t xml:space="preserve">παραμένουν </w:t>
      </w:r>
      <w:r w:rsidRPr="00C3630C">
        <w:rPr>
          <w:color w:val="21286C"/>
          <w:sz w:val="21"/>
          <w:szCs w:val="21"/>
          <w:lang w:val="el-GR" w:bidi="el-GR"/>
        </w:rPr>
        <w:t>θετικές, χάρη στη</w:t>
      </w:r>
      <w:r w:rsidR="006A2318">
        <w:rPr>
          <w:color w:val="21286C"/>
          <w:sz w:val="21"/>
          <w:szCs w:val="21"/>
          <w:lang w:val="el-GR" w:bidi="el-GR"/>
        </w:rPr>
        <w:t>ν</w:t>
      </w:r>
      <w:r w:rsidRPr="00C3630C">
        <w:rPr>
          <w:color w:val="21286C"/>
          <w:sz w:val="21"/>
          <w:szCs w:val="21"/>
          <w:lang w:val="el-GR" w:bidi="el-GR"/>
        </w:rPr>
        <w:t xml:space="preserve"> αύξηση του όγκου πωλήσεων</w:t>
      </w:r>
      <w:r w:rsidR="006A2318">
        <w:rPr>
          <w:color w:val="21286C"/>
          <w:sz w:val="21"/>
          <w:szCs w:val="21"/>
          <w:lang w:val="el-GR" w:bidi="el-GR"/>
        </w:rPr>
        <w:t>,</w:t>
      </w:r>
      <w:r w:rsidRPr="00C3630C">
        <w:rPr>
          <w:color w:val="21286C"/>
          <w:sz w:val="21"/>
          <w:szCs w:val="21"/>
          <w:lang w:val="el-GR" w:bidi="el-GR"/>
        </w:rPr>
        <w:t xml:space="preserve"> </w:t>
      </w:r>
      <w:r w:rsidR="0004644D">
        <w:rPr>
          <w:color w:val="21286C"/>
          <w:sz w:val="21"/>
          <w:szCs w:val="21"/>
          <w:lang w:val="el-GR" w:bidi="el-GR"/>
        </w:rPr>
        <w:t>σ</w:t>
      </w:r>
      <w:r w:rsidRPr="00C3630C">
        <w:rPr>
          <w:color w:val="21286C"/>
          <w:sz w:val="21"/>
          <w:szCs w:val="21"/>
          <w:lang w:val="el-GR" w:bidi="el-GR"/>
        </w:rPr>
        <w:t>τις ανθεκτικές τιμές</w:t>
      </w:r>
      <w:r w:rsidR="00AE12CB" w:rsidRPr="00C3630C">
        <w:rPr>
          <w:color w:val="21286C"/>
          <w:sz w:val="21"/>
          <w:szCs w:val="21"/>
          <w:lang w:val="el-GR" w:bidi="el-GR"/>
        </w:rPr>
        <w:t xml:space="preserve">, </w:t>
      </w:r>
      <w:r w:rsidR="00A43794" w:rsidRPr="00A43794">
        <w:rPr>
          <w:color w:val="21286C"/>
          <w:sz w:val="21"/>
          <w:szCs w:val="21"/>
          <w:lang w:val="el-GR" w:bidi="el-GR"/>
        </w:rPr>
        <w:t>σ</w:t>
      </w:r>
      <w:r w:rsidR="007F3F3F" w:rsidRPr="00A43794">
        <w:rPr>
          <w:color w:val="21286C"/>
          <w:sz w:val="21"/>
          <w:szCs w:val="21"/>
          <w:lang w:val="el-GR" w:bidi="el-GR"/>
        </w:rPr>
        <w:t>τα</w:t>
      </w:r>
      <w:r w:rsidR="007F3F3F">
        <w:rPr>
          <w:color w:val="21286C"/>
          <w:sz w:val="21"/>
          <w:szCs w:val="21"/>
          <w:lang w:val="el-GR" w:bidi="el-GR"/>
        </w:rPr>
        <w:t xml:space="preserve"> έργα</w:t>
      </w:r>
      <w:r w:rsidR="00214249" w:rsidRPr="00C3630C">
        <w:rPr>
          <w:color w:val="21286C"/>
          <w:sz w:val="21"/>
          <w:szCs w:val="21"/>
          <w:lang w:val="el-GR" w:bidi="el-GR"/>
        </w:rPr>
        <w:t xml:space="preserve"> μείωσης</w:t>
      </w:r>
      <w:r w:rsidR="00AE12CB" w:rsidRPr="00C3630C">
        <w:rPr>
          <w:color w:val="21286C"/>
          <w:sz w:val="21"/>
          <w:szCs w:val="21"/>
          <w:lang w:val="el-GR" w:bidi="el-GR"/>
        </w:rPr>
        <w:t xml:space="preserve"> του κόστους</w:t>
      </w:r>
      <w:r w:rsidRPr="00C3630C">
        <w:rPr>
          <w:color w:val="21286C"/>
          <w:sz w:val="21"/>
          <w:szCs w:val="21"/>
          <w:lang w:val="el-GR" w:bidi="el-GR"/>
        </w:rPr>
        <w:t xml:space="preserve"> </w:t>
      </w:r>
      <w:r w:rsidRPr="00A43794">
        <w:rPr>
          <w:color w:val="21286C"/>
          <w:sz w:val="21"/>
          <w:szCs w:val="21"/>
          <w:lang w:val="el-GR" w:bidi="el-GR"/>
        </w:rPr>
        <w:t xml:space="preserve">και </w:t>
      </w:r>
      <w:r w:rsidR="00A43794" w:rsidRPr="00A43794">
        <w:rPr>
          <w:color w:val="21286C"/>
          <w:sz w:val="21"/>
          <w:szCs w:val="21"/>
          <w:lang w:val="el-GR" w:bidi="el-GR"/>
        </w:rPr>
        <w:t>σ</w:t>
      </w:r>
      <w:r w:rsidRPr="00A43794">
        <w:rPr>
          <w:color w:val="21286C"/>
          <w:sz w:val="21"/>
          <w:szCs w:val="21"/>
          <w:lang w:val="el-GR" w:bidi="el-GR"/>
        </w:rPr>
        <w:t xml:space="preserve">τη </w:t>
      </w:r>
      <w:r w:rsidR="00214C85" w:rsidRPr="00A43794">
        <w:rPr>
          <w:color w:val="21286C"/>
          <w:sz w:val="21"/>
          <w:szCs w:val="21"/>
          <w:lang w:val="el-GR" w:bidi="el-GR"/>
        </w:rPr>
        <w:t xml:space="preserve">βελτίωση </w:t>
      </w:r>
      <w:r w:rsidR="000E28AE" w:rsidRPr="00A43794">
        <w:rPr>
          <w:color w:val="21286C"/>
          <w:sz w:val="21"/>
          <w:szCs w:val="21"/>
          <w:lang w:val="el-GR" w:bidi="el-GR"/>
        </w:rPr>
        <w:t>της λ</w:t>
      </w:r>
      <w:r w:rsidRPr="00A43794">
        <w:rPr>
          <w:color w:val="21286C"/>
          <w:sz w:val="21"/>
          <w:szCs w:val="21"/>
          <w:lang w:val="el-GR" w:bidi="el-GR"/>
        </w:rPr>
        <w:t>ειτουργική</w:t>
      </w:r>
      <w:r w:rsidR="000E28AE" w:rsidRPr="00A43794">
        <w:rPr>
          <w:color w:val="21286C"/>
          <w:sz w:val="21"/>
          <w:szCs w:val="21"/>
          <w:lang w:val="el-GR" w:bidi="el-GR"/>
        </w:rPr>
        <w:t>ς</w:t>
      </w:r>
      <w:r w:rsidRPr="00A43794">
        <w:rPr>
          <w:color w:val="21286C"/>
          <w:sz w:val="21"/>
          <w:szCs w:val="21"/>
          <w:lang w:val="el-GR" w:bidi="el-GR"/>
        </w:rPr>
        <w:t xml:space="preserve"> αποδοτικότητα</w:t>
      </w:r>
      <w:r w:rsidR="000E28AE" w:rsidRPr="00A43794">
        <w:rPr>
          <w:color w:val="21286C"/>
          <w:sz w:val="21"/>
          <w:szCs w:val="21"/>
          <w:lang w:val="el-GR" w:bidi="el-GR"/>
        </w:rPr>
        <w:t>ς</w:t>
      </w:r>
      <w:r w:rsidRPr="00A43794">
        <w:rPr>
          <w:color w:val="21286C"/>
          <w:sz w:val="21"/>
          <w:szCs w:val="21"/>
          <w:lang w:val="el-GR" w:bidi="el-GR"/>
        </w:rPr>
        <w:t>.</w:t>
      </w:r>
    </w:p>
    <w:p w14:paraId="5618E1A0" w14:textId="77777777" w:rsidR="005B7D10" w:rsidRPr="008D25EF" w:rsidRDefault="005B7D10" w:rsidP="005B7D10">
      <w:pPr>
        <w:pStyle w:val="C"/>
        <w:spacing w:before="80" w:after="0" w:line="240" w:lineRule="auto"/>
        <w:ind w:left="357"/>
        <w:jc w:val="both"/>
        <w:rPr>
          <w:color w:val="21286C"/>
          <w:sz w:val="21"/>
          <w:szCs w:val="21"/>
          <w:lang w:val="el-GR" w:bidi="el-GR"/>
        </w:rPr>
      </w:pPr>
    </w:p>
    <w:p w14:paraId="335098B3" w14:textId="77777777" w:rsidR="00B94958" w:rsidRPr="008D25EF" w:rsidRDefault="00B94958" w:rsidP="005B7D10">
      <w:pPr>
        <w:pStyle w:val="C"/>
        <w:spacing w:before="80" w:after="0" w:line="240" w:lineRule="auto"/>
        <w:ind w:left="357"/>
        <w:jc w:val="both"/>
        <w:rPr>
          <w:color w:val="21286C"/>
          <w:sz w:val="21"/>
          <w:szCs w:val="21"/>
          <w:lang w:val="el-GR" w:bidi="el-GR"/>
        </w:rPr>
      </w:pPr>
    </w:p>
    <w:tbl>
      <w:tblPr>
        <w:tblpPr w:leftFromText="180" w:rightFromText="180" w:vertAnchor="text" w:horzAnchor="margin" w:tblpY="138"/>
        <w:tblW w:w="9701" w:type="dxa"/>
        <w:tblLayout w:type="fixed"/>
        <w:tblCellMar>
          <w:left w:w="0" w:type="dxa"/>
          <w:right w:w="0" w:type="dxa"/>
        </w:tblCellMar>
        <w:tblLook w:val="01E0" w:firstRow="1" w:lastRow="1" w:firstColumn="1" w:lastColumn="1" w:noHBand="0" w:noVBand="0"/>
      </w:tblPr>
      <w:tblGrid>
        <w:gridCol w:w="3231"/>
        <w:gridCol w:w="24"/>
        <w:gridCol w:w="1158"/>
        <w:gridCol w:w="1247"/>
        <w:gridCol w:w="828"/>
        <w:gridCol w:w="23"/>
        <w:gridCol w:w="1159"/>
        <w:gridCol w:w="1183"/>
        <w:gridCol w:w="828"/>
        <w:gridCol w:w="20"/>
      </w:tblGrid>
      <w:tr w:rsidR="00F9049E" w:rsidRPr="000C562C" w14:paraId="3EE85DBB" w14:textId="77777777" w:rsidTr="00907270">
        <w:trPr>
          <w:trHeight w:val="732"/>
        </w:trPr>
        <w:tc>
          <w:tcPr>
            <w:tcW w:w="3231" w:type="dxa"/>
            <w:tcBorders>
              <w:bottom w:val="single" w:sz="4" w:space="0" w:color="000000"/>
            </w:tcBorders>
          </w:tcPr>
          <w:p w14:paraId="2F9DD047" w14:textId="77777777" w:rsidR="000C562C" w:rsidRPr="00DA11CF" w:rsidRDefault="000C562C">
            <w:pPr>
              <w:pStyle w:val="TableParagraph"/>
              <w:spacing w:before="11" w:line="240" w:lineRule="auto"/>
              <w:jc w:val="center"/>
              <w:rPr>
                <w:b/>
                <w:sz w:val="10"/>
              </w:rPr>
            </w:pPr>
          </w:p>
          <w:p w14:paraId="544C06E3" w14:textId="4AF7E9AA" w:rsidR="000C562C" w:rsidRPr="00DA11CF" w:rsidRDefault="000C562C">
            <w:pPr>
              <w:pStyle w:val="TableParagraph"/>
              <w:spacing w:line="240" w:lineRule="auto"/>
              <w:ind w:left="122"/>
              <w:jc w:val="left"/>
              <w:rPr>
                <w:i/>
                <w:sz w:val="14"/>
              </w:rPr>
            </w:pPr>
            <w:r w:rsidRPr="000C562C">
              <w:rPr>
                <w:i/>
                <w:iCs/>
                <w:color w:val="21286C"/>
                <w:sz w:val="14"/>
                <w:szCs w:val="14"/>
                <w:lang w:eastAsia="en-GB"/>
              </w:rPr>
              <w:t xml:space="preserve">Σε εκατομμύρια Ευρώ, </w:t>
            </w:r>
            <w:r w:rsidR="005238FC">
              <w:rPr>
                <w:i/>
                <w:iCs/>
                <w:color w:val="21286C"/>
                <w:sz w:val="14"/>
                <w:szCs w:val="14"/>
                <w:lang w:eastAsia="en-GB"/>
              </w:rPr>
              <w:br/>
            </w:r>
            <w:r w:rsidRPr="000C562C">
              <w:rPr>
                <w:i/>
                <w:iCs/>
                <w:color w:val="21286C"/>
                <w:sz w:val="14"/>
                <w:szCs w:val="14"/>
                <w:lang w:eastAsia="en-GB"/>
              </w:rPr>
              <w:t>εκτός εάν ορίζεται διαφορετικά</w:t>
            </w:r>
          </w:p>
        </w:tc>
        <w:tc>
          <w:tcPr>
            <w:tcW w:w="24" w:type="dxa"/>
            <w:tcBorders>
              <w:bottom w:val="single" w:sz="4" w:space="0" w:color="000000"/>
            </w:tcBorders>
            <w:shd w:val="clear" w:color="auto" w:fill="D9D9D9" w:themeFill="background1" w:themeFillShade="D9"/>
          </w:tcPr>
          <w:p w14:paraId="03B11D2B" w14:textId="77777777" w:rsidR="000C562C" w:rsidRPr="00DA11CF" w:rsidRDefault="000C562C">
            <w:pPr>
              <w:pStyle w:val="TableParagraph"/>
              <w:spacing w:before="83" w:line="240" w:lineRule="auto"/>
              <w:ind w:right="105"/>
              <w:rPr>
                <w:b/>
                <w:color w:val="00B0D6"/>
                <w:sz w:val="21"/>
              </w:rPr>
            </w:pPr>
          </w:p>
        </w:tc>
        <w:tc>
          <w:tcPr>
            <w:tcW w:w="1158" w:type="dxa"/>
            <w:tcBorders>
              <w:bottom w:val="single" w:sz="4" w:space="0" w:color="000000"/>
            </w:tcBorders>
            <w:shd w:val="clear" w:color="auto" w:fill="F2F2F2" w:themeFill="background1" w:themeFillShade="F2"/>
          </w:tcPr>
          <w:p w14:paraId="3CB8A0E9" w14:textId="2913D009" w:rsidR="000C562C" w:rsidRPr="00556F8F" w:rsidRDefault="000C562C">
            <w:pPr>
              <w:pStyle w:val="TableParagraph"/>
              <w:spacing w:before="83" w:line="240" w:lineRule="auto"/>
              <w:ind w:right="105"/>
              <w:rPr>
                <w:b/>
                <w:color w:val="00B0D6"/>
                <w:sz w:val="21"/>
                <w:lang w:val="en-US"/>
              </w:rPr>
            </w:pPr>
            <w:r>
              <w:rPr>
                <w:b/>
                <w:bCs/>
                <w:color w:val="01B1D7"/>
                <w:sz w:val="21"/>
                <w:szCs w:val="21"/>
              </w:rPr>
              <w:t>3</w:t>
            </w:r>
            <w:r w:rsidRPr="00C11EAF">
              <w:rPr>
                <w:b/>
                <w:bCs/>
                <w:color w:val="01B1D7"/>
                <w:sz w:val="21"/>
                <w:szCs w:val="21"/>
                <w:vertAlign w:val="superscript"/>
              </w:rPr>
              <w:t>ο</w:t>
            </w:r>
            <w:r>
              <w:rPr>
                <w:b/>
                <w:bCs/>
                <w:color w:val="01B1D7"/>
                <w:sz w:val="21"/>
                <w:szCs w:val="21"/>
              </w:rPr>
              <w:t xml:space="preserve"> Τρίμηνο</w:t>
            </w:r>
            <w:r>
              <w:rPr>
                <w:b/>
                <w:bCs/>
                <w:color w:val="01B1D7"/>
                <w:sz w:val="21"/>
                <w:szCs w:val="21"/>
              </w:rPr>
              <w:br/>
            </w:r>
            <w:r>
              <w:rPr>
                <w:b/>
                <w:color w:val="01B1D7"/>
                <w:sz w:val="21"/>
                <w:szCs w:val="21"/>
              </w:rPr>
              <w:t>2</w:t>
            </w:r>
            <w:r>
              <w:rPr>
                <w:b/>
                <w:color w:val="00B0D6"/>
                <w:sz w:val="21"/>
              </w:rPr>
              <w:t>02</w:t>
            </w:r>
            <w:r w:rsidR="00556F8F">
              <w:rPr>
                <w:b/>
                <w:color w:val="00B0D6"/>
                <w:sz w:val="21"/>
                <w:lang w:val="en-US"/>
              </w:rPr>
              <w:t>5</w:t>
            </w:r>
          </w:p>
        </w:tc>
        <w:tc>
          <w:tcPr>
            <w:tcW w:w="1247" w:type="dxa"/>
            <w:tcBorders>
              <w:bottom w:val="single" w:sz="4" w:space="0" w:color="000000"/>
            </w:tcBorders>
            <w:shd w:val="clear" w:color="auto" w:fill="FFFFFF" w:themeFill="background1"/>
          </w:tcPr>
          <w:p w14:paraId="1201DD85" w14:textId="1C263821" w:rsidR="000C562C" w:rsidRPr="00556F8F" w:rsidRDefault="000C562C">
            <w:pPr>
              <w:pStyle w:val="TableParagraph"/>
              <w:spacing w:before="83" w:line="240" w:lineRule="auto"/>
              <w:ind w:right="105"/>
              <w:rPr>
                <w:b/>
                <w:color w:val="21286C"/>
                <w:sz w:val="21"/>
                <w:lang w:val="en-US"/>
              </w:rPr>
            </w:pPr>
            <w:r w:rsidRPr="000C562C">
              <w:rPr>
                <w:b/>
                <w:bCs/>
                <w:color w:val="21286C"/>
                <w:sz w:val="21"/>
                <w:szCs w:val="21"/>
              </w:rPr>
              <w:t>3</w:t>
            </w:r>
            <w:r w:rsidRPr="000C562C">
              <w:rPr>
                <w:b/>
                <w:bCs/>
                <w:color w:val="21286C"/>
                <w:sz w:val="21"/>
                <w:szCs w:val="21"/>
                <w:vertAlign w:val="superscript"/>
              </w:rPr>
              <w:t xml:space="preserve">ο </w:t>
            </w:r>
            <w:r w:rsidRPr="000C562C">
              <w:rPr>
                <w:b/>
                <w:bCs/>
                <w:color w:val="21286C"/>
                <w:sz w:val="21"/>
                <w:szCs w:val="21"/>
              </w:rPr>
              <w:t>Τρίμηνο</w:t>
            </w:r>
            <w:r w:rsidRPr="000C562C">
              <w:rPr>
                <w:b/>
                <w:bCs/>
                <w:color w:val="21286C"/>
                <w:sz w:val="21"/>
                <w:szCs w:val="21"/>
              </w:rPr>
              <w:br/>
            </w:r>
            <w:r w:rsidRPr="000C562C">
              <w:rPr>
                <w:b/>
                <w:color w:val="21286C"/>
                <w:sz w:val="21"/>
              </w:rPr>
              <w:t>202</w:t>
            </w:r>
            <w:r w:rsidR="00556F8F">
              <w:rPr>
                <w:b/>
                <w:color w:val="21286C"/>
                <w:sz w:val="21"/>
                <w:lang w:val="en-US"/>
              </w:rPr>
              <w:t>4</w:t>
            </w:r>
          </w:p>
        </w:tc>
        <w:tc>
          <w:tcPr>
            <w:tcW w:w="828" w:type="dxa"/>
            <w:tcBorders>
              <w:bottom w:val="single" w:sz="4" w:space="0" w:color="000000"/>
            </w:tcBorders>
            <w:shd w:val="clear" w:color="auto" w:fill="FFFFFF" w:themeFill="background1"/>
          </w:tcPr>
          <w:p w14:paraId="6C9BE6BE" w14:textId="27803A42" w:rsidR="000C562C" w:rsidRPr="000C562C" w:rsidRDefault="000C562C">
            <w:pPr>
              <w:pStyle w:val="TableParagraph"/>
              <w:spacing w:before="83" w:line="240" w:lineRule="auto"/>
              <w:ind w:right="105"/>
              <w:rPr>
                <w:b/>
                <w:color w:val="21286C"/>
                <w:sz w:val="21"/>
                <w:lang w:val="en-US"/>
              </w:rPr>
            </w:pPr>
            <w:r w:rsidRPr="000C562C">
              <w:rPr>
                <w:b/>
                <w:color w:val="21286C"/>
                <w:sz w:val="21"/>
              </w:rPr>
              <w:t>%</w:t>
            </w:r>
            <w:r w:rsidRPr="000C562C">
              <w:rPr>
                <w:b/>
                <w:color w:val="21286C"/>
                <w:sz w:val="21"/>
                <w:lang w:val="en-US"/>
              </w:rPr>
              <w:t xml:space="preserve"> </w:t>
            </w:r>
          </w:p>
        </w:tc>
        <w:tc>
          <w:tcPr>
            <w:tcW w:w="23" w:type="dxa"/>
            <w:tcBorders>
              <w:bottom w:val="single" w:sz="4" w:space="0" w:color="000000"/>
            </w:tcBorders>
            <w:shd w:val="clear" w:color="auto" w:fill="D9D9D9" w:themeFill="background1" w:themeFillShade="D9"/>
          </w:tcPr>
          <w:p w14:paraId="33F00667" w14:textId="77777777" w:rsidR="000C562C" w:rsidRDefault="000C562C">
            <w:pPr>
              <w:pStyle w:val="TableParagraph"/>
              <w:spacing w:before="83" w:line="240" w:lineRule="auto"/>
              <w:ind w:right="105"/>
              <w:rPr>
                <w:b/>
                <w:color w:val="00B0D6"/>
                <w:sz w:val="21"/>
                <w:lang w:val="en-US"/>
              </w:rPr>
            </w:pPr>
          </w:p>
        </w:tc>
        <w:tc>
          <w:tcPr>
            <w:tcW w:w="1159" w:type="dxa"/>
            <w:tcBorders>
              <w:bottom w:val="single" w:sz="4" w:space="0" w:color="000000"/>
            </w:tcBorders>
            <w:shd w:val="clear" w:color="auto" w:fill="F2F2F2" w:themeFill="background1" w:themeFillShade="F2"/>
          </w:tcPr>
          <w:p w14:paraId="1A326F2B" w14:textId="22522540" w:rsidR="000C562C" w:rsidRPr="00FD18C1" w:rsidRDefault="000C562C">
            <w:pPr>
              <w:pStyle w:val="TableParagraph"/>
              <w:spacing w:before="83" w:line="240" w:lineRule="auto"/>
              <w:ind w:right="105"/>
              <w:rPr>
                <w:b/>
                <w:sz w:val="21"/>
                <w:lang w:val="en-US"/>
              </w:rPr>
            </w:pPr>
            <w:r>
              <w:rPr>
                <w:b/>
                <w:bCs/>
                <w:color w:val="01B1D7"/>
                <w:sz w:val="21"/>
                <w:szCs w:val="21"/>
                <w:lang w:eastAsia="en-GB"/>
              </w:rPr>
              <w:t>Εννεάμηνο</w:t>
            </w:r>
            <w:r>
              <w:rPr>
                <w:b/>
                <w:color w:val="00B0D6"/>
                <w:sz w:val="21"/>
              </w:rPr>
              <w:t xml:space="preserve"> 202</w:t>
            </w:r>
            <w:r w:rsidR="00FD18C1">
              <w:rPr>
                <w:b/>
                <w:color w:val="00B0D6"/>
                <w:sz w:val="21"/>
                <w:lang w:val="en-US"/>
              </w:rPr>
              <w:t>5</w:t>
            </w:r>
          </w:p>
        </w:tc>
        <w:tc>
          <w:tcPr>
            <w:tcW w:w="1183" w:type="dxa"/>
            <w:tcBorders>
              <w:bottom w:val="single" w:sz="4" w:space="0" w:color="000000"/>
            </w:tcBorders>
            <w:shd w:val="clear" w:color="auto" w:fill="FFFFFF" w:themeFill="background1"/>
          </w:tcPr>
          <w:p w14:paraId="1BDF7E9E" w14:textId="78632E52" w:rsidR="000C562C" w:rsidRPr="00FD18C1" w:rsidRDefault="000C562C">
            <w:pPr>
              <w:pStyle w:val="TableParagraph"/>
              <w:spacing w:before="83" w:line="240" w:lineRule="auto"/>
              <w:ind w:right="118"/>
              <w:rPr>
                <w:b/>
                <w:color w:val="21286C"/>
                <w:sz w:val="21"/>
                <w:lang w:val="en-US"/>
              </w:rPr>
            </w:pPr>
            <w:r w:rsidRPr="000C562C">
              <w:rPr>
                <w:b/>
                <w:bCs/>
                <w:color w:val="21286C"/>
                <w:sz w:val="21"/>
                <w:szCs w:val="21"/>
                <w:lang w:val="en-GB" w:eastAsia="en-GB"/>
              </w:rPr>
              <w:t>Εννε</w:t>
            </w:r>
            <w:r w:rsidRPr="000C562C">
              <w:rPr>
                <w:b/>
                <w:bCs/>
                <w:color w:val="21286C"/>
                <w:sz w:val="21"/>
                <w:szCs w:val="21"/>
                <w:lang w:eastAsia="en-GB"/>
              </w:rPr>
              <w:t>ά</w:t>
            </w:r>
            <w:r w:rsidRPr="000C562C">
              <w:rPr>
                <w:b/>
                <w:bCs/>
                <w:color w:val="21286C"/>
                <w:sz w:val="21"/>
                <w:szCs w:val="21"/>
                <w:lang w:val="en-GB" w:eastAsia="en-GB"/>
              </w:rPr>
              <w:t>μ</w:t>
            </w:r>
            <w:r w:rsidRPr="000C562C">
              <w:rPr>
                <w:b/>
                <w:bCs/>
                <w:color w:val="21286C"/>
                <w:sz w:val="21"/>
                <w:szCs w:val="21"/>
                <w:lang w:eastAsia="en-GB"/>
              </w:rPr>
              <w:t>η</w:t>
            </w:r>
            <w:r w:rsidRPr="000C562C">
              <w:rPr>
                <w:b/>
                <w:bCs/>
                <w:color w:val="21286C"/>
                <w:sz w:val="21"/>
                <w:szCs w:val="21"/>
                <w:lang w:val="en-GB" w:eastAsia="en-GB"/>
              </w:rPr>
              <w:t>νο</w:t>
            </w:r>
            <w:r w:rsidRPr="000C562C">
              <w:rPr>
                <w:b/>
                <w:color w:val="21286C"/>
                <w:sz w:val="21"/>
              </w:rPr>
              <w:t xml:space="preserve"> 202</w:t>
            </w:r>
            <w:r w:rsidR="00FD18C1">
              <w:rPr>
                <w:b/>
                <w:color w:val="21286C"/>
                <w:sz w:val="21"/>
                <w:lang w:val="en-US"/>
              </w:rPr>
              <w:t>4</w:t>
            </w:r>
          </w:p>
        </w:tc>
        <w:tc>
          <w:tcPr>
            <w:tcW w:w="828" w:type="dxa"/>
            <w:tcBorders>
              <w:bottom w:val="single" w:sz="4" w:space="0" w:color="000000"/>
            </w:tcBorders>
            <w:shd w:val="clear" w:color="auto" w:fill="FFFFFF" w:themeFill="background1"/>
          </w:tcPr>
          <w:p w14:paraId="68093D80" w14:textId="0A6388B5" w:rsidR="000C562C" w:rsidRPr="000C562C" w:rsidRDefault="000C562C">
            <w:pPr>
              <w:pStyle w:val="TableParagraph"/>
              <w:spacing w:before="83" w:line="240" w:lineRule="auto"/>
              <w:ind w:right="101"/>
              <w:rPr>
                <w:b/>
                <w:color w:val="21286C"/>
                <w:sz w:val="21"/>
              </w:rPr>
            </w:pPr>
            <w:r w:rsidRPr="000C562C">
              <w:rPr>
                <w:b/>
                <w:color w:val="21286C"/>
                <w:sz w:val="21"/>
              </w:rPr>
              <w:t>%</w:t>
            </w:r>
          </w:p>
        </w:tc>
        <w:tc>
          <w:tcPr>
            <w:tcW w:w="20" w:type="dxa"/>
            <w:tcBorders>
              <w:bottom w:val="single" w:sz="4" w:space="0" w:color="000000"/>
            </w:tcBorders>
            <w:shd w:val="clear" w:color="auto" w:fill="D9D9D9" w:themeFill="background1" w:themeFillShade="D9"/>
          </w:tcPr>
          <w:p w14:paraId="458949FE" w14:textId="77777777" w:rsidR="000C562C" w:rsidRPr="000C562C" w:rsidRDefault="000C562C">
            <w:pPr>
              <w:pStyle w:val="TableParagraph"/>
              <w:spacing w:before="83" w:line="240" w:lineRule="auto"/>
              <w:ind w:right="101"/>
              <w:rPr>
                <w:b/>
                <w:color w:val="21286C"/>
                <w:sz w:val="21"/>
              </w:rPr>
            </w:pPr>
          </w:p>
        </w:tc>
      </w:tr>
      <w:tr w:rsidR="00C11254" w:rsidRPr="000C562C" w14:paraId="7D9946FF" w14:textId="77777777" w:rsidTr="00927F56">
        <w:trPr>
          <w:trHeight w:val="547"/>
        </w:trPr>
        <w:tc>
          <w:tcPr>
            <w:tcW w:w="3231" w:type="dxa"/>
            <w:tcBorders>
              <w:top w:val="single" w:sz="4" w:space="0" w:color="000000"/>
              <w:bottom w:val="single" w:sz="4" w:space="0" w:color="000000"/>
            </w:tcBorders>
          </w:tcPr>
          <w:p w14:paraId="73609B35" w14:textId="77777777" w:rsidR="00C11254" w:rsidRPr="00614BC8" w:rsidRDefault="00C11254" w:rsidP="00C11254">
            <w:pPr>
              <w:pStyle w:val="TableParagraph"/>
              <w:spacing w:before="61" w:line="240" w:lineRule="auto"/>
              <w:jc w:val="left"/>
              <w:rPr>
                <w:b/>
                <w:color w:val="21286C"/>
                <w:sz w:val="20"/>
                <w:szCs w:val="20"/>
              </w:rPr>
            </w:pPr>
            <w:r w:rsidRPr="00614BC8">
              <w:rPr>
                <w:b/>
                <w:color w:val="21286C"/>
                <w:sz w:val="20"/>
                <w:szCs w:val="20"/>
              </w:rPr>
              <w:t>Πωλήσεις</w:t>
            </w:r>
          </w:p>
        </w:tc>
        <w:tc>
          <w:tcPr>
            <w:tcW w:w="24" w:type="dxa"/>
            <w:tcBorders>
              <w:top w:val="single" w:sz="4" w:space="0" w:color="000000"/>
              <w:bottom w:val="single" w:sz="4" w:space="0" w:color="000000"/>
            </w:tcBorders>
            <w:shd w:val="clear" w:color="auto" w:fill="D9D9D9" w:themeFill="background1" w:themeFillShade="D9"/>
          </w:tcPr>
          <w:p w14:paraId="5C2F3D02" w14:textId="77777777" w:rsidR="00C11254" w:rsidRPr="00614BC8" w:rsidRDefault="00C11254" w:rsidP="00C11254">
            <w:pPr>
              <w:pStyle w:val="TableParagraph"/>
              <w:spacing w:before="61" w:line="240" w:lineRule="auto"/>
              <w:ind w:right="105"/>
              <w:rPr>
                <w:color w:val="21286C"/>
                <w:sz w:val="20"/>
                <w:szCs w:val="20"/>
                <w:lang w:val="en-US"/>
              </w:rPr>
            </w:pPr>
          </w:p>
        </w:tc>
        <w:tc>
          <w:tcPr>
            <w:tcW w:w="1158" w:type="dxa"/>
            <w:tcBorders>
              <w:top w:val="single" w:sz="4" w:space="0" w:color="000000"/>
              <w:bottom w:val="single" w:sz="4" w:space="0" w:color="000000"/>
            </w:tcBorders>
            <w:shd w:val="clear" w:color="auto" w:fill="F2F2F2" w:themeFill="background1" w:themeFillShade="F2"/>
          </w:tcPr>
          <w:p w14:paraId="1B446034" w14:textId="2215040B" w:rsidR="00C11254" w:rsidRPr="00614BC8" w:rsidRDefault="00C11254" w:rsidP="00C11254">
            <w:pPr>
              <w:pStyle w:val="TableParagraph"/>
              <w:spacing w:before="61" w:line="240" w:lineRule="auto"/>
              <w:ind w:right="105"/>
              <w:rPr>
                <w:b/>
                <w:color w:val="21286C"/>
                <w:sz w:val="20"/>
                <w:szCs w:val="20"/>
                <w:lang w:val="en-US"/>
              </w:rPr>
            </w:pPr>
            <w:r>
              <w:rPr>
                <w:b/>
                <w:bCs/>
                <w:color w:val="21286C"/>
                <w:sz w:val="20"/>
                <w:szCs w:val="20"/>
                <w:lang w:val="en-US"/>
              </w:rPr>
              <w:t>68</w:t>
            </w:r>
            <w:r w:rsidR="00F8649D">
              <w:rPr>
                <w:b/>
                <w:bCs/>
                <w:color w:val="21286C"/>
                <w:sz w:val="20"/>
                <w:szCs w:val="20"/>
                <w:lang w:val="en-US"/>
              </w:rPr>
              <w:t>4,0</w:t>
            </w:r>
          </w:p>
        </w:tc>
        <w:tc>
          <w:tcPr>
            <w:tcW w:w="1247" w:type="dxa"/>
            <w:tcBorders>
              <w:top w:val="single" w:sz="4" w:space="0" w:color="000000"/>
              <w:bottom w:val="single" w:sz="4" w:space="0" w:color="000000"/>
            </w:tcBorders>
            <w:shd w:val="clear" w:color="auto" w:fill="FFFFFF" w:themeFill="background1"/>
          </w:tcPr>
          <w:p w14:paraId="292B62A4" w14:textId="00D00CF2" w:rsidR="00C11254" w:rsidRPr="00556F8F" w:rsidRDefault="00C11254" w:rsidP="00C11254">
            <w:pPr>
              <w:pStyle w:val="TableParagraph"/>
              <w:spacing w:before="61" w:line="240" w:lineRule="auto"/>
              <w:ind w:right="105"/>
              <w:rPr>
                <w:bCs/>
                <w:color w:val="21286C"/>
                <w:sz w:val="20"/>
                <w:szCs w:val="20"/>
                <w:lang w:val="en-US"/>
              </w:rPr>
            </w:pPr>
            <w:r w:rsidRPr="00556F8F">
              <w:rPr>
                <w:bCs/>
                <w:color w:val="21286C"/>
                <w:sz w:val="20"/>
                <w:szCs w:val="20"/>
                <w:lang w:val="en-US"/>
              </w:rPr>
              <w:t>661,6</w:t>
            </w:r>
          </w:p>
        </w:tc>
        <w:tc>
          <w:tcPr>
            <w:tcW w:w="828" w:type="dxa"/>
            <w:tcBorders>
              <w:top w:val="single" w:sz="4" w:space="0" w:color="000000"/>
              <w:bottom w:val="single" w:sz="4" w:space="0" w:color="000000"/>
            </w:tcBorders>
            <w:shd w:val="clear" w:color="auto" w:fill="FFFFFF" w:themeFill="background1"/>
          </w:tcPr>
          <w:p w14:paraId="0073E674" w14:textId="035B037F" w:rsidR="00C11254" w:rsidRPr="00614BC8" w:rsidRDefault="00AF74C9" w:rsidP="00C11254">
            <w:pPr>
              <w:pStyle w:val="TableParagraph"/>
              <w:spacing w:before="61" w:line="240" w:lineRule="auto"/>
              <w:ind w:right="105"/>
              <w:rPr>
                <w:color w:val="21286C"/>
                <w:sz w:val="20"/>
                <w:szCs w:val="20"/>
                <w:lang w:val="en-US"/>
              </w:rPr>
            </w:pPr>
            <w:r>
              <w:rPr>
                <w:color w:val="21286C"/>
                <w:sz w:val="20"/>
                <w:szCs w:val="20"/>
                <w:lang w:val="en-US"/>
              </w:rPr>
              <w:t>3,4</w:t>
            </w:r>
            <w:r w:rsidR="00C11254" w:rsidRPr="00614BC8">
              <w:rPr>
                <w:color w:val="21286C"/>
                <w:sz w:val="20"/>
                <w:szCs w:val="20"/>
                <w:lang w:val="en-US"/>
              </w:rPr>
              <w:t>%</w:t>
            </w:r>
          </w:p>
        </w:tc>
        <w:tc>
          <w:tcPr>
            <w:tcW w:w="23" w:type="dxa"/>
            <w:tcBorders>
              <w:top w:val="single" w:sz="4" w:space="0" w:color="000000"/>
              <w:bottom w:val="single" w:sz="4" w:space="0" w:color="000000"/>
            </w:tcBorders>
            <w:shd w:val="clear" w:color="auto" w:fill="D9D9D9" w:themeFill="background1" w:themeFillShade="D9"/>
          </w:tcPr>
          <w:p w14:paraId="795C9E71" w14:textId="77777777" w:rsidR="00C11254" w:rsidRPr="00614BC8" w:rsidRDefault="00C11254" w:rsidP="00C11254">
            <w:pPr>
              <w:pStyle w:val="TableParagraph"/>
              <w:spacing w:before="61" w:line="240" w:lineRule="auto"/>
              <w:ind w:right="105"/>
              <w:rPr>
                <w:color w:val="21286C"/>
                <w:sz w:val="20"/>
                <w:szCs w:val="20"/>
                <w:lang w:val="en-US"/>
              </w:rPr>
            </w:pPr>
          </w:p>
        </w:tc>
        <w:tc>
          <w:tcPr>
            <w:tcW w:w="1159" w:type="dxa"/>
            <w:tcBorders>
              <w:top w:val="single" w:sz="4" w:space="0" w:color="000000"/>
              <w:bottom w:val="single" w:sz="4" w:space="0" w:color="000000"/>
            </w:tcBorders>
            <w:shd w:val="clear" w:color="auto" w:fill="F2F2F2" w:themeFill="background1" w:themeFillShade="F2"/>
          </w:tcPr>
          <w:p w14:paraId="71375EFE" w14:textId="181FE025" w:rsidR="00C11254" w:rsidRPr="00614BC8" w:rsidRDefault="00C11254" w:rsidP="00C11254">
            <w:pPr>
              <w:pStyle w:val="TableParagraph"/>
              <w:spacing w:before="61" w:line="240" w:lineRule="auto"/>
              <w:ind w:right="105"/>
              <w:rPr>
                <w:b/>
                <w:color w:val="21286C"/>
                <w:sz w:val="20"/>
                <w:szCs w:val="20"/>
                <w:lang w:val="en-US"/>
              </w:rPr>
            </w:pPr>
            <w:r>
              <w:rPr>
                <w:b/>
                <w:bCs/>
                <w:color w:val="21286C"/>
                <w:sz w:val="20"/>
                <w:szCs w:val="20"/>
                <w:lang w:val="en-US"/>
              </w:rPr>
              <w:t>2.0</w:t>
            </w:r>
            <w:r w:rsidR="00691E57">
              <w:rPr>
                <w:b/>
                <w:bCs/>
                <w:color w:val="21286C"/>
                <w:sz w:val="20"/>
                <w:szCs w:val="20"/>
                <w:lang w:val="en-US"/>
              </w:rPr>
              <w:t>12,5</w:t>
            </w:r>
          </w:p>
        </w:tc>
        <w:tc>
          <w:tcPr>
            <w:tcW w:w="1183" w:type="dxa"/>
            <w:tcBorders>
              <w:top w:val="single" w:sz="4" w:space="0" w:color="000000"/>
              <w:bottom w:val="single" w:sz="4" w:space="0" w:color="000000"/>
            </w:tcBorders>
            <w:shd w:val="clear" w:color="auto" w:fill="FFFFFF" w:themeFill="background1"/>
          </w:tcPr>
          <w:p w14:paraId="74442B15" w14:textId="06DB2B93" w:rsidR="00C11254" w:rsidRPr="00FD18C1" w:rsidRDefault="00C11254" w:rsidP="00C11254">
            <w:pPr>
              <w:pStyle w:val="TableParagraph"/>
              <w:spacing w:before="61" w:line="240" w:lineRule="auto"/>
              <w:ind w:right="118"/>
              <w:rPr>
                <w:bCs/>
                <w:color w:val="21286C"/>
                <w:sz w:val="20"/>
                <w:szCs w:val="20"/>
              </w:rPr>
            </w:pPr>
            <w:r w:rsidRPr="00FD18C1">
              <w:rPr>
                <w:bCs/>
                <w:color w:val="21286C"/>
                <w:sz w:val="20"/>
                <w:szCs w:val="20"/>
                <w:lang w:val="en-US"/>
              </w:rPr>
              <w:t>1.984,5</w:t>
            </w:r>
          </w:p>
        </w:tc>
        <w:tc>
          <w:tcPr>
            <w:tcW w:w="828" w:type="dxa"/>
            <w:tcBorders>
              <w:top w:val="single" w:sz="4" w:space="0" w:color="000000"/>
              <w:bottom w:val="single" w:sz="4" w:space="0" w:color="000000"/>
            </w:tcBorders>
            <w:shd w:val="clear" w:color="auto" w:fill="FFFFFF" w:themeFill="background1"/>
          </w:tcPr>
          <w:p w14:paraId="7635CBB9" w14:textId="7E8FF81C" w:rsidR="00C11254" w:rsidRPr="00614BC8" w:rsidRDefault="007072FA" w:rsidP="00C11254">
            <w:pPr>
              <w:pStyle w:val="TableParagraph"/>
              <w:spacing w:before="61" w:line="240" w:lineRule="auto"/>
              <w:ind w:right="101"/>
              <w:rPr>
                <w:color w:val="21286C"/>
                <w:sz w:val="20"/>
                <w:szCs w:val="20"/>
                <w:lang w:val="en-US"/>
              </w:rPr>
            </w:pPr>
            <w:r>
              <w:rPr>
                <w:color w:val="21286C"/>
                <w:sz w:val="20"/>
                <w:szCs w:val="20"/>
                <w:lang w:val="en-US"/>
              </w:rPr>
              <w:t>1,4</w:t>
            </w:r>
            <w:r w:rsidR="00C11254" w:rsidRPr="00614BC8">
              <w:rPr>
                <w:color w:val="21286C"/>
                <w:sz w:val="20"/>
                <w:szCs w:val="20"/>
                <w:lang w:val="en-US"/>
              </w:rPr>
              <w:t>%</w:t>
            </w:r>
          </w:p>
        </w:tc>
        <w:tc>
          <w:tcPr>
            <w:tcW w:w="20" w:type="dxa"/>
            <w:tcBorders>
              <w:top w:val="single" w:sz="4" w:space="0" w:color="000000"/>
              <w:bottom w:val="single" w:sz="4" w:space="0" w:color="000000"/>
            </w:tcBorders>
            <w:shd w:val="clear" w:color="auto" w:fill="D9D9D9" w:themeFill="background1" w:themeFillShade="D9"/>
          </w:tcPr>
          <w:p w14:paraId="08D5653B" w14:textId="77777777" w:rsidR="00C11254" w:rsidRPr="000C562C" w:rsidRDefault="00C11254" w:rsidP="00C11254">
            <w:pPr>
              <w:pStyle w:val="TableParagraph"/>
              <w:spacing w:before="61" w:line="240" w:lineRule="auto"/>
              <w:ind w:right="101"/>
              <w:rPr>
                <w:color w:val="21286C"/>
                <w:sz w:val="21"/>
                <w:lang w:val="en-US"/>
              </w:rPr>
            </w:pPr>
          </w:p>
        </w:tc>
      </w:tr>
      <w:tr w:rsidR="00C11254" w:rsidRPr="000C562C" w14:paraId="4AB94F20" w14:textId="77777777" w:rsidTr="00927F56">
        <w:trPr>
          <w:trHeight w:val="547"/>
        </w:trPr>
        <w:tc>
          <w:tcPr>
            <w:tcW w:w="3231" w:type="dxa"/>
            <w:tcBorders>
              <w:top w:val="single" w:sz="4" w:space="0" w:color="000000"/>
              <w:bottom w:val="single" w:sz="4" w:space="0" w:color="000000"/>
            </w:tcBorders>
          </w:tcPr>
          <w:p w14:paraId="363D31BD" w14:textId="00112EFF" w:rsidR="00C11254" w:rsidRPr="00FD1703" w:rsidRDefault="00C11254" w:rsidP="00C11254">
            <w:pPr>
              <w:pStyle w:val="TableParagraph"/>
              <w:spacing w:before="61" w:line="240" w:lineRule="auto"/>
              <w:jc w:val="left"/>
              <w:rPr>
                <w:b/>
                <w:color w:val="21286C"/>
                <w:sz w:val="20"/>
                <w:szCs w:val="20"/>
                <w:lang w:val="en-US"/>
              </w:rPr>
            </w:pPr>
            <w:r>
              <w:rPr>
                <w:b/>
                <w:color w:val="21286C"/>
                <w:sz w:val="20"/>
                <w:szCs w:val="20"/>
                <w:lang w:val="en-US"/>
              </w:rPr>
              <w:t>EBITDA</w:t>
            </w:r>
          </w:p>
        </w:tc>
        <w:tc>
          <w:tcPr>
            <w:tcW w:w="24" w:type="dxa"/>
            <w:tcBorders>
              <w:top w:val="single" w:sz="4" w:space="0" w:color="000000"/>
              <w:bottom w:val="single" w:sz="4" w:space="0" w:color="000000"/>
            </w:tcBorders>
            <w:shd w:val="clear" w:color="auto" w:fill="D9D9D9" w:themeFill="background1" w:themeFillShade="D9"/>
          </w:tcPr>
          <w:p w14:paraId="64A9F082" w14:textId="77777777" w:rsidR="00C11254" w:rsidRPr="00614BC8" w:rsidRDefault="00C11254" w:rsidP="00C11254">
            <w:pPr>
              <w:pStyle w:val="TableParagraph"/>
              <w:spacing w:before="61" w:line="240" w:lineRule="auto"/>
              <w:ind w:right="105"/>
              <w:rPr>
                <w:color w:val="21286C"/>
                <w:sz w:val="20"/>
                <w:szCs w:val="20"/>
                <w:lang w:val="en-US"/>
              </w:rPr>
            </w:pPr>
          </w:p>
        </w:tc>
        <w:tc>
          <w:tcPr>
            <w:tcW w:w="1158" w:type="dxa"/>
            <w:tcBorders>
              <w:top w:val="single" w:sz="4" w:space="0" w:color="000000"/>
              <w:bottom w:val="single" w:sz="4" w:space="0" w:color="000000"/>
            </w:tcBorders>
            <w:shd w:val="clear" w:color="auto" w:fill="F2F2F2" w:themeFill="background1" w:themeFillShade="F2"/>
          </w:tcPr>
          <w:p w14:paraId="667C84B0" w14:textId="1FC7AD7F" w:rsidR="00C11254" w:rsidRPr="00614BC8" w:rsidRDefault="00C11254" w:rsidP="00C11254">
            <w:pPr>
              <w:pStyle w:val="TableParagraph"/>
              <w:spacing w:before="61" w:line="240" w:lineRule="auto"/>
              <w:ind w:right="105"/>
              <w:rPr>
                <w:b/>
                <w:color w:val="21286C"/>
                <w:sz w:val="20"/>
                <w:szCs w:val="20"/>
                <w:lang w:val="en-US"/>
              </w:rPr>
            </w:pPr>
            <w:r>
              <w:rPr>
                <w:b/>
                <w:bCs/>
                <w:color w:val="21286C"/>
                <w:sz w:val="20"/>
                <w:szCs w:val="20"/>
                <w:lang w:val="en-US"/>
              </w:rPr>
              <w:t>18</w:t>
            </w:r>
            <w:r w:rsidR="00F8649D">
              <w:rPr>
                <w:b/>
                <w:bCs/>
                <w:color w:val="21286C"/>
                <w:sz w:val="20"/>
                <w:szCs w:val="20"/>
                <w:lang w:val="en-US"/>
              </w:rPr>
              <w:t>6,6</w:t>
            </w:r>
          </w:p>
        </w:tc>
        <w:tc>
          <w:tcPr>
            <w:tcW w:w="1247" w:type="dxa"/>
            <w:tcBorders>
              <w:top w:val="single" w:sz="4" w:space="0" w:color="000000"/>
              <w:bottom w:val="single" w:sz="4" w:space="0" w:color="000000"/>
            </w:tcBorders>
            <w:shd w:val="clear" w:color="auto" w:fill="FFFFFF" w:themeFill="background1"/>
          </w:tcPr>
          <w:p w14:paraId="51FB4F7E" w14:textId="03126737" w:rsidR="00C11254" w:rsidRPr="00556F8F" w:rsidRDefault="00C11254" w:rsidP="00C11254">
            <w:pPr>
              <w:pStyle w:val="TableParagraph"/>
              <w:spacing w:before="61" w:line="240" w:lineRule="auto"/>
              <w:ind w:right="105"/>
              <w:rPr>
                <w:bCs/>
                <w:color w:val="21286C"/>
                <w:sz w:val="20"/>
                <w:szCs w:val="20"/>
                <w:lang w:val="en-US"/>
              </w:rPr>
            </w:pPr>
            <w:r>
              <w:rPr>
                <w:bCs/>
                <w:color w:val="21286C"/>
                <w:sz w:val="20"/>
                <w:szCs w:val="20"/>
                <w:lang w:val="en-US"/>
              </w:rPr>
              <w:t>155,6</w:t>
            </w:r>
          </w:p>
        </w:tc>
        <w:tc>
          <w:tcPr>
            <w:tcW w:w="828" w:type="dxa"/>
            <w:tcBorders>
              <w:top w:val="single" w:sz="4" w:space="0" w:color="000000"/>
              <w:bottom w:val="single" w:sz="4" w:space="0" w:color="000000"/>
            </w:tcBorders>
            <w:shd w:val="clear" w:color="auto" w:fill="FFFFFF" w:themeFill="background1"/>
          </w:tcPr>
          <w:p w14:paraId="312582C5" w14:textId="4E139059" w:rsidR="00C11254" w:rsidRPr="00614BC8" w:rsidRDefault="00AF74C9" w:rsidP="00C11254">
            <w:pPr>
              <w:pStyle w:val="TableParagraph"/>
              <w:spacing w:before="61" w:line="240" w:lineRule="auto"/>
              <w:ind w:right="105"/>
              <w:rPr>
                <w:color w:val="21286C"/>
                <w:sz w:val="20"/>
                <w:szCs w:val="20"/>
                <w:lang w:val="en-US"/>
              </w:rPr>
            </w:pPr>
            <w:r>
              <w:rPr>
                <w:color w:val="21286C"/>
                <w:sz w:val="20"/>
                <w:szCs w:val="20"/>
                <w:lang w:val="en-US"/>
              </w:rPr>
              <w:t>19,9</w:t>
            </w:r>
            <w:r w:rsidR="00C11254">
              <w:rPr>
                <w:color w:val="21286C"/>
                <w:sz w:val="20"/>
                <w:szCs w:val="20"/>
                <w:lang w:val="en-US"/>
              </w:rPr>
              <w:t>%</w:t>
            </w:r>
          </w:p>
        </w:tc>
        <w:tc>
          <w:tcPr>
            <w:tcW w:w="23" w:type="dxa"/>
            <w:tcBorders>
              <w:top w:val="single" w:sz="4" w:space="0" w:color="000000"/>
              <w:bottom w:val="single" w:sz="4" w:space="0" w:color="000000"/>
            </w:tcBorders>
            <w:shd w:val="clear" w:color="auto" w:fill="D9D9D9" w:themeFill="background1" w:themeFillShade="D9"/>
          </w:tcPr>
          <w:p w14:paraId="07168BEC" w14:textId="77777777" w:rsidR="00C11254" w:rsidRPr="00614BC8" w:rsidRDefault="00C11254" w:rsidP="00C11254">
            <w:pPr>
              <w:pStyle w:val="TableParagraph"/>
              <w:spacing w:before="61" w:line="240" w:lineRule="auto"/>
              <w:ind w:right="105"/>
              <w:rPr>
                <w:color w:val="21286C"/>
                <w:sz w:val="20"/>
                <w:szCs w:val="20"/>
                <w:lang w:val="en-US"/>
              </w:rPr>
            </w:pPr>
          </w:p>
        </w:tc>
        <w:tc>
          <w:tcPr>
            <w:tcW w:w="1159" w:type="dxa"/>
            <w:tcBorders>
              <w:top w:val="single" w:sz="4" w:space="0" w:color="000000"/>
              <w:bottom w:val="single" w:sz="4" w:space="0" w:color="000000"/>
            </w:tcBorders>
            <w:shd w:val="clear" w:color="auto" w:fill="F2F2F2" w:themeFill="background1" w:themeFillShade="F2"/>
          </w:tcPr>
          <w:p w14:paraId="070293BC" w14:textId="5D2F3C62" w:rsidR="00C11254" w:rsidRPr="00614BC8" w:rsidRDefault="00C11254" w:rsidP="00C11254">
            <w:pPr>
              <w:pStyle w:val="TableParagraph"/>
              <w:spacing w:before="61" w:line="240" w:lineRule="auto"/>
              <w:ind w:right="105"/>
              <w:rPr>
                <w:b/>
                <w:color w:val="21286C"/>
                <w:sz w:val="20"/>
                <w:szCs w:val="20"/>
                <w:lang w:val="en-US"/>
              </w:rPr>
            </w:pPr>
            <w:r>
              <w:rPr>
                <w:b/>
                <w:bCs/>
                <w:color w:val="21286C"/>
                <w:sz w:val="20"/>
                <w:szCs w:val="20"/>
                <w:lang w:val="en-US"/>
              </w:rPr>
              <w:t>47</w:t>
            </w:r>
            <w:r w:rsidR="00691E57">
              <w:rPr>
                <w:b/>
                <w:bCs/>
                <w:color w:val="21286C"/>
                <w:sz w:val="20"/>
                <w:szCs w:val="20"/>
                <w:lang w:val="en-US"/>
              </w:rPr>
              <w:t>3,6</w:t>
            </w:r>
          </w:p>
        </w:tc>
        <w:tc>
          <w:tcPr>
            <w:tcW w:w="1183" w:type="dxa"/>
            <w:tcBorders>
              <w:top w:val="single" w:sz="4" w:space="0" w:color="000000"/>
              <w:bottom w:val="single" w:sz="4" w:space="0" w:color="000000"/>
            </w:tcBorders>
            <w:shd w:val="clear" w:color="auto" w:fill="FFFFFF" w:themeFill="background1"/>
          </w:tcPr>
          <w:p w14:paraId="08EA5337" w14:textId="02642AA0" w:rsidR="00C11254" w:rsidRPr="00FD18C1" w:rsidRDefault="00C11254" w:rsidP="00C11254">
            <w:pPr>
              <w:pStyle w:val="TableParagraph"/>
              <w:spacing w:before="61" w:line="240" w:lineRule="auto"/>
              <w:ind w:right="118"/>
              <w:rPr>
                <w:bCs/>
                <w:color w:val="21286C"/>
                <w:sz w:val="20"/>
                <w:szCs w:val="20"/>
                <w:lang w:val="en-US"/>
              </w:rPr>
            </w:pPr>
            <w:r>
              <w:rPr>
                <w:bCs/>
                <w:color w:val="21286C"/>
                <w:sz w:val="20"/>
                <w:szCs w:val="20"/>
                <w:lang w:val="en-US"/>
              </w:rPr>
              <w:t>437,0</w:t>
            </w:r>
          </w:p>
        </w:tc>
        <w:tc>
          <w:tcPr>
            <w:tcW w:w="828" w:type="dxa"/>
            <w:tcBorders>
              <w:top w:val="single" w:sz="4" w:space="0" w:color="000000"/>
              <w:bottom w:val="single" w:sz="4" w:space="0" w:color="000000"/>
            </w:tcBorders>
            <w:shd w:val="clear" w:color="auto" w:fill="FFFFFF" w:themeFill="background1"/>
          </w:tcPr>
          <w:p w14:paraId="20871623" w14:textId="1EE9D2D1" w:rsidR="00C11254" w:rsidRPr="00614BC8" w:rsidRDefault="007072FA" w:rsidP="00C11254">
            <w:pPr>
              <w:pStyle w:val="TableParagraph"/>
              <w:spacing w:before="61" w:line="240" w:lineRule="auto"/>
              <w:ind w:right="101"/>
              <w:rPr>
                <w:color w:val="21286C"/>
                <w:sz w:val="20"/>
                <w:szCs w:val="20"/>
                <w:lang w:val="en-US"/>
              </w:rPr>
            </w:pPr>
            <w:r>
              <w:rPr>
                <w:color w:val="21286C"/>
                <w:sz w:val="20"/>
                <w:szCs w:val="20"/>
                <w:lang w:val="en-US"/>
              </w:rPr>
              <w:t>8,4</w:t>
            </w:r>
            <w:r w:rsidR="00C11254">
              <w:rPr>
                <w:color w:val="21286C"/>
                <w:sz w:val="20"/>
                <w:szCs w:val="20"/>
                <w:lang w:val="en-US"/>
              </w:rPr>
              <w:t>%</w:t>
            </w:r>
          </w:p>
        </w:tc>
        <w:tc>
          <w:tcPr>
            <w:tcW w:w="20" w:type="dxa"/>
            <w:tcBorders>
              <w:top w:val="single" w:sz="4" w:space="0" w:color="000000"/>
              <w:bottom w:val="single" w:sz="4" w:space="0" w:color="000000"/>
            </w:tcBorders>
            <w:shd w:val="clear" w:color="auto" w:fill="D9D9D9" w:themeFill="background1" w:themeFillShade="D9"/>
          </w:tcPr>
          <w:p w14:paraId="7968F62F" w14:textId="77777777" w:rsidR="00C11254" w:rsidRPr="000C562C" w:rsidRDefault="00C11254" w:rsidP="00C11254">
            <w:pPr>
              <w:pStyle w:val="TableParagraph"/>
              <w:spacing w:before="61" w:line="240" w:lineRule="auto"/>
              <w:ind w:right="101"/>
              <w:rPr>
                <w:color w:val="21286C"/>
                <w:sz w:val="21"/>
                <w:lang w:val="en-US"/>
              </w:rPr>
            </w:pPr>
          </w:p>
        </w:tc>
      </w:tr>
      <w:tr w:rsidR="00C11254" w:rsidRPr="000C562C" w14:paraId="73AB230B" w14:textId="77777777" w:rsidTr="00927F56">
        <w:trPr>
          <w:trHeight w:val="547"/>
        </w:trPr>
        <w:tc>
          <w:tcPr>
            <w:tcW w:w="3231" w:type="dxa"/>
            <w:tcBorders>
              <w:top w:val="single" w:sz="4" w:space="0" w:color="000000"/>
              <w:bottom w:val="single" w:sz="4" w:space="0" w:color="000000"/>
            </w:tcBorders>
          </w:tcPr>
          <w:p w14:paraId="7A513195" w14:textId="77777777" w:rsidR="00C11254" w:rsidRPr="00730780" w:rsidRDefault="00C11254" w:rsidP="00C11254">
            <w:pPr>
              <w:rPr>
                <w:b/>
                <w:color w:val="21286C"/>
                <w:sz w:val="20"/>
                <w:szCs w:val="20"/>
              </w:rPr>
            </w:pPr>
            <w:r w:rsidRPr="00614BC8">
              <w:rPr>
                <w:rFonts w:ascii="Calibri" w:eastAsia="Calibri" w:hAnsi="Calibri" w:cs="Calibri"/>
                <w:b/>
                <w:color w:val="21286C"/>
                <w:sz w:val="20"/>
                <w:szCs w:val="20"/>
                <w:lang w:val="el-GR" w:eastAsia="en-GB"/>
              </w:rPr>
              <w:t>Καθαρά</w:t>
            </w:r>
            <w:r w:rsidRPr="00614BC8">
              <w:rPr>
                <w:rFonts w:asciiTheme="minorHAnsi" w:eastAsia="Calibri" w:hAnsiTheme="minorHAnsi" w:cstheme="minorHAnsi"/>
                <w:b/>
                <w:color w:val="21286C"/>
                <w:sz w:val="20"/>
                <w:szCs w:val="20"/>
                <w:lang w:val="el-GR" w:eastAsia="en-GB"/>
              </w:rPr>
              <w:t xml:space="preserve"> </w:t>
            </w:r>
            <w:r w:rsidRPr="00614BC8">
              <w:rPr>
                <w:rFonts w:ascii="Calibri" w:eastAsia="Calibri" w:hAnsi="Calibri" w:cs="Calibri"/>
                <w:b/>
                <w:color w:val="21286C"/>
                <w:sz w:val="20"/>
                <w:szCs w:val="20"/>
                <w:lang w:val="el-GR" w:eastAsia="en-GB"/>
              </w:rPr>
              <w:t>κέρδη</w:t>
            </w:r>
          </w:p>
          <w:p w14:paraId="5E089129" w14:textId="77777777" w:rsidR="00C11254" w:rsidRDefault="00C11254" w:rsidP="00C11254">
            <w:pPr>
              <w:pStyle w:val="TableParagraph"/>
              <w:spacing w:before="61" w:line="240" w:lineRule="auto"/>
              <w:jc w:val="left"/>
              <w:rPr>
                <w:b/>
                <w:color w:val="21286C"/>
                <w:sz w:val="20"/>
                <w:szCs w:val="20"/>
                <w:lang w:val="en-US"/>
              </w:rPr>
            </w:pPr>
          </w:p>
        </w:tc>
        <w:tc>
          <w:tcPr>
            <w:tcW w:w="24" w:type="dxa"/>
            <w:tcBorders>
              <w:top w:val="single" w:sz="4" w:space="0" w:color="000000"/>
              <w:bottom w:val="single" w:sz="4" w:space="0" w:color="000000"/>
            </w:tcBorders>
            <w:shd w:val="clear" w:color="auto" w:fill="D9D9D9" w:themeFill="background1" w:themeFillShade="D9"/>
          </w:tcPr>
          <w:p w14:paraId="09B5B015" w14:textId="77777777" w:rsidR="00C11254" w:rsidRPr="00614BC8" w:rsidRDefault="00C11254" w:rsidP="00C11254">
            <w:pPr>
              <w:pStyle w:val="TableParagraph"/>
              <w:spacing w:before="61" w:line="240" w:lineRule="auto"/>
              <w:ind w:right="105"/>
              <w:rPr>
                <w:color w:val="21286C"/>
                <w:sz w:val="20"/>
                <w:szCs w:val="20"/>
                <w:lang w:val="en-US"/>
              </w:rPr>
            </w:pPr>
          </w:p>
        </w:tc>
        <w:tc>
          <w:tcPr>
            <w:tcW w:w="1158" w:type="dxa"/>
            <w:tcBorders>
              <w:top w:val="single" w:sz="4" w:space="0" w:color="000000"/>
              <w:bottom w:val="single" w:sz="4" w:space="0" w:color="000000"/>
            </w:tcBorders>
            <w:shd w:val="clear" w:color="auto" w:fill="F2F2F2" w:themeFill="background1" w:themeFillShade="F2"/>
          </w:tcPr>
          <w:p w14:paraId="1A30D578" w14:textId="2198E6E9" w:rsidR="00C11254" w:rsidRDefault="00C11254" w:rsidP="00C11254">
            <w:pPr>
              <w:pStyle w:val="TableParagraph"/>
              <w:spacing w:before="61" w:line="240" w:lineRule="auto"/>
              <w:ind w:right="105"/>
              <w:rPr>
                <w:b/>
                <w:bCs/>
                <w:color w:val="21286C"/>
                <w:sz w:val="20"/>
                <w:szCs w:val="20"/>
                <w:lang w:val="en-US"/>
              </w:rPr>
            </w:pPr>
            <w:r>
              <w:rPr>
                <w:b/>
                <w:bCs/>
                <w:color w:val="21286C"/>
                <w:sz w:val="20"/>
                <w:szCs w:val="20"/>
                <w:lang w:val="en-US"/>
              </w:rPr>
              <w:t>10</w:t>
            </w:r>
            <w:r w:rsidR="00F8649D">
              <w:rPr>
                <w:b/>
                <w:bCs/>
                <w:color w:val="21286C"/>
                <w:sz w:val="20"/>
                <w:szCs w:val="20"/>
                <w:lang w:val="en-US"/>
              </w:rPr>
              <w:t>2,4</w:t>
            </w:r>
          </w:p>
        </w:tc>
        <w:tc>
          <w:tcPr>
            <w:tcW w:w="1247" w:type="dxa"/>
            <w:tcBorders>
              <w:top w:val="single" w:sz="4" w:space="0" w:color="000000"/>
              <w:bottom w:val="single" w:sz="4" w:space="0" w:color="000000"/>
            </w:tcBorders>
            <w:shd w:val="clear" w:color="auto" w:fill="FFFFFF" w:themeFill="background1"/>
          </w:tcPr>
          <w:p w14:paraId="5E7A2D24" w14:textId="3BA4B60C" w:rsidR="00C11254" w:rsidRDefault="00C11254" w:rsidP="00C11254">
            <w:pPr>
              <w:pStyle w:val="TableParagraph"/>
              <w:spacing w:before="61" w:line="240" w:lineRule="auto"/>
              <w:ind w:right="105"/>
              <w:rPr>
                <w:bCs/>
                <w:color w:val="21286C"/>
                <w:sz w:val="20"/>
                <w:szCs w:val="20"/>
                <w:lang w:val="en-US"/>
              </w:rPr>
            </w:pPr>
            <w:r>
              <w:rPr>
                <w:bCs/>
                <w:color w:val="21286C"/>
                <w:sz w:val="20"/>
                <w:szCs w:val="20"/>
                <w:lang w:val="en-US" w:eastAsia="en-GB"/>
              </w:rPr>
              <w:t xml:space="preserve">  75,9</w:t>
            </w:r>
            <w:r w:rsidRPr="00556F8F">
              <w:rPr>
                <w:bCs/>
                <w:color w:val="21286C"/>
                <w:sz w:val="20"/>
                <w:szCs w:val="20"/>
                <w:lang w:eastAsia="en-GB"/>
              </w:rPr>
              <w:br/>
            </w:r>
          </w:p>
        </w:tc>
        <w:tc>
          <w:tcPr>
            <w:tcW w:w="828" w:type="dxa"/>
            <w:tcBorders>
              <w:top w:val="single" w:sz="4" w:space="0" w:color="000000"/>
              <w:bottom w:val="single" w:sz="4" w:space="0" w:color="000000"/>
            </w:tcBorders>
            <w:shd w:val="clear" w:color="auto" w:fill="FFFFFF" w:themeFill="background1"/>
          </w:tcPr>
          <w:p w14:paraId="1022A209" w14:textId="0306696C" w:rsidR="00C11254" w:rsidRPr="00614BC8" w:rsidRDefault="00AF74C9" w:rsidP="00C11254">
            <w:pPr>
              <w:pStyle w:val="TableParagraph"/>
              <w:spacing w:before="61" w:line="240" w:lineRule="auto"/>
              <w:ind w:right="105"/>
              <w:rPr>
                <w:color w:val="21286C"/>
                <w:sz w:val="20"/>
                <w:szCs w:val="20"/>
                <w:lang w:val="en-US"/>
              </w:rPr>
            </w:pPr>
            <w:r>
              <w:rPr>
                <w:color w:val="21286C"/>
                <w:sz w:val="20"/>
                <w:szCs w:val="20"/>
                <w:lang w:val="en-US"/>
              </w:rPr>
              <w:t>35,0</w:t>
            </w:r>
            <w:r w:rsidR="00C11254" w:rsidRPr="00614BC8">
              <w:rPr>
                <w:color w:val="21286C"/>
                <w:sz w:val="20"/>
                <w:szCs w:val="20"/>
                <w:lang w:val="en-US"/>
              </w:rPr>
              <w:t>%</w:t>
            </w:r>
            <w:r w:rsidR="00C11254">
              <w:rPr>
                <w:color w:val="21286C"/>
                <w:sz w:val="20"/>
                <w:szCs w:val="20"/>
              </w:rPr>
              <w:br/>
            </w:r>
          </w:p>
        </w:tc>
        <w:tc>
          <w:tcPr>
            <w:tcW w:w="23" w:type="dxa"/>
            <w:tcBorders>
              <w:top w:val="single" w:sz="4" w:space="0" w:color="000000"/>
              <w:bottom w:val="single" w:sz="4" w:space="0" w:color="000000"/>
            </w:tcBorders>
            <w:shd w:val="clear" w:color="auto" w:fill="D9D9D9" w:themeFill="background1" w:themeFillShade="D9"/>
          </w:tcPr>
          <w:p w14:paraId="1BAEF296" w14:textId="77777777" w:rsidR="00C11254" w:rsidRPr="00614BC8" w:rsidRDefault="00C11254" w:rsidP="00C11254">
            <w:pPr>
              <w:pStyle w:val="TableParagraph"/>
              <w:spacing w:before="61" w:line="240" w:lineRule="auto"/>
              <w:ind w:right="105"/>
              <w:rPr>
                <w:color w:val="21286C"/>
                <w:sz w:val="20"/>
                <w:szCs w:val="20"/>
                <w:lang w:val="en-US"/>
              </w:rPr>
            </w:pPr>
          </w:p>
        </w:tc>
        <w:tc>
          <w:tcPr>
            <w:tcW w:w="1159" w:type="dxa"/>
            <w:tcBorders>
              <w:top w:val="single" w:sz="4" w:space="0" w:color="000000"/>
              <w:bottom w:val="single" w:sz="4" w:space="0" w:color="000000"/>
            </w:tcBorders>
            <w:shd w:val="clear" w:color="auto" w:fill="F2F2F2" w:themeFill="background1" w:themeFillShade="F2"/>
          </w:tcPr>
          <w:p w14:paraId="04E7310C" w14:textId="77777777" w:rsidR="00C11254" w:rsidRDefault="00C11254" w:rsidP="00C11254">
            <w:pPr>
              <w:pStyle w:val="TableParagraph"/>
              <w:spacing w:before="61" w:line="240" w:lineRule="auto"/>
              <w:ind w:right="105"/>
              <w:rPr>
                <w:b/>
                <w:bCs/>
                <w:color w:val="21286C"/>
                <w:sz w:val="20"/>
                <w:szCs w:val="20"/>
                <w:lang w:val="en-US"/>
              </w:rPr>
            </w:pPr>
            <w:r>
              <w:rPr>
                <w:b/>
                <w:bCs/>
                <w:color w:val="21286C"/>
                <w:sz w:val="20"/>
                <w:szCs w:val="20"/>
                <w:lang w:val="en-US"/>
              </w:rPr>
              <w:t>1</w:t>
            </w:r>
            <w:r w:rsidR="00691E57">
              <w:rPr>
                <w:b/>
                <w:bCs/>
                <w:color w:val="21286C"/>
                <w:sz w:val="20"/>
                <w:szCs w:val="20"/>
                <w:lang w:val="en-US"/>
              </w:rPr>
              <w:t>70,8</w:t>
            </w:r>
          </w:p>
          <w:p w14:paraId="219D2AA1" w14:textId="4D78A89F" w:rsidR="00691E57" w:rsidRPr="00614BC8" w:rsidRDefault="00691E57" w:rsidP="00C11254">
            <w:pPr>
              <w:pStyle w:val="TableParagraph"/>
              <w:spacing w:before="61" w:line="240" w:lineRule="auto"/>
              <w:ind w:right="105"/>
              <w:rPr>
                <w:b/>
                <w:color w:val="21286C"/>
                <w:sz w:val="20"/>
                <w:szCs w:val="20"/>
                <w:lang w:val="en-US"/>
              </w:rPr>
            </w:pPr>
            <w:r>
              <w:rPr>
                <w:b/>
                <w:bCs/>
                <w:color w:val="21286C"/>
                <w:sz w:val="20"/>
                <w:szCs w:val="20"/>
                <w:lang w:val="en-US"/>
              </w:rPr>
              <w:t>[222,7]</w:t>
            </w:r>
          </w:p>
        </w:tc>
        <w:tc>
          <w:tcPr>
            <w:tcW w:w="1183" w:type="dxa"/>
            <w:tcBorders>
              <w:top w:val="single" w:sz="4" w:space="0" w:color="000000"/>
              <w:bottom w:val="single" w:sz="4" w:space="0" w:color="000000"/>
            </w:tcBorders>
            <w:shd w:val="clear" w:color="auto" w:fill="FFFFFF" w:themeFill="background1"/>
          </w:tcPr>
          <w:p w14:paraId="5C991743" w14:textId="77777777" w:rsidR="00C11254" w:rsidRPr="00730780" w:rsidRDefault="00C11254" w:rsidP="00C11254">
            <w:pPr>
              <w:pStyle w:val="TableParagraph"/>
              <w:spacing w:line="240" w:lineRule="auto"/>
              <w:ind w:right="107"/>
              <w:rPr>
                <w:bCs/>
                <w:color w:val="21286C"/>
                <w:sz w:val="20"/>
                <w:szCs w:val="20"/>
                <w:lang w:val="en-US"/>
              </w:rPr>
            </w:pPr>
            <w:r>
              <w:rPr>
                <w:bCs/>
                <w:color w:val="21286C"/>
                <w:sz w:val="20"/>
                <w:szCs w:val="20"/>
                <w:lang w:val="en-US"/>
              </w:rPr>
              <w:t>224,6</w:t>
            </w:r>
          </w:p>
          <w:p w14:paraId="25791691" w14:textId="77777777" w:rsidR="00C11254" w:rsidRDefault="00C11254" w:rsidP="00C11254">
            <w:pPr>
              <w:pStyle w:val="TableParagraph"/>
              <w:spacing w:before="61" w:line="240" w:lineRule="auto"/>
              <w:ind w:right="118"/>
              <w:rPr>
                <w:bCs/>
                <w:color w:val="21286C"/>
                <w:sz w:val="20"/>
                <w:szCs w:val="20"/>
                <w:lang w:val="en-US"/>
              </w:rPr>
            </w:pPr>
          </w:p>
        </w:tc>
        <w:tc>
          <w:tcPr>
            <w:tcW w:w="828" w:type="dxa"/>
            <w:tcBorders>
              <w:top w:val="single" w:sz="4" w:space="0" w:color="000000"/>
              <w:bottom w:val="single" w:sz="4" w:space="0" w:color="000000"/>
            </w:tcBorders>
            <w:shd w:val="clear" w:color="auto" w:fill="FFFFFF" w:themeFill="background1"/>
          </w:tcPr>
          <w:p w14:paraId="57F28FD3" w14:textId="77777777" w:rsidR="00C11254" w:rsidRDefault="007072FA" w:rsidP="00C11254">
            <w:pPr>
              <w:pStyle w:val="TableParagraph"/>
              <w:spacing w:before="61" w:line="240" w:lineRule="auto"/>
              <w:ind w:right="101"/>
              <w:rPr>
                <w:color w:val="21286C"/>
                <w:sz w:val="20"/>
                <w:szCs w:val="20"/>
                <w:lang w:val="en-US"/>
              </w:rPr>
            </w:pPr>
            <w:r>
              <w:rPr>
                <w:color w:val="21286C"/>
                <w:sz w:val="20"/>
                <w:szCs w:val="20"/>
                <w:lang w:val="en-US"/>
              </w:rPr>
              <w:t>-23,9</w:t>
            </w:r>
            <w:r w:rsidR="00C11254">
              <w:rPr>
                <w:color w:val="21286C"/>
                <w:sz w:val="20"/>
                <w:szCs w:val="20"/>
                <w:lang w:val="en-US"/>
              </w:rPr>
              <w:t>%</w:t>
            </w:r>
          </w:p>
          <w:p w14:paraId="3163755E" w14:textId="03690390" w:rsidR="007072FA" w:rsidRPr="00614BC8" w:rsidRDefault="007072FA" w:rsidP="00C11254">
            <w:pPr>
              <w:pStyle w:val="TableParagraph"/>
              <w:spacing w:before="61" w:line="240" w:lineRule="auto"/>
              <w:ind w:right="101"/>
              <w:rPr>
                <w:color w:val="21286C"/>
                <w:sz w:val="20"/>
                <w:szCs w:val="20"/>
                <w:lang w:val="en-US"/>
              </w:rPr>
            </w:pPr>
            <w:r>
              <w:rPr>
                <w:color w:val="21286C"/>
                <w:sz w:val="20"/>
                <w:szCs w:val="20"/>
                <w:lang w:val="en-US"/>
              </w:rPr>
              <w:t>[-0,8%]</w:t>
            </w:r>
          </w:p>
        </w:tc>
        <w:tc>
          <w:tcPr>
            <w:tcW w:w="20" w:type="dxa"/>
            <w:tcBorders>
              <w:top w:val="single" w:sz="4" w:space="0" w:color="000000"/>
              <w:bottom w:val="single" w:sz="4" w:space="0" w:color="000000"/>
            </w:tcBorders>
            <w:shd w:val="clear" w:color="auto" w:fill="D9D9D9" w:themeFill="background1" w:themeFillShade="D9"/>
          </w:tcPr>
          <w:p w14:paraId="4F9A75EF" w14:textId="77777777" w:rsidR="00C11254" w:rsidRPr="000C562C" w:rsidRDefault="00C11254" w:rsidP="00C11254">
            <w:pPr>
              <w:pStyle w:val="TableParagraph"/>
              <w:spacing w:before="61" w:line="240" w:lineRule="auto"/>
              <w:ind w:right="101"/>
              <w:rPr>
                <w:color w:val="21286C"/>
                <w:sz w:val="21"/>
                <w:lang w:val="en-US"/>
              </w:rPr>
            </w:pPr>
          </w:p>
        </w:tc>
      </w:tr>
    </w:tbl>
    <w:p w14:paraId="0F5C7D32" w14:textId="6EFE02CA" w:rsidR="006C65A6" w:rsidRPr="006C65A6" w:rsidRDefault="006C65A6" w:rsidP="00171ACD">
      <w:pPr>
        <w:pStyle w:val="ListParagraph"/>
        <w:spacing w:after="0" w:line="240" w:lineRule="auto"/>
        <w:ind w:left="0"/>
        <w:rPr>
          <w:rFonts w:ascii="Calibri" w:eastAsia="Calibri" w:hAnsi="Calibri" w:cs="Calibri"/>
          <w:i/>
          <w:iCs/>
          <w:color w:val="21286C"/>
          <w:sz w:val="18"/>
          <w:szCs w:val="18"/>
          <w:lang w:val="el-GR" w:bidi="el-GR"/>
        </w:rPr>
      </w:pPr>
      <w:r w:rsidRPr="006C65A6">
        <w:rPr>
          <w:rFonts w:ascii="Calibri" w:eastAsia="Calibri" w:hAnsi="Calibri" w:cs="Calibri"/>
          <w:b/>
          <w:color w:val="21286C"/>
          <w:sz w:val="18"/>
          <w:szCs w:val="18"/>
          <w:lang w:val="el-GR" w:bidi="el-GR"/>
        </w:rPr>
        <w:t>*</w:t>
      </w:r>
      <w:r w:rsidRPr="006C65A6">
        <w:rPr>
          <w:rFonts w:ascii="Calibri" w:eastAsia="Calibri" w:hAnsi="Calibri" w:cs="Calibri"/>
          <w:color w:val="21286C"/>
          <w:sz w:val="18"/>
          <w:szCs w:val="18"/>
          <w:lang w:val="el-GR" w:bidi="el-GR"/>
        </w:rPr>
        <w:t xml:space="preserve"> </w:t>
      </w:r>
      <w:r w:rsidR="00353A34">
        <w:rPr>
          <w:rFonts w:ascii="Calibri" w:eastAsia="Calibri" w:hAnsi="Calibri" w:cs="Calibri"/>
          <w:i/>
          <w:color w:val="21286C"/>
          <w:sz w:val="18"/>
          <w:szCs w:val="18"/>
          <w:lang w:val="el-GR" w:bidi="el-GR"/>
        </w:rPr>
        <w:t>Οι αριθμοί εντός παρενθέσεων αντιστοιχούν στα κ</w:t>
      </w:r>
      <w:r w:rsidRPr="006C65A6">
        <w:rPr>
          <w:rFonts w:ascii="Calibri" w:eastAsia="Calibri" w:hAnsi="Calibri" w:cs="Calibri"/>
          <w:i/>
          <w:color w:val="21286C"/>
          <w:sz w:val="18"/>
          <w:szCs w:val="18"/>
          <w:lang w:val="el-GR" w:bidi="el-GR"/>
        </w:rPr>
        <w:t>αθαρά κέρδη μετά από φόρους &amp; δικαιώματα μειοψηφίας (NPAT)</w:t>
      </w:r>
      <w:r w:rsidR="00353A34">
        <w:rPr>
          <w:rFonts w:ascii="Calibri" w:eastAsia="Calibri" w:hAnsi="Calibri" w:cs="Calibri"/>
          <w:i/>
          <w:color w:val="21286C"/>
          <w:sz w:val="18"/>
          <w:szCs w:val="18"/>
          <w:lang w:val="el-GR" w:bidi="el-GR"/>
        </w:rPr>
        <w:t>, εξαιρουμένης της επίδρασης από την πώληση</w:t>
      </w:r>
      <w:r w:rsidRPr="006C65A6">
        <w:rPr>
          <w:rFonts w:ascii="Calibri" w:eastAsia="Calibri" w:hAnsi="Calibri" w:cs="Calibri"/>
          <w:i/>
          <w:color w:val="21286C"/>
          <w:sz w:val="18"/>
          <w:szCs w:val="18"/>
          <w:lang w:val="el-GR" w:bidi="el-GR"/>
        </w:rPr>
        <w:t xml:space="preserve"> της Adocim τον Μάιο 2025 (€51,9 εκ.) </w:t>
      </w:r>
    </w:p>
    <w:p w14:paraId="63A4BF4D" w14:textId="77777777" w:rsidR="00BC2E45" w:rsidRDefault="00BC2E45" w:rsidP="002D420D">
      <w:pPr>
        <w:pStyle w:val="ListParagraph"/>
        <w:spacing w:after="0" w:line="240" w:lineRule="auto"/>
        <w:ind w:left="0"/>
        <w:jc w:val="both"/>
        <w:rPr>
          <w:rFonts w:ascii="Calibri" w:eastAsia="Calibri" w:hAnsi="Calibri" w:cs="Calibri"/>
          <w:color w:val="21286C"/>
          <w:sz w:val="18"/>
          <w:szCs w:val="18"/>
          <w:lang w:val="el-GR"/>
        </w:rPr>
      </w:pPr>
    </w:p>
    <w:p w14:paraId="38579ECD" w14:textId="77777777" w:rsidR="00AA3C60" w:rsidRDefault="00AA3C60" w:rsidP="00983A85">
      <w:pPr>
        <w:pStyle w:val="C"/>
        <w:spacing w:line="240" w:lineRule="auto"/>
        <w:jc w:val="both"/>
        <w:rPr>
          <w:color w:val="21286C"/>
          <w:lang w:val="el-GR"/>
        </w:rPr>
      </w:pPr>
    </w:p>
    <w:p w14:paraId="717F9D36" w14:textId="1473FCA9" w:rsidR="00FA00B3" w:rsidRPr="00E65991" w:rsidRDefault="00C86FC6" w:rsidP="00983A85">
      <w:pPr>
        <w:pStyle w:val="C"/>
        <w:spacing w:line="240" w:lineRule="auto"/>
        <w:jc w:val="both"/>
        <w:rPr>
          <w:color w:val="21286C"/>
          <w:lang w:val="el-GR"/>
        </w:rPr>
      </w:pPr>
      <w:r w:rsidRPr="00C86FC6">
        <w:rPr>
          <w:color w:val="21286C"/>
          <w:lang w:val="el-GR"/>
        </w:rPr>
        <w:lastRenderedPageBreak/>
        <w:t>Όμιλος ΤΙΤΑΝ – Επισκόπηση του τρίτου τριμήνου και του εννεαμήνου του 202</w:t>
      </w:r>
      <w:r w:rsidR="001C12FF" w:rsidRPr="00B906C6">
        <w:rPr>
          <w:rFonts w:ascii="Arial" w:hAnsi="Arial"/>
          <w:noProof/>
          <w:color w:val="21286C"/>
        </w:rPr>
        <mc:AlternateContent>
          <mc:Choice Requires="wps">
            <w:drawing>
              <wp:anchor distT="0" distB="0" distL="114300" distR="114300" simplePos="0" relativeHeight="251658240" behindDoc="0" locked="0" layoutInCell="1" allowOverlap="1" wp14:anchorId="075A44AD" wp14:editId="551E4251">
                <wp:simplePos x="0" y="0"/>
                <wp:positionH relativeFrom="column">
                  <wp:posOffset>7075</wp:posOffset>
                </wp:positionH>
                <wp:positionV relativeFrom="paragraph">
                  <wp:posOffset>239667</wp:posOffset>
                </wp:positionV>
                <wp:extent cx="6204585" cy="0"/>
                <wp:effectExtent l="0" t="0" r="5715" b="12700"/>
                <wp:wrapNone/>
                <wp:docPr id="13" name="Straight Connector 13"/>
                <wp:cNvGraphicFramePr/>
                <a:graphic xmlns:a="http://schemas.openxmlformats.org/drawingml/2006/main">
                  <a:graphicData uri="http://schemas.microsoft.com/office/word/2010/wordprocessingShape">
                    <wps:wsp>
                      <wps:cNvCnPr/>
                      <wps:spPr>
                        <a:xfrm>
                          <a:off x="0" y="0"/>
                          <a:ext cx="6204585"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E9400F" id="Straight Connector 1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8.85pt" to="489.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" strokecolor="#00183d" strokeweight=".25pt"/>
            </w:pict>
          </mc:Fallback>
        </mc:AlternateContent>
      </w:r>
      <w:r w:rsidR="00E65991" w:rsidRPr="00E65991">
        <w:rPr>
          <w:color w:val="21286C"/>
          <w:lang w:val="el-GR"/>
        </w:rPr>
        <w:t>5</w:t>
      </w:r>
    </w:p>
    <w:p w14:paraId="23AD4C0A" w14:textId="3A8397DC" w:rsidR="00896EA9" w:rsidRPr="00C3630C" w:rsidRDefault="00896EA9" w:rsidP="001729B1">
      <w:pPr>
        <w:pStyle w:val="C"/>
        <w:spacing w:after="0" w:line="240" w:lineRule="auto"/>
        <w:jc w:val="both"/>
        <w:rPr>
          <w:rFonts w:ascii="Calibri Light" w:hAnsi="Calibri Light"/>
          <w:b w:val="0"/>
          <w:bCs w:val="0"/>
          <w:color w:val="21286C"/>
          <w:sz w:val="21"/>
          <w:szCs w:val="20"/>
          <w:lang w:val="el-GR" w:bidi="el-GR"/>
        </w:rPr>
      </w:pPr>
      <w:r w:rsidRPr="00896EA9">
        <w:rPr>
          <w:rFonts w:ascii="Calibri Light" w:hAnsi="Calibri Light"/>
          <w:b w:val="0"/>
          <w:bCs w:val="0"/>
          <w:color w:val="21286C"/>
          <w:sz w:val="21"/>
          <w:szCs w:val="20"/>
          <w:lang w:val="el-GR" w:bidi="el-GR"/>
        </w:rPr>
        <w:t xml:space="preserve">Ο Όμιλος </w:t>
      </w:r>
      <w:r w:rsidR="00A5640A">
        <w:rPr>
          <w:rFonts w:ascii="Calibri Light" w:hAnsi="Calibri Light"/>
          <w:b w:val="0"/>
          <w:bCs w:val="0"/>
          <w:color w:val="21286C"/>
          <w:sz w:val="21"/>
          <w:szCs w:val="20"/>
          <w:lang w:val="el-GR" w:bidi="el-GR"/>
        </w:rPr>
        <w:t>συνέχισε</w:t>
      </w:r>
      <w:r w:rsidRPr="00896EA9">
        <w:rPr>
          <w:rFonts w:ascii="Calibri Light" w:hAnsi="Calibri Light"/>
          <w:b w:val="0"/>
          <w:bCs w:val="0"/>
          <w:color w:val="21286C"/>
          <w:sz w:val="21"/>
          <w:szCs w:val="20"/>
          <w:lang w:val="el-GR" w:bidi="el-GR"/>
        </w:rPr>
        <w:t xml:space="preserve"> την ανοδική του πορεία κατά το τρίτο τρίμηνο, καταγράφοντας </w:t>
      </w:r>
      <w:r w:rsidR="00DB12A7">
        <w:rPr>
          <w:rFonts w:ascii="Calibri Light" w:hAnsi="Calibri Light"/>
          <w:b w:val="0"/>
          <w:bCs w:val="0"/>
          <w:color w:val="21286C"/>
          <w:sz w:val="21"/>
          <w:szCs w:val="20"/>
          <w:lang w:val="el-GR" w:bidi="el-GR"/>
        </w:rPr>
        <w:t>ισχυρή</w:t>
      </w:r>
      <w:r w:rsidRPr="00896EA9">
        <w:rPr>
          <w:rFonts w:ascii="Calibri Light" w:hAnsi="Calibri Light"/>
          <w:b w:val="0"/>
          <w:bCs w:val="0"/>
          <w:color w:val="21286C"/>
          <w:sz w:val="21"/>
          <w:szCs w:val="20"/>
          <w:lang w:val="el-GR" w:bidi="el-GR"/>
        </w:rPr>
        <w:t xml:space="preserve"> αύξηση πωλήσεων και κερδοφορίας. Οι πωλήσεις του τριμήνου </w:t>
      </w:r>
      <w:r w:rsidR="00D40E6F">
        <w:rPr>
          <w:rFonts w:ascii="Calibri Light" w:hAnsi="Calibri Light"/>
          <w:b w:val="0"/>
          <w:bCs w:val="0"/>
          <w:color w:val="21286C"/>
          <w:sz w:val="21"/>
          <w:szCs w:val="20"/>
          <w:lang w:val="el-GR" w:bidi="el-GR"/>
        </w:rPr>
        <w:t xml:space="preserve">ανήλθαν σε €684 εκ. </w:t>
      </w:r>
      <w:r w:rsidR="00FF2625">
        <w:rPr>
          <w:rFonts w:ascii="Calibri Light" w:hAnsi="Calibri Light"/>
          <w:b w:val="0"/>
          <w:bCs w:val="0"/>
          <w:color w:val="21286C"/>
          <w:sz w:val="21"/>
          <w:szCs w:val="20"/>
          <w:lang w:val="el-GR" w:bidi="el-GR"/>
        </w:rPr>
        <w:t xml:space="preserve">σημειώνοντας αύξηση </w:t>
      </w:r>
      <w:r w:rsidR="005C1560" w:rsidRPr="005C1560">
        <w:rPr>
          <w:rFonts w:ascii="Calibri Light" w:hAnsi="Calibri Light"/>
          <w:b w:val="0"/>
          <w:bCs w:val="0"/>
          <w:color w:val="21286C"/>
          <w:sz w:val="21"/>
          <w:szCs w:val="20"/>
          <w:lang w:val="el-GR" w:bidi="el-GR"/>
        </w:rPr>
        <w:t>3,4</w:t>
      </w:r>
      <w:r w:rsidRPr="00896EA9">
        <w:rPr>
          <w:rFonts w:ascii="Calibri Light" w:hAnsi="Calibri Light"/>
          <w:b w:val="0"/>
          <w:bCs w:val="0"/>
          <w:color w:val="21286C"/>
          <w:sz w:val="21"/>
          <w:szCs w:val="20"/>
          <w:lang w:val="el-GR" w:bidi="el-GR"/>
        </w:rPr>
        <w:t xml:space="preserve">% </w:t>
      </w:r>
      <w:r w:rsidR="00FF2625">
        <w:rPr>
          <w:rFonts w:ascii="Calibri Light" w:hAnsi="Calibri Light"/>
          <w:b w:val="0"/>
          <w:bCs w:val="0"/>
          <w:color w:val="21286C"/>
          <w:sz w:val="21"/>
          <w:szCs w:val="20"/>
          <w:lang w:val="el-GR" w:bidi="el-GR"/>
        </w:rPr>
        <w:t xml:space="preserve">σε ετήσια βάση, </w:t>
      </w:r>
      <w:r w:rsidRPr="00896EA9">
        <w:rPr>
          <w:rFonts w:ascii="Calibri Light" w:hAnsi="Calibri Light"/>
          <w:b w:val="0"/>
          <w:bCs w:val="0"/>
          <w:color w:val="21286C"/>
          <w:sz w:val="21"/>
          <w:szCs w:val="20"/>
          <w:lang w:val="el-GR" w:bidi="el-GR"/>
        </w:rPr>
        <w:t xml:space="preserve">αντικατοπτρίζοντας τις </w:t>
      </w:r>
      <w:r w:rsidRPr="00C3630C">
        <w:rPr>
          <w:rFonts w:ascii="Calibri Light" w:hAnsi="Calibri Light"/>
          <w:b w:val="0"/>
          <w:bCs w:val="0"/>
          <w:color w:val="21286C"/>
          <w:sz w:val="21"/>
          <w:szCs w:val="20"/>
          <w:lang w:val="el-GR" w:bidi="el-GR"/>
        </w:rPr>
        <w:t xml:space="preserve">θετικές τάσεις που επικράτησαν σε όλους τους γεωγραφικούς τομείς. Τα κέρδη EBITDA </w:t>
      </w:r>
      <w:r w:rsidR="00B36639" w:rsidRPr="00C3630C">
        <w:rPr>
          <w:rFonts w:ascii="Calibri Light" w:hAnsi="Calibri Light"/>
          <w:b w:val="0"/>
          <w:bCs w:val="0"/>
          <w:color w:val="21286C"/>
          <w:sz w:val="21"/>
          <w:szCs w:val="20"/>
          <w:lang w:val="el-GR" w:bidi="el-GR"/>
        </w:rPr>
        <w:t xml:space="preserve">διαμορφώθηκαν </w:t>
      </w:r>
      <w:r w:rsidR="00B36639" w:rsidRPr="00C3630C">
        <w:rPr>
          <w:rFonts w:ascii="Calibri Light" w:hAnsi="Calibri Light"/>
          <w:b w:val="0"/>
          <w:color w:val="21286C"/>
          <w:sz w:val="21"/>
          <w:szCs w:val="20"/>
          <w:lang w:val="el-GR" w:bidi="el-GR"/>
        </w:rPr>
        <w:t xml:space="preserve">στο υψηλό επίπεδο των </w:t>
      </w:r>
      <w:r w:rsidR="00374DF1" w:rsidRPr="00C3630C">
        <w:rPr>
          <w:rFonts w:ascii="Calibri Light" w:hAnsi="Calibri Light"/>
          <w:b w:val="0"/>
          <w:color w:val="21286C"/>
          <w:sz w:val="21"/>
          <w:szCs w:val="20"/>
          <w:lang w:val="el-GR" w:bidi="el-GR"/>
        </w:rPr>
        <w:t>€186,</w:t>
      </w:r>
      <w:r w:rsidR="00374DF1" w:rsidRPr="00C3630C">
        <w:rPr>
          <w:rFonts w:ascii="Calibri Light" w:hAnsi="Calibri Light"/>
          <w:b w:val="0"/>
          <w:bCs w:val="0"/>
          <w:color w:val="21286C"/>
          <w:sz w:val="21"/>
          <w:szCs w:val="20"/>
          <w:lang w:val="el-GR" w:bidi="el-GR"/>
        </w:rPr>
        <w:t>6 εκ.</w:t>
      </w:r>
      <w:r w:rsidR="00BB30D5">
        <w:rPr>
          <w:rFonts w:ascii="Calibri Light" w:hAnsi="Calibri Light"/>
          <w:b w:val="0"/>
          <w:bCs w:val="0"/>
          <w:color w:val="21286C"/>
          <w:sz w:val="21"/>
          <w:szCs w:val="20"/>
          <w:lang w:val="el-GR" w:bidi="el-GR"/>
        </w:rPr>
        <w:t>,</w:t>
      </w:r>
      <w:r w:rsidR="00374DF1" w:rsidRPr="00C3630C">
        <w:rPr>
          <w:rFonts w:ascii="Calibri Light" w:hAnsi="Calibri Light"/>
          <w:b w:val="0"/>
          <w:bCs w:val="0"/>
          <w:color w:val="21286C"/>
          <w:sz w:val="21"/>
          <w:szCs w:val="20"/>
          <w:lang w:val="el-GR" w:bidi="el-GR"/>
        </w:rPr>
        <w:t xml:space="preserve"> αυξημένα κατά </w:t>
      </w:r>
      <w:r w:rsidR="00C36F5A" w:rsidRPr="00C3630C">
        <w:rPr>
          <w:rFonts w:ascii="Calibri Light" w:hAnsi="Calibri Light"/>
          <w:b w:val="0"/>
          <w:bCs w:val="0"/>
          <w:color w:val="21286C"/>
          <w:sz w:val="21"/>
          <w:szCs w:val="20"/>
          <w:lang w:val="el-GR" w:bidi="el-GR"/>
        </w:rPr>
        <w:t>19,9</w:t>
      </w:r>
      <w:r w:rsidRPr="00C3630C">
        <w:rPr>
          <w:rFonts w:ascii="Calibri Light" w:hAnsi="Calibri Light"/>
          <w:b w:val="0"/>
          <w:bCs w:val="0"/>
          <w:color w:val="21286C"/>
          <w:sz w:val="21"/>
          <w:szCs w:val="20"/>
          <w:lang w:val="el-GR" w:bidi="el-GR"/>
        </w:rPr>
        <w:t xml:space="preserve">%, χάρη </w:t>
      </w:r>
      <w:r w:rsidR="00FF157A">
        <w:rPr>
          <w:rFonts w:ascii="Calibri Light" w:hAnsi="Calibri Light"/>
          <w:b w:val="0"/>
          <w:bCs w:val="0"/>
          <w:color w:val="21286C"/>
          <w:sz w:val="21"/>
          <w:szCs w:val="20"/>
          <w:lang w:val="el-GR" w:bidi="el-GR"/>
        </w:rPr>
        <w:t>στις σταθερές τιμές</w:t>
      </w:r>
      <w:r w:rsidR="00D222AA" w:rsidRPr="00C3630C">
        <w:rPr>
          <w:rFonts w:ascii="Calibri Light" w:hAnsi="Calibri Light"/>
          <w:b w:val="0"/>
          <w:bCs w:val="0"/>
          <w:color w:val="21286C"/>
          <w:sz w:val="21"/>
          <w:szCs w:val="20"/>
          <w:lang w:val="el-GR" w:bidi="el-GR"/>
        </w:rPr>
        <w:t xml:space="preserve">, </w:t>
      </w:r>
      <w:r w:rsidRPr="00C3630C">
        <w:rPr>
          <w:rFonts w:ascii="Calibri Light" w:hAnsi="Calibri Light"/>
          <w:b w:val="0"/>
          <w:bCs w:val="0"/>
          <w:color w:val="21286C"/>
          <w:sz w:val="21"/>
          <w:szCs w:val="20"/>
          <w:lang w:val="el-GR" w:bidi="el-GR"/>
        </w:rPr>
        <w:t>την αποτελεσματική διαχείριση του κόστους</w:t>
      </w:r>
      <w:r w:rsidR="009D541B" w:rsidRPr="00C3630C">
        <w:rPr>
          <w:rFonts w:ascii="Calibri Light" w:hAnsi="Calibri Light"/>
          <w:b w:val="0"/>
          <w:bCs w:val="0"/>
          <w:color w:val="21286C"/>
          <w:sz w:val="21"/>
          <w:szCs w:val="20"/>
          <w:lang w:val="el-GR" w:bidi="el-GR"/>
        </w:rPr>
        <w:t xml:space="preserve"> και</w:t>
      </w:r>
      <w:r w:rsidRPr="00C3630C">
        <w:rPr>
          <w:rFonts w:ascii="Calibri Light" w:hAnsi="Calibri Light"/>
          <w:b w:val="0"/>
          <w:bCs w:val="0"/>
          <w:color w:val="21286C"/>
          <w:sz w:val="21"/>
          <w:szCs w:val="20"/>
          <w:lang w:val="el-GR" w:bidi="el-GR"/>
        </w:rPr>
        <w:t xml:space="preserve"> τη βελτίωση των λειτουργικών επιδόσεων</w:t>
      </w:r>
      <w:r w:rsidR="009D541B" w:rsidRPr="00C3630C">
        <w:rPr>
          <w:rFonts w:ascii="Calibri Light" w:hAnsi="Calibri Light"/>
          <w:b w:val="0"/>
          <w:bCs w:val="0"/>
          <w:color w:val="21286C"/>
          <w:sz w:val="21"/>
          <w:szCs w:val="20"/>
          <w:lang w:val="el-GR" w:bidi="el-GR"/>
        </w:rPr>
        <w:t>.</w:t>
      </w:r>
      <w:r w:rsidRPr="00C3630C">
        <w:rPr>
          <w:rFonts w:ascii="Calibri Light" w:hAnsi="Calibri Light"/>
          <w:b w:val="0"/>
          <w:bCs w:val="0"/>
          <w:color w:val="21286C"/>
          <w:sz w:val="21"/>
          <w:szCs w:val="20"/>
          <w:lang w:val="el-GR" w:bidi="el-GR"/>
        </w:rPr>
        <w:t xml:space="preserve"> Στην Ελλάδα, ο Όμιλος </w:t>
      </w:r>
      <w:r w:rsidR="00BB29A9" w:rsidRPr="00C3630C">
        <w:rPr>
          <w:rFonts w:ascii="Calibri Light" w:hAnsi="Calibri Light"/>
          <w:b w:val="0"/>
          <w:bCs w:val="0"/>
          <w:color w:val="21286C"/>
          <w:sz w:val="21"/>
          <w:szCs w:val="20"/>
          <w:lang w:val="el-GR" w:bidi="el-GR"/>
        </w:rPr>
        <w:t xml:space="preserve">κατέγραψε </w:t>
      </w:r>
      <w:r w:rsidR="00D944E3" w:rsidRPr="00C3630C">
        <w:rPr>
          <w:rFonts w:ascii="Calibri Light" w:hAnsi="Calibri Light"/>
          <w:b w:val="0"/>
          <w:bCs w:val="0"/>
          <w:color w:val="21286C"/>
          <w:sz w:val="21"/>
          <w:szCs w:val="20"/>
          <w:lang w:val="el-GR" w:bidi="el-GR"/>
        </w:rPr>
        <w:t>ισχυρή</w:t>
      </w:r>
      <w:r w:rsidRPr="00C3630C">
        <w:rPr>
          <w:rFonts w:ascii="Calibri Light" w:hAnsi="Calibri Light"/>
          <w:b w:val="0"/>
          <w:bCs w:val="0"/>
          <w:color w:val="21286C"/>
          <w:sz w:val="21"/>
          <w:szCs w:val="20"/>
          <w:lang w:val="el-GR" w:bidi="el-GR"/>
        </w:rPr>
        <w:t xml:space="preserve"> αύξηση</w:t>
      </w:r>
      <w:r w:rsidR="00930C50">
        <w:rPr>
          <w:rFonts w:ascii="Calibri Light" w:hAnsi="Calibri Light"/>
          <w:b w:val="0"/>
          <w:bCs w:val="0"/>
          <w:color w:val="21286C"/>
          <w:sz w:val="21"/>
          <w:szCs w:val="20"/>
          <w:lang w:val="el-GR" w:bidi="el-GR"/>
        </w:rPr>
        <w:t xml:space="preserve"> </w:t>
      </w:r>
      <w:r w:rsidRPr="000805CC">
        <w:rPr>
          <w:rFonts w:ascii="Calibri Light" w:hAnsi="Calibri Light"/>
          <w:b w:val="0"/>
          <w:color w:val="21286C"/>
          <w:sz w:val="21"/>
          <w:szCs w:val="20"/>
          <w:lang w:val="el-GR" w:bidi="el-GR"/>
        </w:rPr>
        <w:t xml:space="preserve">πωλήσεων και κερδών EBITDA, </w:t>
      </w:r>
      <w:r w:rsidR="001965A3" w:rsidRPr="000805CC">
        <w:rPr>
          <w:rFonts w:ascii="Calibri Light" w:hAnsi="Calibri Light"/>
          <w:b w:val="0"/>
          <w:color w:val="21286C"/>
          <w:sz w:val="21"/>
          <w:szCs w:val="20"/>
          <w:lang w:val="el-GR" w:bidi="el-GR"/>
        </w:rPr>
        <w:t xml:space="preserve">με </w:t>
      </w:r>
      <w:r w:rsidR="0030595F" w:rsidRPr="000805CC">
        <w:rPr>
          <w:rFonts w:ascii="Calibri Light" w:hAnsi="Calibri Light"/>
          <w:b w:val="0"/>
          <w:color w:val="21286C"/>
          <w:sz w:val="21"/>
          <w:szCs w:val="20"/>
          <w:lang w:val="el-GR" w:bidi="el-GR"/>
        </w:rPr>
        <w:t>σημαντική</w:t>
      </w:r>
      <w:r w:rsidRPr="000805CC">
        <w:rPr>
          <w:rFonts w:ascii="Calibri Light" w:hAnsi="Calibri Light"/>
          <w:b w:val="0"/>
          <w:color w:val="21286C"/>
          <w:sz w:val="21"/>
          <w:szCs w:val="20"/>
          <w:lang w:val="el-GR" w:bidi="el-GR"/>
        </w:rPr>
        <w:t xml:space="preserve"> αύξηση </w:t>
      </w:r>
      <w:r w:rsidR="00BD040F" w:rsidRPr="000805CC">
        <w:rPr>
          <w:rFonts w:ascii="Calibri Light" w:hAnsi="Calibri Light"/>
          <w:b w:val="0"/>
          <w:color w:val="21286C"/>
          <w:sz w:val="21"/>
          <w:szCs w:val="20"/>
          <w:lang w:val="el-GR" w:bidi="el-GR"/>
        </w:rPr>
        <w:t>όγκου</w:t>
      </w:r>
      <w:r w:rsidRPr="000805CC">
        <w:rPr>
          <w:rFonts w:ascii="Calibri Light" w:hAnsi="Calibri Light"/>
          <w:b w:val="0"/>
          <w:color w:val="21286C"/>
          <w:sz w:val="21"/>
          <w:szCs w:val="20"/>
          <w:lang w:val="el-GR" w:bidi="el-GR"/>
        </w:rPr>
        <w:t xml:space="preserve"> πωλήσεων</w:t>
      </w:r>
      <w:r w:rsidRPr="00C3630C">
        <w:rPr>
          <w:rFonts w:ascii="Calibri Light" w:hAnsi="Calibri Light"/>
          <w:b w:val="0"/>
          <w:bCs w:val="0"/>
          <w:color w:val="21286C"/>
          <w:sz w:val="21"/>
          <w:szCs w:val="20"/>
          <w:lang w:val="el-GR" w:bidi="el-GR"/>
        </w:rPr>
        <w:t xml:space="preserve"> στις περισσότερες </w:t>
      </w:r>
      <w:r w:rsidR="00E57A25" w:rsidRPr="00C3630C">
        <w:rPr>
          <w:rFonts w:ascii="Calibri Light" w:hAnsi="Calibri Light"/>
          <w:b w:val="0"/>
          <w:bCs w:val="0"/>
          <w:color w:val="21286C"/>
          <w:sz w:val="21"/>
          <w:szCs w:val="20"/>
          <w:lang w:val="el-GR" w:bidi="el-GR"/>
        </w:rPr>
        <w:t xml:space="preserve">κατηγορίες </w:t>
      </w:r>
      <w:r w:rsidRPr="00C3630C">
        <w:rPr>
          <w:rFonts w:ascii="Calibri Light" w:hAnsi="Calibri Light"/>
          <w:b w:val="0"/>
          <w:bCs w:val="0"/>
          <w:color w:val="21286C"/>
          <w:sz w:val="21"/>
          <w:szCs w:val="20"/>
          <w:lang w:val="el-GR" w:bidi="el-GR"/>
        </w:rPr>
        <w:t>προϊόντων και αυτό το τρίμηνο</w:t>
      </w:r>
      <w:r w:rsidR="00275AF1" w:rsidRPr="00C3630C">
        <w:rPr>
          <w:rFonts w:ascii="Calibri Light" w:hAnsi="Calibri Light"/>
          <w:b w:val="0"/>
          <w:bCs w:val="0"/>
          <w:color w:val="21286C"/>
          <w:sz w:val="21"/>
          <w:szCs w:val="20"/>
          <w:lang w:val="el-GR" w:bidi="el-GR"/>
        </w:rPr>
        <w:t>,</w:t>
      </w:r>
      <w:r w:rsidR="00692C3C" w:rsidRPr="00C3630C">
        <w:rPr>
          <w:rFonts w:ascii="Calibri Light" w:hAnsi="Calibri Light"/>
          <w:b w:val="0"/>
          <w:bCs w:val="0"/>
          <w:color w:val="21286C"/>
          <w:sz w:val="21"/>
          <w:szCs w:val="20"/>
          <w:lang w:val="el-GR" w:bidi="el-GR"/>
        </w:rPr>
        <w:t xml:space="preserve"> </w:t>
      </w:r>
      <w:r w:rsidR="00916B88" w:rsidRPr="00C3630C">
        <w:rPr>
          <w:rFonts w:ascii="Calibri Light" w:hAnsi="Calibri Light"/>
          <w:b w:val="0"/>
          <w:bCs w:val="0"/>
          <w:color w:val="21286C"/>
          <w:sz w:val="21"/>
          <w:szCs w:val="20"/>
          <w:lang w:val="el-GR" w:bidi="el-GR"/>
        </w:rPr>
        <w:t xml:space="preserve">σε ένα </w:t>
      </w:r>
      <w:r w:rsidR="00FC7F54" w:rsidRPr="00C3630C">
        <w:rPr>
          <w:rFonts w:ascii="Calibri Light" w:hAnsi="Calibri Light"/>
          <w:b w:val="0"/>
          <w:bCs w:val="0"/>
          <w:color w:val="21286C"/>
          <w:sz w:val="21"/>
          <w:szCs w:val="20"/>
          <w:lang w:val="el-GR" w:bidi="el-GR"/>
        </w:rPr>
        <w:t xml:space="preserve">περιβάλλον αυξανόμενης </w:t>
      </w:r>
      <w:r w:rsidR="009E4187" w:rsidRPr="00C3630C">
        <w:rPr>
          <w:rFonts w:ascii="Calibri Light" w:hAnsi="Calibri Light"/>
          <w:b w:val="0"/>
          <w:bCs w:val="0"/>
          <w:color w:val="21286C"/>
          <w:sz w:val="21"/>
          <w:szCs w:val="20"/>
          <w:lang w:val="el-GR" w:bidi="el-GR"/>
        </w:rPr>
        <w:t xml:space="preserve">δραστηριότητας στον κατασκευαστικό κλάδο. </w:t>
      </w:r>
      <w:r w:rsidRPr="00C3630C">
        <w:rPr>
          <w:rFonts w:ascii="Calibri Light" w:hAnsi="Calibri Light"/>
          <w:b w:val="0"/>
          <w:bCs w:val="0"/>
          <w:color w:val="21286C"/>
          <w:sz w:val="21"/>
          <w:szCs w:val="20"/>
          <w:lang w:val="el-GR" w:bidi="el-GR"/>
        </w:rPr>
        <w:t xml:space="preserve">Στις ΗΠΑ, οι </w:t>
      </w:r>
      <w:r w:rsidR="009E4187" w:rsidRPr="00C3630C">
        <w:rPr>
          <w:rFonts w:ascii="Calibri Light" w:hAnsi="Calibri Light"/>
          <w:b w:val="0"/>
          <w:bCs w:val="0"/>
          <w:color w:val="21286C"/>
          <w:sz w:val="21"/>
          <w:szCs w:val="20"/>
          <w:lang w:val="el-GR" w:bidi="el-GR"/>
        </w:rPr>
        <w:t>ελαφρώς βελτιωμένες</w:t>
      </w:r>
      <w:r w:rsidRPr="00C3630C">
        <w:rPr>
          <w:rFonts w:ascii="Calibri Light" w:hAnsi="Calibri Light"/>
          <w:b w:val="0"/>
          <w:bCs w:val="0"/>
          <w:color w:val="21286C"/>
          <w:sz w:val="21"/>
          <w:szCs w:val="20"/>
          <w:lang w:val="el-GR" w:bidi="el-GR"/>
        </w:rPr>
        <w:t xml:space="preserve"> συνθήκες </w:t>
      </w:r>
      <w:r w:rsidR="00BB65EB" w:rsidRPr="00C3630C">
        <w:rPr>
          <w:rFonts w:ascii="Calibri Light" w:hAnsi="Calibri Light"/>
          <w:b w:val="0"/>
          <w:bCs w:val="0"/>
          <w:color w:val="21286C"/>
          <w:sz w:val="21"/>
          <w:szCs w:val="20"/>
          <w:lang w:val="el-GR" w:bidi="el-GR"/>
        </w:rPr>
        <w:t xml:space="preserve">της αγοράς </w:t>
      </w:r>
      <w:r w:rsidRPr="00C3630C">
        <w:rPr>
          <w:rFonts w:ascii="Calibri Light" w:hAnsi="Calibri Light"/>
          <w:b w:val="0"/>
          <w:bCs w:val="0"/>
          <w:color w:val="21286C"/>
          <w:sz w:val="21"/>
          <w:szCs w:val="20"/>
          <w:lang w:val="el-GR" w:bidi="el-GR"/>
        </w:rPr>
        <w:t>και οι ευνοϊκ</w:t>
      </w:r>
      <w:r w:rsidR="00BB65EB" w:rsidRPr="00C3630C">
        <w:rPr>
          <w:rFonts w:ascii="Calibri Light" w:hAnsi="Calibri Light"/>
          <w:b w:val="0"/>
          <w:bCs w:val="0"/>
          <w:color w:val="21286C"/>
          <w:sz w:val="21"/>
          <w:szCs w:val="20"/>
          <w:lang w:val="el-GR" w:bidi="el-GR"/>
        </w:rPr>
        <w:t xml:space="preserve">ές </w:t>
      </w:r>
      <w:r w:rsidRPr="00C3630C">
        <w:rPr>
          <w:rFonts w:ascii="Calibri Light" w:hAnsi="Calibri Light"/>
          <w:b w:val="0"/>
          <w:bCs w:val="0"/>
          <w:color w:val="21286C"/>
          <w:sz w:val="21"/>
          <w:szCs w:val="20"/>
          <w:lang w:val="el-GR" w:bidi="el-GR"/>
        </w:rPr>
        <w:t xml:space="preserve">καιρικές συνθήκες σε σχέση με το τρίτο τρίμηνο του 2024, συνέβαλαν στην αύξηση του όγκου πωλήσεων στους κλάδους του τσιμέντου, του έτοιμου σκυροδέματος, των αδρανών υλικών και της ιπτάμενης τέφρας. </w:t>
      </w:r>
      <w:r w:rsidR="00BB30D5">
        <w:rPr>
          <w:rFonts w:ascii="Calibri Light" w:hAnsi="Calibri Light"/>
          <w:b w:val="0"/>
          <w:bCs w:val="0"/>
          <w:color w:val="21286C"/>
          <w:sz w:val="21"/>
          <w:szCs w:val="20"/>
          <w:lang w:val="el-GR" w:bidi="el-GR"/>
        </w:rPr>
        <w:t>Η</w:t>
      </w:r>
      <w:r w:rsidRPr="00C3630C">
        <w:rPr>
          <w:rFonts w:ascii="Calibri Light" w:hAnsi="Calibri Light"/>
          <w:b w:val="0"/>
          <w:bCs w:val="0"/>
          <w:color w:val="21286C"/>
          <w:sz w:val="21"/>
          <w:szCs w:val="20"/>
          <w:lang w:val="el-GR" w:bidi="el-GR"/>
        </w:rPr>
        <w:t xml:space="preserve"> διατήρηση των τιμών σε </w:t>
      </w:r>
      <w:r w:rsidR="001A3DFE" w:rsidRPr="00C3630C">
        <w:rPr>
          <w:rFonts w:ascii="Calibri Light" w:hAnsi="Calibri Light"/>
          <w:b w:val="0"/>
          <w:bCs w:val="0"/>
          <w:color w:val="21286C"/>
          <w:sz w:val="21"/>
          <w:szCs w:val="20"/>
          <w:lang w:val="el-GR" w:bidi="el-GR"/>
        </w:rPr>
        <w:t>υψηλά</w:t>
      </w:r>
      <w:r w:rsidRPr="00C3630C">
        <w:rPr>
          <w:rFonts w:ascii="Calibri Light" w:hAnsi="Calibri Light"/>
          <w:b w:val="0"/>
          <w:bCs w:val="0"/>
          <w:color w:val="21286C"/>
          <w:sz w:val="21"/>
          <w:szCs w:val="20"/>
          <w:lang w:val="el-GR" w:bidi="el-GR"/>
        </w:rPr>
        <w:t xml:space="preserve"> επίπεδα</w:t>
      </w:r>
      <w:r w:rsidR="00F50D12">
        <w:rPr>
          <w:rFonts w:ascii="Calibri Light" w:hAnsi="Calibri Light"/>
          <w:b w:val="0"/>
          <w:bCs w:val="0"/>
          <w:color w:val="21286C"/>
          <w:sz w:val="21"/>
          <w:szCs w:val="20"/>
          <w:lang w:val="el-GR" w:bidi="el-GR"/>
        </w:rPr>
        <w:t xml:space="preserve"> καθώς και</w:t>
      </w:r>
      <w:r w:rsidR="00BB30D5">
        <w:rPr>
          <w:rFonts w:ascii="Calibri Light" w:hAnsi="Calibri Light"/>
          <w:b w:val="0"/>
          <w:bCs w:val="0"/>
          <w:color w:val="21286C"/>
          <w:sz w:val="21"/>
          <w:szCs w:val="20"/>
          <w:lang w:val="el-GR" w:bidi="el-GR"/>
        </w:rPr>
        <w:t xml:space="preserve"> οι</w:t>
      </w:r>
      <w:r w:rsidRPr="00C3630C">
        <w:rPr>
          <w:rFonts w:ascii="Calibri Light" w:hAnsi="Calibri Light"/>
          <w:b w:val="0"/>
          <w:bCs w:val="0"/>
          <w:color w:val="21286C"/>
          <w:sz w:val="21"/>
          <w:szCs w:val="20"/>
          <w:lang w:val="el-GR" w:bidi="el-GR"/>
        </w:rPr>
        <w:t xml:space="preserve"> λειτουργικές συνέργειες, σε </w:t>
      </w:r>
      <w:r w:rsidR="00B62C59">
        <w:rPr>
          <w:rFonts w:ascii="Calibri Light" w:hAnsi="Calibri Light"/>
          <w:b w:val="0"/>
          <w:bCs w:val="0"/>
          <w:color w:val="21286C"/>
          <w:sz w:val="21"/>
          <w:szCs w:val="20"/>
          <w:lang w:val="el-GR" w:bidi="el-GR"/>
        </w:rPr>
        <w:t>συνδυασμό</w:t>
      </w:r>
      <w:r w:rsidR="00873A93">
        <w:rPr>
          <w:rFonts w:ascii="Calibri Light" w:hAnsi="Calibri Light"/>
          <w:b w:val="0"/>
          <w:bCs w:val="0"/>
          <w:color w:val="21286C"/>
          <w:sz w:val="21"/>
          <w:szCs w:val="20"/>
          <w:lang w:val="el-GR" w:bidi="el-GR"/>
        </w:rPr>
        <w:t xml:space="preserve"> με τους </w:t>
      </w:r>
      <w:r w:rsidR="00B62C59">
        <w:rPr>
          <w:rFonts w:ascii="Calibri Light" w:hAnsi="Calibri Light"/>
          <w:b w:val="0"/>
          <w:bCs w:val="0"/>
          <w:color w:val="21286C"/>
          <w:sz w:val="21"/>
          <w:szCs w:val="20"/>
          <w:lang w:val="el-GR" w:bidi="el-GR"/>
        </w:rPr>
        <w:t>υψηλότερους όγκους,</w:t>
      </w:r>
      <w:r w:rsidRPr="00C3630C">
        <w:rPr>
          <w:rFonts w:ascii="Calibri Light" w:hAnsi="Calibri Light"/>
          <w:b w:val="0"/>
          <w:bCs w:val="0"/>
          <w:color w:val="21286C"/>
          <w:sz w:val="21"/>
          <w:szCs w:val="20"/>
          <w:lang w:val="el-GR" w:bidi="el-GR"/>
        </w:rPr>
        <w:t xml:space="preserve"> οδήγησ</w:t>
      </w:r>
      <w:r w:rsidR="00873A93">
        <w:rPr>
          <w:rFonts w:ascii="Calibri Light" w:hAnsi="Calibri Light"/>
          <w:b w:val="0"/>
          <w:bCs w:val="0"/>
          <w:color w:val="21286C"/>
          <w:sz w:val="21"/>
          <w:szCs w:val="20"/>
          <w:lang w:val="el-GR" w:bidi="el-GR"/>
        </w:rPr>
        <w:t>αν</w:t>
      </w:r>
      <w:r w:rsidRPr="00C3630C">
        <w:rPr>
          <w:rFonts w:ascii="Calibri Light" w:hAnsi="Calibri Light"/>
          <w:b w:val="0"/>
          <w:bCs w:val="0"/>
          <w:color w:val="21286C"/>
          <w:sz w:val="21"/>
          <w:szCs w:val="20"/>
          <w:lang w:val="el-GR" w:bidi="el-GR"/>
        </w:rPr>
        <w:t xml:space="preserve"> σε α</w:t>
      </w:r>
      <w:r w:rsidR="00900444" w:rsidRPr="00C3630C">
        <w:rPr>
          <w:rFonts w:ascii="Calibri Light" w:hAnsi="Calibri Light"/>
          <w:b w:val="0"/>
          <w:bCs w:val="0"/>
          <w:color w:val="21286C"/>
          <w:sz w:val="21"/>
          <w:szCs w:val="20"/>
          <w:lang w:val="el-GR" w:bidi="el-GR"/>
        </w:rPr>
        <w:t xml:space="preserve">ύξηση των πωλήσεων και των κερδών </w:t>
      </w:r>
      <w:r w:rsidRPr="00C3630C">
        <w:rPr>
          <w:rFonts w:ascii="Calibri Light" w:hAnsi="Calibri Light"/>
          <w:b w:val="0"/>
          <w:bCs w:val="0"/>
          <w:color w:val="21286C"/>
          <w:sz w:val="21"/>
          <w:szCs w:val="20"/>
          <w:lang w:val="el-GR" w:bidi="el-GR"/>
        </w:rPr>
        <w:t xml:space="preserve">σε δολάρια ΗΠΑ </w:t>
      </w:r>
      <w:r w:rsidR="00BB133F" w:rsidRPr="00C3630C">
        <w:rPr>
          <w:rFonts w:ascii="Calibri Light" w:hAnsi="Calibri Light"/>
          <w:b w:val="0"/>
          <w:bCs w:val="0"/>
          <w:color w:val="21286C"/>
          <w:sz w:val="21"/>
          <w:szCs w:val="20"/>
          <w:lang w:val="el-GR" w:bidi="el-GR"/>
        </w:rPr>
        <w:t xml:space="preserve">τόσο σε επίπεδο τριμήνου όσο και εννεαμήνου. </w:t>
      </w:r>
      <w:r w:rsidRPr="00C3630C">
        <w:rPr>
          <w:rFonts w:ascii="Calibri Light" w:hAnsi="Calibri Light"/>
          <w:b w:val="0"/>
          <w:bCs w:val="0"/>
          <w:color w:val="21286C"/>
          <w:sz w:val="21"/>
          <w:szCs w:val="20"/>
          <w:lang w:val="el-GR" w:bidi="el-GR"/>
        </w:rPr>
        <w:t xml:space="preserve">Η Νοτιοανατολική Ευρώπη κατέγραψε </w:t>
      </w:r>
      <w:r w:rsidR="00850373" w:rsidRPr="00C3630C">
        <w:rPr>
          <w:rFonts w:ascii="Calibri Light" w:hAnsi="Calibri Light"/>
          <w:b w:val="0"/>
          <w:bCs w:val="0"/>
          <w:color w:val="21286C"/>
          <w:sz w:val="21"/>
          <w:szCs w:val="20"/>
          <w:lang w:val="el-GR" w:bidi="el-GR"/>
        </w:rPr>
        <w:t>ισχυρές επιδόσεις</w:t>
      </w:r>
      <w:r w:rsidRPr="00C3630C">
        <w:rPr>
          <w:rFonts w:ascii="Calibri Light" w:hAnsi="Calibri Light"/>
          <w:b w:val="0"/>
          <w:bCs w:val="0"/>
          <w:color w:val="21286C"/>
          <w:sz w:val="21"/>
          <w:szCs w:val="20"/>
          <w:lang w:val="el-GR" w:bidi="el-GR"/>
        </w:rPr>
        <w:t xml:space="preserve"> το τρίτο τρίμηνο, με αύξηση του όγκου πωλήσεων στις περισσότερες χώρες και σταθερά επίπεδα τιμών, αντιστρέφοντας τις </w:t>
      </w:r>
      <w:r w:rsidR="00173BE8">
        <w:rPr>
          <w:rFonts w:ascii="Calibri Light" w:hAnsi="Calibri Light"/>
          <w:b w:val="0"/>
          <w:bCs w:val="0"/>
          <w:color w:val="21286C"/>
          <w:sz w:val="21"/>
          <w:szCs w:val="20"/>
          <w:lang w:val="el-GR" w:bidi="el-GR"/>
        </w:rPr>
        <w:t>χαμηλότερες</w:t>
      </w:r>
      <w:r w:rsidRPr="00C3630C">
        <w:rPr>
          <w:rFonts w:ascii="Calibri Light" w:hAnsi="Calibri Light"/>
          <w:b w:val="0"/>
          <w:bCs w:val="0"/>
          <w:color w:val="21286C"/>
          <w:sz w:val="21"/>
          <w:szCs w:val="20"/>
          <w:lang w:val="el-GR" w:bidi="el-GR"/>
        </w:rPr>
        <w:t xml:space="preserve"> επιδόσεις που σημειώθηκαν νωρίτερα φέτος. Στην Ανατολική Μεσόγειο, μετά την </w:t>
      </w:r>
      <w:r w:rsidR="00D51277">
        <w:rPr>
          <w:rFonts w:ascii="Calibri Light" w:hAnsi="Calibri Light"/>
          <w:b w:val="0"/>
          <w:bCs w:val="0"/>
          <w:color w:val="21286C"/>
          <w:sz w:val="21"/>
          <w:szCs w:val="20"/>
          <w:lang w:val="el-GR" w:bidi="el-GR"/>
        </w:rPr>
        <w:t>αλλαγή της γεωγραφικής παρουσίας</w:t>
      </w:r>
      <w:r w:rsidRPr="00C3630C">
        <w:rPr>
          <w:rFonts w:ascii="Calibri Light" w:hAnsi="Calibri Light"/>
          <w:b w:val="0"/>
          <w:bCs w:val="0"/>
          <w:color w:val="21286C"/>
          <w:sz w:val="21"/>
          <w:szCs w:val="20"/>
          <w:lang w:val="el-GR" w:bidi="el-GR"/>
        </w:rPr>
        <w:t xml:space="preserve"> </w:t>
      </w:r>
      <w:r w:rsidR="006E6FA4" w:rsidRPr="00C3630C">
        <w:rPr>
          <w:rFonts w:ascii="Calibri Light" w:hAnsi="Calibri Light"/>
          <w:b w:val="0"/>
          <w:bCs w:val="0"/>
          <w:color w:val="21286C"/>
          <w:sz w:val="21"/>
          <w:szCs w:val="20"/>
          <w:lang w:val="el-GR" w:bidi="el-GR"/>
        </w:rPr>
        <w:t xml:space="preserve">του Ομίλου λόγω </w:t>
      </w:r>
      <w:r w:rsidRPr="00C3630C">
        <w:rPr>
          <w:rFonts w:ascii="Calibri Light" w:hAnsi="Calibri Light"/>
          <w:b w:val="0"/>
          <w:bCs w:val="0"/>
          <w:color w:val="21286C"/>
          <w:sz w:val="21"/>
          <w:szCs w:val="20"/>
          <w:lang w:val="el-GR" w:bidi="el-GR"/>
        </w:rPr>
        <w:t xml:space="preserve">της πώλησης της Adocim στην Τουρκία τον Μάιο του 2025, </w:t>
      </w:r>
      <w:r w:rsidR="003E1C64" w:rsidRPr="00C3630C">
        <w:rPr>
          <w:rFonts w:ascii="Calibri Light" w:hAnsi="Calibri Light"/>
          <w:b w:val="0"/>
          <w:bCs w:val="0"/>
          <w:color w:val="21286C"/>
          <w:sz w:val="21"/>
          <w:szCs w:val="20"/>
          <w:lang w:val="el-GR" w:bidi="el-GR"/>
        </w:rPr>
        <w:t xml:space="preserve">η Αίγυπτος αποτέλεσε την κύρια πηγή </w:t>
      </w:r>
      <w:r w:rsidRPr="00C3630C">
        <w:rPr>
          <w:rFonts w:ascii="Calibri Light" w:hAnsi="Calibri Light"/>
          <w:b w:val="0"/>
          <w:bCs w:val="0"/>
          <w:color w:val="21286C"/>
          <w:sz w:val="21"/>
          <w:szCs w:val="20"/>
          <w:lang w:val="el-GR" w:bidi="el-GR"/>
        </w:rPr>
        <w:t xml:space="preserve">εσόδων και </w:t>
      </w:r>
      <w:r w:rsidR="00EF46C2" w:rsidRPr="00C3630C">
        <w:rPr>
          <w:rFonts w:ascii="Calibri Light" w:hAnsi="Calibri Light"/>
          <w:b w:val="0"/>
          <w:bCs w:val="0"/>
          <w:color w:val="21286C"/>
          <w:sz w:val="21"/>
          <w:szCs w:val="20"/>
          <w:lang w:val="el-GR" w:bidi="el-GR"/>
        </w:rPr>
        <w:t xml:space="preserve">κερδοφορίας. </w:t>
      </w:r>
      <w:r w:rsidRPr="00C3630C">
        <w:rPr>
          <w:rFonts w:ascii="Calibri Light" w:hAnsi="Calibri Light"/>
          <w:b w:val="0"/>
          <w:bCs w:val="0"/>
          <w:color w:val="21286C"/>
          <w:sz w:val="21"/>
          <w:szCs w:val="20"/>
          <w:lang w:val="el-GR" w:bidi="el-GR"/>
        </w:rPr>
        <w:t xml:space="preserve">Η χώρα </w:t>
      </w:r>
      <w:r w:rsidR="00EF46C2" w:rsidRPr="00C3630C">
        <w:rPr>
          <w:rFonts w:ascii="Calibri Light" w:hAnsi="Calibri Light"/>
          <w:b w:val="0"/>
          <w:bCs w:val="0"/>
          <w:color w:val="21286C"/>
          <w:sz w:val="21"/>
          <w:szCs w:val="20"/>
          <w:lang w:val="el-GR" w:bidi="el-GR"/>
        </w:rPr>
        <w:t xml:space="preserve">σημείωσε </w:t>
      </w:r>
      <w:r w:rsidR="00E80C81" w:rsidRPr="00C3630C">
        <w:rPr>
          <w:rFonts w:ascii="Calibri Light" w:hAnsi="Calibri Light"/>
          <w:b w:val="0"/>
          <w:bCs w:val="0"/>
          <w:color w:val="21286C"/>
          <w:sz w:val="21"/>
          <w:szCs w:val="20"/>
          <w:lang w:val="el-GR" w:bidi="el-GR"/>
        </w:rPr>
        <w:t>εξαιρετικές ε</w:t>
      </w:r>
      <w:r w:rsidRPr="00C3630C">
        <w:rPr>
          <w:rFonts w:ascii="Calibri Light" w:hAnsi="Calibri Light"/>
          <w:b w:val="0"/>
          <w:bCs w:val="0"/>
          <w:color w:val="21286C"/>
          <w:sz w:val="21"/>
          <w:szCs w:val="20"/>
          <w:lang w:val="el-GR" w:bidi="el-GR"/>
        </w:rPr>
        <w:t xml:space="preserve">πιδόσεις, </w:t>
      </w:r>
      <w:r w:rsidR="00055ED4" w:rsidRPr="00C3630C">
        <w:rPr>
          <w:rFonts w:ascii="Calibri Light" w:hAnsi="Calibri Light"/>
          <w:b w:val="0"/>
          <w:bCs w:val="0"/>
          <w:color w:val="21286C"/>
          <w:sz w:val="21"/>
          <w:szCs w:val="20"/>
          <w:lang w:val="el-GR" w:bidi="el-GR"/>
        </w:rPr>
        <w:t xml:space="preserve">με ισχυρές εγχώριες και εξαγωγικές </w:t>
      </w:r>
      <w:r w:rsidRPr="00C3630C">
        <w:rPr>
          <w:rFonts w:ascii="Calibri Light" w:hAnsi="Calibri Light"/>
          <w:b w:val="0"/>
          <w:bCs w:val="0"/>
          <w:color w:val="21286C"/>
          <w:sz w:val="21"/>
          <w:szCs w:val="20"/>
          <w:lang w:val="el-GR" w:bidi="el-GR"/>
        </w:rPr>
        <w:t>πωλήσεις</w:t>
      </w:r>
      <w:r w:rsidR="00055ED4" w:rsidRPr="00C3630C">
        <w:rPr>
          <w:rFonts w:ascii="Calibri Light" w:hAnsi="Calibri Light"/>
          <w:b w:val="0"/>
          <w:bCs w:val="0"/>
          <w:color w:val="21286C"/>
          <w:sz w:val="21"/>
          <w:szCs w:val="20"/>
          <w:lang w:val="el-GR" w:bidi="el-GR"/>
        </w:rPr>
        <w:t>, ενισχυμένες από ε</w:t>
      </w:r>
      <w:r w:rsidRPr="00C3630C">
        <w:rPr>
          <w:rFonts w:ascii="Calibri Light" w:hAnsi="Calibri Light"/>
          <w:b w:val="0"/>
          <w:bCs w:val="0"/>
          <w:color w:val="21286C"/>
          <w:sz w:val="21"/>
          <w:szCs w:val="20"/>
          <w:lang w:val="el-GR" w:bidi="el-GR"/>
        </w:rPr>
        <w:t xml:space="preserve">υνοϊκά επίπεδα τιμών. Τα καθαρά κέρδη του Ομίλου μετά από φόρους &amp; δικαιώματα μειοψηφίας (NPAT) </w:t>
      </w:r>
      <w:r w:rsidR="00B90C17" w:rsidRPr="00C3630C">
        <w:rPr>
          <w:rFonts w:ascii="Calibri Light" w:hAnsi="Calibri Light"/>
          <w:b w:val="0"/>
          <w:bCs w:val="0"/>
          <w:color w:val="21286C"/>
          <w:sz w:val="21"/>
          <w:szCs w:val="20"/>
          <w:lang w:val="el-GR" w:bidi="el-GR"/>
        </w:rPr>
        <w:t xml:space="preserve">για το τρίτο τρίμηνο </w:t>
      </w:r>
      <w:r w:rsidRPr="00C3630C">
        <w:rPr>
          <w:rFonts w:ascii="Calibri Light" w:hAnsi="Calibri Light"/>
          <w:b w:val="0"/>
          <w:bCs w:val="0"/>
          <w:color w:val="21286C"/>
          <w:sz w:val="21"/>
          <w:szCs w:val="20"/>
          <w:lang w:val="el-GR" w:bidi="el-GR"/>
        </w:rPr>
        <w:t>διαμορφώθηκαν στα €</w:t>
      </w:r>
      <w:r w:rsidR="00100C01" w:rsidRPr="00C3630C">
        <w:rPr>
          <w:rFonts w:ascii="Calibri Light" w:hAnsi="Calibri Light"/>
          <w:b w:val="0"/>
          <w:bCs w:val="0"/>
          <w:color w:val="21286C"/>
          <w:sz w:val="21"/>
          <w:szCs w:val="20"/>
          <w:lang w:val="el-GR" w:bidi="el-GR"/>
        </w:rPr>
        <w:t>102,4</w:t>
      </w:r>
      <w:r w:rsidRPr="00C3630C">
        <w:rPr>
          <w:rFonts w:ascii="Calibri Light" w:hAnsi="Calibri Light"/>
          <w:b w:val="0"/>
          <w:bCs w:val="0"/>
          <w:color w:val="21286C"/>
          <w:sz w:val="21"/>
          <w:szCs w:val="20"/>
          <w:lang w:val="el-GR" w:bidi="el-GR"/>
        </w:rPr>
        <w:t xml:space="preserve"> εκ., </w:t>
      </w:r>
      <w:r w:rsidR="00203F4A" w:rsidRPr="00C3630C">
        <w:rPr>
          <w:rFonts w:ascii="Calibri Light" w:hAnsi="Calibri Light"/>
          <w:b w:val="0"/>
          <w:bCs w:val="0"/>
          <w:color w:val="21286C"/>
          <w:sz w:val="21"/>
          <w:szCs w:val="20"/>
          <w:lang w:val="el-GR" w:bidi="el-GR"/>
        </w:rPr>
        <w:t>έναντι</w:t>
      </w:r>
      <w:r w:rsidRPr="00C3630C">
        <w:rPr>
          <w:rFonts w:ascii="Calibri Light" w:hAnsi="Calibri Light"/>
          <w:b w:val="0"/>
          <w:bCs w:val="0"/>
          <w:color w:val="21286C"/>
          <w:sz w:val="21"/>
          <w:szCs w:val="20"/>
          <w:lang w:val="el-GR" w:bidi="el-GR"/>
        </w:rPr>
        <w:t xml:space="preserve"> €</w:t>
      </w:r>
      <w:r w:rsidR="00100C01" w:rsidRPr="00C3630C">
        <w:rPr>
          <w:rFonts w:ascii="Calibri Light" w:hAnsi="Calibri Light"/>
          <w:b w:val="0"/>
          <w:bCs w:val="0"/>
          <w:color w:val="21286C"/>
          <w:sz w:val="21"/>
          <w:szCs w:val="20"/>
          <w:lang w:val="el-GR" w:bidi="el-GR"/>
        </w:rPr>
        <w:t xml:space="preserve">75,9 </w:t>
      </w:r>
      <w:r w:rsidRPr="00C3630C">
        <w:rPr>
          <w:rFonts w:ascii="Calibri Light" w:hAnsi="Calibri Light"/>
          <w:b w:val="0"/>
          <w:bCs w:val="0"/>
          <w:color w:val="21286C"/>
          <w:sz w:val="21"/>
          <w:szCs w:val="20"/>
          <w:lang w:val="el-GR" w:bidi="el-GR"/>
        </w:rPr>
        <w:t xml:space="preserve">εκ. </w:t>
      </w:r>
      <w:r w:rsidR="00203F4A" w:rsidRPr="00C3630C">
        <w:rPr>
          <w:rFonts w:ascii="Calibri Light" w:hAnsi="Calibri Light"/>
          <w:b w:val="0"/>
          <w:bCs w:val="0"/>
          <w:color w:val="21286C"/>
          <w:sz w:val="21"/>
          <w:szCs w:val="20"/>
          <w:lang w:val="el-GR" w:bidi="el-GR"/>
        </w:rPr>
        <w:t xml:space="preserve">την αντίστοιχη περίοδο </w:t>
      </w:r>
      <w:r w:rsidRPr="00C3630C">
        <w:rPr>
          <w:rFonts w:ascii="Calibri Light" w:hAnsi="Calibri Light"/>
          <w:b w:val="0"/>
          <w:bCs w:val="0"/>
          <w:color w:val="21286C"/>
          <w:sz w:val="21"/>
          <w:szCs w:val="20"/>
          <w:lang w:val="el-GR" w:bidi="el-GR"/>
        </w:rPr>
        <w:t>πέρυσι</w:t>
      </w:r>
      <w:r w:rsidRPr="00C3630C" w:rsidDel="00F50D12">
        <w:rPr>
          <w:rFonts w:ascii="Calibri Light" w:hAnsi="Calibri Light"/>
          <w:b w:val="0"/>
          <w:bCs w:val="0"/>
          <w:color w:val="21286C"/>
          <w:sz w:val="21"/>
          <w:szCs w:val="20"/>
          <w:lang w:val="el-GR" w:bidi="el-GR"/>
        </w:rPr>
        <w:t>, ενώ τα αντίστοιχα</w:t>
      </w:r>
      <w:r w:rsidR="00031E9C">
        <w:rPr>
          <w:rFonts w:ascii="Calibri Light" w:hAnsi="Calibri Light"/>
          <w:b w:val="0"/>
          <w:bCs w:val="0"/>
          <w:color w:val="21286C"/>
          <w:sz w:val="21"/>
          <w:szCs w:val="20"/>
          <w:lang w:val="el-GR" w:bidi="el-GR"/>
        </w:rPr>
        <w:t xml:space="preserve"> </w:t>
      </w:r>
      <w:r w:rsidRPr="00C3630C">
        <w:rPr>
          <w:rFonts w:ascii="Calibri Light" w:hAnsi="Calibri Light"/>
          <w:b w:val="0"/>
          <w:bCs w:val="0"/>
          <w:color w:val="21286C"/>
          <w:sz w:val="21"/>
          <w:szCs w:val="20"/>
          <w:lang w:val="el-GR" w:bidi="el-GR"/>
        </w:rPr>
        <w:t>κέρδη εννεαμήνου διαμορφώθηκαν σε €</w:t>
      </w:r>
      <w:r w:rsidR="0020545B" w:rsidRPr="00C3630C">
        <w:rPr>
          <w:rFonts w:ascii="Calibri Light" w:hAnsi="Calibri Light"/>
          <w:b w:val="0"/>
          <w:bCs w:val="0"/>
          <w:color w:val="21286C"/>
          <w:sz w:val="21"/>
          <w:szCs w:val="20"/>
          <w:lang w:val="el-GR" w:bidi="el-GR"/>
        </w:rPr>
        <w:t>22</w:t>
      </w:r>
      <w:r w:rsidR="002A0494" w:rsidRPr="00C3630C">
        <w:rPr>
          <w:rFonts w:ascii="Calibri Light" w:hAnsi="Calibri Light"/>
          <w:b w:val="0"/>
          <w:bCs w:val="0"/>
          <w:color w:val="21286C"/>
          <w:sz w:val="21"/>
          <w:szCs w:val="20"/>
          <w:lang w:val="el-GR" w:bidi="el-GR"/>
        </w:rPr>
        <w:t>2,7</w:t>
      </w:r>
      <w:r w:rsidRPr="00C3630C">
        <w:rPr>
          <w:rFonts w:ascii="Calibri Light" w:hAnsi="Calibri Light"/>
          <w:b w:val="0"/>
          <w:bCs w:val="0"/>
          <w:color w:val="21286C"/>
          <w:sz w:val="21"/>
          <w:szCs w:val="20"/>
          <w:lang w:val="el-GR" w:bidi="el-GR"/>
        </w:rPr>
        <w:t xml:space="preserve"> εκ., </w:t>
      </w:r>
      <w:r w:rsidR="004D6AB0" w:rsidRPr="00C3630C">
        <w:rPr>
          <w:rFonts w:ascii="Calibri Light" w:hAnsi="Calibri Light"/>
          <w:b w:val="0"/>
          <w:bCs w:val="0"/>
          <w:color w:val="21286C"/>
          <w:sz w:val="21"/>
          <w:szCs w:val="20"/>
          <w:lang w:val="el-GR" w:bidi="el-GR"/>
        </w:rPr>
        <w:t>ανα</w:t>
      </w:r>
      <w:r w:rsidR="0033332D" w:rsidRPr="00C3630C">
        <w:rPr>
          <w:rFonts w:ascii="Calibri Light" w:hAnsi="Calibri Light"/>
          <w:b w:val="0"/>
          <w:bCs w:val="0"/>
          <w:color w:val="21286C"/>
          <w:sz w:val="21"/>
          <w:szCs w:val="20"/>
          <w:lang w:val="el-GR" w:bidi="el-GR"/>
        </w:rPr>
        <w:t>προσαρμοσμένα</w:t>
      </w:r>
      <w:r w:rsidR="00701F73" w:rsidRPr="00C3630C">
        <w:rPr>
          <w:rFonts w:ascii="Calibri Light" w:hAnsi="Calibri Light"/>
          <w:b w:val="0"/>
          <w:bCs w:val="0"/>
          <w:color w:val="21286C"/>
          <w:sz w:val="21"/>
          <w:szCs w:val="20"/>
          <w:lang w:val="el-GR" w:bidi="el-GR"/>
        </w:rPr>
        <w:t xml:space="preserve"> </w:t>
      </w:r>
      <w:r w:rsidR="00677E22" w:rsidRPr="00C3630C">
        <w:rPr>
          <w:rFonts w:ascii="Calibri Light" w:hAnsi="Calibri Light"/>
          <w:b w:val="0"/>
          <w:bCs w:val="0"/>
          <w:color w:val="21286C"/>
          <w:sz w:val="21"/>
          <w:szCs w:val="20"/>
          <w:lang w:val="el-GR" w:bidi="el-GR"/>
        </w:rPr>
        <w:t xml:space="preserve">για τη </w:t>
      </w:r>
      <w:r w:rsidR="00EB77CE" w:rsidRPr="00C3630C">
        <w:rPr>
          <w:rFonts w:ascii="Calibri Light" w:hAnsi="Calibri Light"/>
          <w:b w:val="0"/>
          <w:bCs w:val="0"/>
          <w:color w:val="21286C"/>
          <w:sz w:val="21"/>
          <w:szCs w:val="20"/>
          <w:lang w:val="el-GR" w:bidi="el-GR"/>
        </w:rPr>
        <w:t>μη επαναλαμβανόμεν</w:t>
      </w:r>
      <w:r w:rsidR="00677E22" w:rsidRPr="00C3630C">
        <w:rPr>
          <w:rFonts w:ascii="Calibri Light" w:hAnsi="Calibri Light"/>
          <w:b w:val="0"/>
          <w:bCs w:val="0"/>
          <w:color w:val="21286C"/>
          <w:sz w:val="21"/>
          <w:szCs w:val="20"/>
          <w:lang w:val="el-GR" w:bidi="el-GR"/>
        </w:rPr>
        <w:t>η ζημία</w:t>
      </w:r>
      <w:r w:rsidR="00413561" w:rsidRPr="00C3630C">
        <w:rPr>
          <w:rFonts w:ascii="Calibri Light" w:hAnsi="Calibri Light"/>
          <w:b w:val="0"/>
          <w:bCs w:val="0"/>
          <w:color w:val="21286C"/>
          <w:sz w:val="21"/>
          <w:szCs w:val="20"/>
          <w:lang w:val="el-GR" w:bidi="el-GR"/>
        </w:rPr>
        <w:t xml:space="preserve"> </w:t>
      </w:r>
      <w:r w:rsidR="00E4630B" w:rsidRPr="00C3630C">
        <w:rPr>
          <w:rFonts w:ascii="Calibri Light" w:hAnsi="Calibri Light"/>
          <w:b w:val="0"/>
          <w:bCs w:val="0"/>
          <w:color w:val="21286C"/>
          <w:sz w:val="21"/>
          <w:szCs w:val="20"/>
          <w:lang w:val="el-GR" w:bidi="el-GR"/>
        </w:rPr>
        <w:t>ύψους</w:t>
      </w:r>
      <w:r w:rsidR="00272A17" w:rsidRPr="00C3630C">
        <w:rPr>
          <w:rFonts w:ascii="Calibri Light" w:hAnsi="Calibri Light"/>
          <w:b w:val="0"/>
          <w:bCs w:val="0"/>
          <w:color w:val="21286C"/>
          <w:sz w:val="21"/>
          <w:szCs w:val="20"/>
          <w:lang w:val="el-GR" w:bidi="el-GR"/>
        </w:rPr>
        <w:t xml:space="preserve"> </w:t>
      </w:r>
      <w:r w:rsidRPr="00C3630C">
        <w:rPr>
          <w:rFonts w:ascii="Calibri Light" w:hAnsi="Calibri Light"/>
          <w:b w:val="0"/>
          <w:bCs w:val="0"/>
          <w:color w:val="21286C"/>
          <w:sz w:val="21"/>
          <w:szCs w:val="20"/>
          <w:lang w:val="el-GR" w:bidi="el-GR"/>
        </w:rPr>
        <w:t>€</w:t>
      </w:r>
      <w:r w:rsidR="00092B0D" w:rsidRPr="00C3630C">
        <w:rPr>
          <w:rFonts w:ascii="Calibri Light" w:hAnsi="Calibri Light"/>
          <w:b w:val="0"/>
          <w:bCs w:val="0"/>
          <w:color w:val="21286C"/>
          <w:sz w:val="21"/>
          <w:szCs w:val="20"/>
          <w:lang w:val="el-GR" w:bidi="el-GR"/>
        </w:rPr>
        <w:t>51,9</w:t>
      </w:r>
      <w:r w:rsidRPr="00C3630C">
        <w:rPr>
          <w:rFonts w:ascii="Calibri Light" w:hAnsi="Calibri Light"/>
          <w:b w:val="0"/>
          <w:bCs w:val="0"/>
          <w:color w:val="21286C"/>
          <w:sz w:val="21"/>
          <w:szCs w:val="20"/>
          <w:lang w:val="el-GR" w:bidi="el-GR"/>
        </w:rPr>
        <w:t xml:space="preserve"> εκ. </w:t>
      </w:r>
      <w:r w:rsidR="003B47AF" w:rsidRPr="00C3630C">
        <w:rPr>
          <w:rFonts w:ascii="Calibri Light" w:hAnsi="Calibri Light"/>
          <w:b w:val="0"/>
          <w:bCs w:val="0"/>
          <w:color w:val="21286C"/>
          <w:sz w:val="21"/>
          <w:szCs w:val="20"/>
          <w:lang w:val="el-GR" w:bidi="el-GR"/>
        </w:rPr>
        <w:t xml:space="preserve">από την </w:t>
      </w:r>
      <w:r w:rsidRPr="00C3630C">
        <w:rPr>
          <w:rFonts w:ascii="Calibri Light" w:hAnsi="Calibri Light"/>
          <w:b w:val="0"/>
          <w:bCs w:val="0"/>
          <w:color w:val="21286C"/>
          <w:sz w:val="21"/>
          <w:szCs w:val="20"/>
          <w:lang w:val="el-GR" w:bidi="el-GR"/>
        </w:rPr>
        <w:t xml:space="preserve">πώληση της Adocim, η οποία αποτυπώθηκε </w:t>
      </w:r>
      <w:r w:rsidR="003B47AF" w:rsidRPr="00C3630C">
        <w:rPr>
          <w:rFonts w:ascii="Calibri Light" w:hAnsi="Calibri Light"/>
          <w:b w:val="0"/>
          <w:bCs w:val="0"/>
          <w:color w:val="21286C"/>
          <w:sz w:val="21"/>
          <w:szCs w:val="20"/>
          <w:lang w:val="el-GR" w:bidi="el-GR"/>
        </w:rPr>
        <w:t>σ</w:t>
      </w:r>
      <w:r w:rsidRPr="00C3630C">
        <w:rPr>
          <w:rFonts w:ascii="Calibri Light" w:hAnsi="Calibri Light"/>
          <w:b w:val="0"/>
          <w:bCs w:val="0"/>
          <w:color w:val="21286C"/>
          <w:sz w:val="21"/>
          <w:szCs w:val="20"/>
          <w:lang w:val="el-GR" w:bidi="el-GR"/>
        </w:rPr>
        <w:t>το δεύτερο τρίμηνο του 2025, έναντι €</w:t>
      </w:r>
      <w:r w:rsidR="00092B0D" w:rsidRPr="00C3630C">
        <w:rPr>
          <w:rFonts w:ascii="Calibri Light" w:hAnsi="Calibri Light"/>
          <w:b w:val="0"/>
          <w:bCs w:val="0"/>
          <w:color w:val="21286C"/>
          <w:sz w:val="21"/>
          <w:szCs w:val="20"/>
          <w:lang w:val="el-GR" w:bidi="el-GR"/>
        </w:rPr>
        <w:t>224,6</w:t>
      </w:r>
      <w:r w:rsidRPr="00C3630C">
        <w:rPr>
          <w:rFonts w:ascii="Calibri Light" w:hAnsi="Calibri Light"/>
          <w:b w:val="0"/>
          <w:bCs w:val="0"/>
          <w:color w:val="21286C"/>
          <w:sz w:val="21"/>
          <w:szCs w:val="20"/>
          <w:lang w:val="el-GR" w:bidi="el-GR"/>
        </w:rPr>
        <w:t xml:space="preserve"> εκ. την ίδια περίοδο πέρυσι. Χάρη στις </w:t>
      </w:r>
      <w:r w:rsidR="004945B9" w:rsidRPr="00C3630C">
        <w:rPr>
          <w:rFonts w:ascii="Calibri Light" w:hAnsi="Calibri Light"/>
          <w:b w:val="0"/>
          <w:bCs w:val="0"/>
          <w:color w:val="21286C"/>
          <w:sz w:val="21"/>
          <w:szCs w:val="20"/>
          <w:lang w:val="el-GR" w:bidi="el-GR"/>
        </w:rPr>
        <w:t xml:space="preserve">ισχυρές </w:t>
      </w:r>
      <w:r w:rsidRPr="00C3630C">
        <w:rPr>
          <w:rFonts w:ascii="Calibri Light" w:hAnsi="Calibri Light"/>
          <w:b w:val="0"/>
          <w:bCs w:val="0"/>
          <w:color w:val="21286C"/>
          <w:sz w:val="21"/>
          <w:szCs w:val="20"/>
          <w:lang w:val="el-GR" w:bidi="el-GR"/>
        </w:rPr>
        <w:t xml:space="preserve">επιδόσεις του τρίτου τριμήνου, ο Όμιλος κατέγραψε </w:t>
      </w:r>
      <w:r w:rsidR="00993DCF" w:rsidRPr="00C3630C">
        <w:rPr>
          <w:rFonts w:ascii="Calibri Light" w:hAnsi="Calibri Light"/>
          <w:b w:val="0"/>
          <w:bCs w:val="0"/>
          <w:color w:val="21286C"/>
          <w:sz w:val="21"/>
          <w:szCs w:val="20"/>
          <w:lang w:val="el-GR" w:bidi="el-GR"/>
        </w:rPr>
        <w:t xml:space="preserve">υψηλά </w:t>
      </w:r>
      <w:r w:rsidRPr="00C3630C">
        <w:rPr>
          <w:rFonts w:ascii="Calibri Light" w:hAnsi="Calibri Light"/>
          <w:b w:val="0"/>
          <w:bCs w:val="0"/>
          <w:color w:val="21286C"/>
          <w:sz w:val="21"/>
          <w:szCs w:val="20"/>
          <w:lang w:val="el-GR" w:bidi="el-GR"/>
        </w:rPr>
        <w:t xml:space="preserve">αποτελέσματα για το εννεάμηνο, </w:t>
      </w:r>
      <w:r w:rsidR="00993DCF" w:rsidRPr="00C3630C">
        <w:rPr>
          <w:rFonts w:ascii="Calibri Light" w:hAnsi="Calibri Light"/>
          <w:b w:val="0"/>
          <w:bCs w:val="0"/>
          <w:color w:val="21286C"/>
          <w:sz w:val="21"/>
          <w:szCs w:val="20"/>
          <w:lang w:val="el-GR" w:bidi="el-GR"/>
        </w:rPr>
        <w:t xml:space="preserve">με τις </w:t>
      </w:r>
      <w:r w:rsidRPr="00C3630C">
        <w:rPr>
          <w:rFonts w:ascii="Calibri Light" w:hAnsi="Calibri Light"/>
          <w:b w:val="0"/>
          <w:bCs w:val="0"/>
          <w:color w:val="21286C"/>
          <w:sz w:val="21"/>
          <w:szCs w:val="20"/>
          <w:lang w:val="el-GR" w:bidi="el-GR"/>
        </w:rPr>
        <w:t xml:space="preserve">πωλήσεις </w:t>
      </w:r>
      <w:r w:rsidR="00993DCF" w:rsidRPr="00C3630C">
        <w:rPr>
          <w:rFonts w:ascii="Calibri Light" w:hAnsi="Calibri Light"/>
          <w:b w:val="0"/>
          <w:bCs w:val="0"/>
          <w:color w:val="21286C"/>
          <w:sz w:val="21"/>
          <w:szCs w:val="20"/>
          <w:lang w:val="el-GR" w:bidi="el-GR"/>
        </w:rPr>
        <w:t>να ξεπερνούν</w:t>
      </w:r>
      <w:r w:rsidRPr="00C3630C">
        <w:rPr>
          <w:rFonts w:ascii="Calibri Light" w:hAnsi="Calibri Light"/>
          <w:b w:val="0"/>
          <w:bCs w:val="0"/>
          <w:color w:val="21286C"/>
          <w:sz w:val="21"/>
          <w:szCs w:val="20"/>
          <w:lang w:val="el-GR" w:bidi="el-GR"/>
        </w:rPr>
        <w:t xml:space="preserve"> </w:t>
      </w:r>
      <w:r w:rsidR="0087170F">
        <w:rPr>
          <w:rFonts w:ascii="Calibri Light" w:hAnsi="Calibri Light"/>
          <w:b w:val="0"/>
          <w:bCs w:val="0"/>
          <w:color w:val="21286C"/>
          <w:sz w:val="21"/>
          <w:szCs w:val="20"/>
          <w:lang w:val="el-GR" w:bidi="el-GR"/>
        </w:rPr>
        <w:t>τα επίπεδα</w:t>
      </w:r>
      <w:r w:rsidRPr="00C3630C">
        <w:rPr>
          <w:rFonts w:ascii="Calibri Light" w:hAnsi="Calibri Light"/>
          <w:b w:val="0"/>
          <w:color w:val="21286C"/>
          <w:sz w:val="21"/>
          <w:szCs w:val="20"/>
          <w:lang w:val="el-GR" w:bidi="el-GR"/>
        </w:rPr>
        <w:t xml:space="preserve"> των €</w:t>
      </w:r>
      <w:r w:rsidR="00381FF1" w:rsidRPr="00C3630C">
        <w:rPr>
          <w:rFonts w:ascii="Calibri Light" w:hAnsi="Calibri Light"/>
          <w:b w:val="0"/>
          <w:color w:val="21286C"/>
          <w:sz w:val="21"/>
          <w:szCs w:val="20"/>
          <w:lang w:val="el-GR" w:bidi="el-GR"/>
        </w:rPr>
        <w:t>2</w:t>
      </w:r>
      <w:r w:rsidRPr="00C3630C">
        <w:rPr>
          <w:rFonts w:ascii="Calibri Light" w:hAnsi="Calibri Light"/>
          <w:b w:val="0"/>
          <w:bCs w:val="0"/>
          <w:color w:val="21286C"/>
          <w:sz w:val="21"/>
          <w:szCs w:val="20"/>
          <w:lang w:val="el-GR" w:bidi="el-GR"/>
        </w:rPr>
        <w:t xml:space="preserve"> δι</w:t>
      </w:r>
      <w:r w:rsidR="0097584F">
        <w:rPr>
          <w:rFonts w:ascii="Calibri Light" w:hAnsi="Calibri Light"/>
          <w:b w:val="0"/>
          <w:bCs w:val="0"/>
          <w:color w:val="21286C"/>
          <w:sz w:val="21"/>
          <w:szCs w:val="20"/>
          <w:lang w:val="el-GR" w:bidi="el-GR"/>
        </w:rPr>
        <w:t>σ.</w:t>
      </w:r>
      <w:r w:rsidRPr="00C3630C">
        <w:rPr>
          <w:rFonts w:ascii="Calibri Light" w:hAnsi="Calibri Light"/>
          <w:b w:val="0"/>
          <w:bCs w:val="0"/>
          <w:color w:val="21286C"/>
          <w:sz w:val="21"/>
          <w:szCs w:val="20"/>
          <w:lang w:val="el-GR" w:bidi="el-GR"/>
        </w:rPr>
        <w:t xml:space="preserve"> και </w:t>
      </w:r>
      <w:r w:rsidR="0032300E" w:rsidRPr="00C3630C">
        <w:rPr>
          <w:rFonts w:ascii="Calibri Light" w:hAnsi="Calibri Light"/>
          <w:b w:val="0"/>
          <w:bCs w:val="0"/>
          <w:color w:val="21286C"/>
          <w:sz w:val="21"/>
          <w:szCs w:val="20"/>
          <w:lang w:val="el-GR" w:bidi="el-GR"/>
        </w:rPr>
        <w:t xml:space="preserve">να διαμορφώνονται </w:t>
      </w:r>
      <w:r w:rsidRPr="00C3630C">
        <w:rPr>
          <w:rFonts w:ascii="Calibri Light" w:hAnsi="Calibri Light"/>
          <w:b w:val="0"/>
          <w:bCs w:val="0"/>
          <w:color w:val="21286C"/>
          <w:sz w:val="21"/>
          <w:szCs w:val="20"/>
          <w:lang w:val="el-GR" w:bidi="el-GR"/>
        </w:rPr>
        <w:t>σε €</w:t>
      </w:r>
      <w:r w:rsidR="00381FF1" w:rsidRPr="00C3630C">
        <w:rPr>
          <w:rFonts w:ascii="Calibri Light" w:hAnsi="Calibri Light"/>
          <w:b w:val="0"/>
          <w:bCs w:val="0"/>
          <w:color w:val="21286C"/>
          <w:sz w:val="21"/>
          <w:szCs w:val="20"/>
          <w:lang w:val="el-GR" w:bidi="el-GR"/>
        </w:rPr>
        <w:t>2.012,5</w:t>
      </w:r>
      <w:r w:rsidRPr="00C3630C">
        <w:rPr>
          <w:rFonts w:ascii="Calibri Light" w:hAnsi="Calibri Light"/>
          <w:b w:val="0"/>
          <w:bCs w:val="0"/>
          <w:color w:val="21286C"/>
          <w:sz w:val="21"/>
          <w:szCs w:val="20"/>
          <w:lang w:val="el-GR" w:bidi="el-GR"/>
        </w:rPr>
        <w:t xml:space="preserve"> εκ., σημειώνοντας αύξηση </w:t>
      </w:r>
      <w:r w:rsidR="00381FF1" w:rsidRPr="00C3630C">
        <w:rPr>
          <w:rFonts w:ascii="Calibri Light" w:hAnsi="Calibri Light"/>
          <w:b w:val="0"/>
          <w:bCs w:val="0"/>
          <w:color w:val="21286C"/>
          <w:sz w:val="21"/>
          <w:szCs w:val="20"/>
          <w:lang w:val="el-GR" w:bidi="el-GR"/>
        </w:rPr>
        <w:t>1,4</w:t>
      </w:r>
      <w:r w:rsidRPr="00C3630C">
        <w:rPr>
          <w:rFonts w:ascii="Calibri Light" w:hAnsi="Calibri Light"/>
          <w:b w:val="0"/>
          <w:bCs w:val="0"/>
          <w:color w:val="21286C"/>
          <w:sz w:val="21"/>
          <w:szCs w:val="20"/>
          <w:lang w:val="el-GR" w:bidi="el-GR"/>
        </w:rPr>
        <w:t xml:space="preserve">% έναντι της αντίστοιχης περιόδου πέρυσι. Τα κέρδη EBITDA αυξήθηκαν κατά </w:t>
      </w:r>
      <w:r w:rsidR="00381FF1" w:rsidRPr="00C3630C">
        <w:rPr>
          <w:rFonts w:ascii="Calibri Light" w:hAnsi="Calibri Light"/>
          <w:b w:val="0"/>
          <w:bCs w:val="0"/>
          <w:color w:val="21286C"/>
          <w:sz w:val="21"/>
          <w:szCs w:val="20"/>
          <w:lang w:val="el-GR" w:bidi="el-GR"/>
        </w:rPr>
        <w:t>8,4</w:t>
      </w:r>
      <w:r w:rsidRPr="00C3630C">
        <w:rPr>
          <w:rFonts w:ascii="Calibri Light" w:hAnsi="Calibri Light"/>
          <w:b w:val="0"/>
          <w:bCs w:val="0"/>
          <w:color w:val="21286C"/>
          <w:sz w:val="21"/>
          <w:szCs w:val="20"/>
          <w:lang w:val="el-GR" w:bidi="el-GR"/>
        </w:rPr>
        <w:t>% (+</w:t>
      </w:r>
      <w:r w:rsidR="00381FF1" w:rsidRPr="00C3630C">
        <w:rPr>
          <w:rFonts w:ascii="Calibri Light" w:hAnsi="Calibri Light"/>
          <w:b w:val="0"/>
          <w:bCs w:val="0"/>
          <w:color w:val="21286C"/>
          <w:sz w:val="21"/>
          <w:szCs w:val="20"/>
          <w:lang w:val="el-GR" w:bidi="el-GR"/>
        </w:rPr>
        <w:t>13</w:t>
      </w:r>
      <w:r w:rsidRPr="00C3630C">
        <w:rPr>
          <w:rFonts w:ascii="Calibri Light" w:hAnsi="Calibri Light"/>
          <w:b w:val="0"/>
          <w:bCs w:val="0"/>
          <w:color w:val="21286C"/>
          <w:sz w:val="21"/>
          <w:szCs w:val="20"/>
          <w:lang w:val="el-GR" w:bidi="el-GR"/>
        </w:rPr>
        <w:t>%, μετά την αναπροσαρμογή για την πώληση της Adocim και τον αντίκτυπο των συναλλαγματικών ισοτιμιών) και διαμορφώθηκαν σε €</w:t>
      </w:r>
      <w:r w:rsidR="001030BA" w:rsidRPr="00C3630C">
        <w:rPr>
          <w:rFonts w:ascii="Calibri Light" w:hAnsi="Calibri Light"/>
          <w:b w:val="0"/>
          <w:bCs w:val="0"/>
          <w:color w:val="21286C"/>
          <w:sz w:val="21"/>
          <w:szCs w:val="20"/>
          <w:lang w:val="el-GR" w:bidi="el-GR"/>
        </w:rPr>
        <w:t>473,6</w:t>
      </w:r>
      <w:r w:rsidRPr="00C3630C">
        <w:rPr>
          <w:rFonts w:ascii="Calibri Light" w:hAnsi="Calibri Light"/>
          <w:b w:val="0"/>
          <w:bCs w:val="0"/>
          <w:color w:val="21286C"/>
          <w:sz w:val="21"/>
          <w:szCs w:val="20"/>
          <w:lang w:val="el-GR" w:bidi="el-GR"/>
        </w:rPr>
        <w:t xml:space="preserve"> εκ.</w:t>
      </w:r>
      <w:r w:rsidR="001030BA" w:rsidRPr="00C3630C">
        <w:rPr>
          <w:rFonts w:ascii="Calibri Light" w:hAnsi="Calibri Light"/>
          <w:b w:val="0"/>
          <w:bCs w:val="0"/>
          <w:color w:val="21286C"/>
          <w:sz w:val="21"/>
          <w:szCs w:val="20"/>
          <w:lang w:val="el-GR" w:bidi="el-GR"/>
        </w:rPr>
        <w:t xml:space="preserve"> </w:t>
      </w:r>
      <w:r w:rsidRPr="00C3630C">
        <w:rPr>
          <w:rFonts w:ascii="Calibri Light" w:hAnsi="Calibri Light"/>
          <w:b w:val="0"/>
          <w:bCs w:val="0"/>
          <w:color w:val="21286C"/>
          <w:sz w:val="21"/>
          <w:szCs w:val="20"/>
          <w:lang w:val="el-GR" w:bidi="el-GR"/>
        </w:rPr>
        <w:t xml:space="preserve">Για το εννεάμηνο, οι </w:t>
      </w:r>
      <w:r w:rsidRPr="00855423">
        <w:rPr>
          <w:rFonts w:ascii="Calibri Light" w:hAnsi="Calibri Light"/>
          <w:b w:val="0"/>
          <w:color w:val="21286C"/>
          <w:sz w:val="21"/>
          <w:szCs w:val="20"/>
          <w:lang w:val="el-GR" w:bidi="el-GR"/>
        </w:rPr>
        <w:t>εγχώριες</w:t>
      </w:r>
      <w:r w:rsidRPr="00C3630C">
        <w:rPr>
          <w:rFonts w:ascii="Calibri Light" w:hAnsi="Calibri Light"/>
          <w:b w:val="0"/>
          <w:bCs w:val="0"/>
          <w:color w:val="21286C"/>
          <w:sz w:val="21"/>
          <w:szCs w:val="20"/>
          <w:lang w:val="el-GR" w:bidi="el-GR"/>
        </w:rPr>
        <w:t xml:space="preserve"> πωλήσεις τσιμέντου έφτασαν σε </w:t>
      </w:r>
      <w:r w:rsidR="001030BA" w:rsidRPr="00C3630C">
        <w:rPr>
          <w:rFonts w:ascii="Calibri Light" w:hAnsi="Calibri Light"/>
          <w:b w:val="0"/>
          <w:bCs w:val="0"/>
          <w:color w:val="21286C"/>
          <w:sz w:val="21"/>
          <w:szCs w:val="20"/>
          <w:lang w:val="el-GR" w:bidi="el-GR"/>
        </w:rPr>
        <w:t>13,2</w:t>
      </w:r>
      <w:r w:rsidRPr="00C3630C">
        <w:rPr>
          <w:rFonts w:ascii="Calibri Light" w:hAnsi="Calibri Light"/>
          <w:b w:val="0"/>
          <w:bCs w:val="0"/>
          <w:color w:val="21286C"/>
          <w:sz w:val="21"/>
          <w:szCs w:val="20"/>
          <w:lang w:val="el-GR" w:bidi="el-GR"/>
        </w:rPr>
        <w:t xml:space="preserve"> εκ</w:t>
      </w:r>
      <w:r w:rsidR="001030BA" w:rsidRPr="00C3630C">
        <w:rPr>
          <w:rFonts w:ascii="Calibri Light" w:hAnsi="Calibri Light"/>
          <w:b w:val="0"/>
          <w:bCs w:val="0"/>
          <w:color w:val="21286C"/>
          <w:sz w:val="21"/>
          <w:szCs w:val="20"/>
          <w:lang w:val="el-GR" w:bidi="el-GR"/>
        </w:rPr>
        <w:t xml:space="preserve">. </w:t>
      </w:r>
      <w:r w:rsidRPr="00C3630C">
        <w:rPr>
          <w:rFonts w:ascii="Calibri Light" w:hAnsi="Calibri Light"/>
          <w:b w:val="0"/>
          <w:bCs w:val="0"/>
          <w:color w:val="21286C"/>
          <w:sz w:val="21"/>
          <w:szCs w:val="20"/>
          <w:lang w:val="el-GR" w:bidi="el-GR"/>
        </w:rPr>
        <w:t xml:space="preserve">τόνους, σημειώνοντας αύξηση </w:t>
      </w:r>
      <w:r w:rsidR="00E5024C" w:rsidRPr="00C3630C">
        <w:rPr>
          <w:rFonts w:ascii="Calibri Light" w:hAnsi="Calibri Light"/>
          <w:b w:val="0"/>
          <w:bCs w:val="0"/>
          <w:color w:val="21286C"/>
          <w:sz w:val="21"/>
          <w:szCs w:val="20"/>
          <w:lang w:val="el-GR" w:bidi="el-GR"/>
        </w:rPr>
        <w:t>1,7</w:t>
      </w:r>
      <w:r w:rsidRPr="00C3630C">
        <w:rPr>
          <w:rFonts w:ascii="Calibri Light" w:hAnsi="Calibri Light"/>
          <w:b w:val="0"/>
          <w:bCs w:val="0"/>
          <w:color w:val="21286C"/>
          <w:sz w:val="21"/>
          <w:szCs w:val="20"/>
          <w:lang w:val="el-GR" w:bidi="el-GR"/>
        </w:rPr>
        <w:t>% μετά την αναπροσαρμογή για την πώληση της Adocim τον Μάιο 2025 (</w:t>
      </w:r>
      <w:r w:rsidR="00E5024C" w:rsidRPr="00C3630C">
        <w:rPr>
          <w:rFonts w:ascii="Calibri Light" w:hAnsi="Calibri Light"/>
          <w:b w:val="0"/>
          <w:bCs w:val="0"/>
          <w:color w:val="21286C"/>
          <w:sz w:val="21"/>
          <w:szCs w:val="20"/>
          <w:lang w:val="el-GR" w:bidi="el-GR"/>
        </w:rPr>
        <w:t>-1</w:t>
      </w:r>
      <w:r w:rsidRPr="00C3630C">
        <w:rPr>
          <w:rFonts w:ascii="Calibri Light" w:hAnsi="Calibri Light"/>
          <w:b w:val="0"/>
          <w:bCs w:val="0"/>
          <w:color w:val="21286C"/>
          <w:sz w:val="21"/>
          <w:szCs w:val="20"/>
          <w:lang w:val="el-GR" w:bidi="el-GR"/>
        </w:rPr>
        <w:t>% βάσει των δημοσι</w:t>
      </w:r>
      <w:r w:rsidR="00BE0370" w:rsidRPr="00C3630C">
        <w:rPr>
          <w:rFonts w:ascii="Calibri Light" w:hAnsi="Calibri Light"/>
          <w:b w:val="0"/>
          <w:bCs w:val="0"/>
          <w:color w:val="21286C"/>
          <w:sz w:val="21"/>
          <w:szCs w:val="20"/>
          <w:lang w:val="el-GR" w:bidi="el-GR"/>
        </w:rPr>
        <w:t>ευμένων</w:t>
      </w:r>
      <w:r w:rsidRPr="00C3630C">
        <w:rPr>
          <w:rFonts w:ascii="Calibri Light" w:hAnsi="Calibri Light"/>
          <w:b w:val="0"/>
          <w:bCs w:val="0"/>
          <w:color w:val="21286C"/>
          <w:sz w:val="21"/>
          <w:szCs w:val="20"/>
          <w:lang w:val="el-GR" w:bidi="el-GR"/>
        </w:rPr>
        <w:t xml:space="preserve"> </w:t>
      </w:r>
      <w:r w:rsidR="006B5AB6" w:rsidRPr="00C3630C">
        <w:rPr>
          <w:rFonts w:ascii="Calibri Light" w:hAnsi="Calibri Light"/>
          <w:b w:val="0"/>
          <w:bCs w:val="0"/>
          <w:color w:val="21286C"/>
          <w:sz w:val="21"/>
          <w:szCs w:val="20"/>
          <w:lang w:val="el-GR" w:bidi="el-GR"/>
        </w:rPr>
        <w:t>στοιχείων</w:t>
      </w:r>
      <w:r w:rsidRPr="00C3630C">
        <w:rPr>
          <w:rFonts w:ascii="Calibri Light" w:hAnsi="Calibri Light"/>
          <w:b w:val="0"/>
          <w:bCs w:val="0"/>
          <w:color w:val="21286C"/>
          <w:sz w:val="21"/>
          <w:szCs w:val="20"/>
          <w:lang w:val="el-GR" w:bidi="el-GR"/>
        </w:rPr>
        <w:t xml:space="preserve">). Οι όγκοι πωλήσεων έτοιμου σκυροδέματος αυξήθηκαν κατά </w:t>
      </w:r>
      <w:r w:rsidR="00E5024C" w:rsidRPr="00C3630C">
        <w:rPr>
          <w:rFonts w:ascii="Calibri Light" w:hAnsi="Calibri Light"/>
          <w:b w:val="0"/>
          <w:bCs w:val="0"/>
          <w:color w:val="21286C"/>
          <w:sz w:val="21"/>
          <w:szCs w:val="20"/>
          <w:lang w:val="el-GR" w:bidi="el-GR"/>
        </w:rPr>
        <w:t>4</w:t>
      </w:r>
      <w:r w:rsidRPr="00C3630C">
        <w:rPr>
          <w:rFonts w:ascii="Calibri Light" w:hAnsi="Calibri Light"/>
          <w:b w:val="0"/>
          <w:bCs w:val="0"/>
          <w:color w:val="21286C"/>
          <w:sz w:val="21"/>
          <w:szCs w:val="20"/>
          <w:lang w:val="el-GR" w:bidi="el-GR"/>
        </w:rPr>
        <w:t>%</w:t>
      </w:r>
      <w:r w:rsidR="006B5AB6" w:rsidRPr="00C3630C">
        <w:rPr>
          <w:rFonts w:ascii="Calibri Light" w:hAnsi="Calibri Light"/>
          <w:b w:val="0"/>
          <w:bCs w:val="0"/>
          <w:color w:val="21286C"/>
          <w:sz w:val="21"/>
          <w:szCs w:val="20"/>
          <w:lang w:val="el-GR" w:bidi="el-GR"/>
        </w:rPr>
        <w:t xml:space="preserve">, ενώ οι πωλήσεις </w:t>
      </w:r>
      <w:r w:rsidRPr="00C3630C">
        <w:rPr>
          <w:rFonts w:ascii="Calibri Light" w:hAnsi="Calibri Light"/>
          <w:b w:val="0"/>
          <w:bCs w:val="0"/>
          <w:color w:val="21286C"/>
          <w:sz w:val="21"/>
          <w:szCs w:val="20"/>
          <w:lang w:val="el-GR" w:bidi="el-GR"/>
        </w:rPr>
        <w:t xml:space="preserve">αδρανών υλικών σημείωσαν </w:t>
      </w:r>
      <w:r w:rsidR="00F72D2F" w:rsidRPr="00C3630C">
        <w:rPr>
          <w:rFonts w:ascii="Calibri Light" w:hAnsi="Calibri Light"/>
          <w:b w:val="0"/>
          <w:bCs w:val="0"/>
          <w:color w:val="21286C"/>
          <w:sz w:val="21"/>
          <w:szCs w:val="20"/>
          <w:lang w:val="el-GR" w:bidi="el-GR"/>
        </w:rPr>
        <w:t xml:space="preserve">ισχυρή </w:t>
      </w:r>
      <w:r w:rsidRPr="00C3630C">
        <w:rPr>
          <w:rFonts w:ascii="Calibri Light" w:hAnsi="Calibri Light"/>
          <w:b w:val="0"/>
          <w:bCs w:val="0"/>
          <w:color w:val="21286C"/>
          <w:sz w:val="21"/>
          <w:szCs w:val="20"/>
          <w:lang w:val="el-GR" w:bidi="el-GR"/>
        </w:rPr>
        <w:t xml:space="preserve">άνοδο κατά </w:t>
      </w:r>
      <w:r w:rsidR="00E5024C" w:rsidRPr="00C3630C">
        <w:rPr>
          <w:rFonts w:ascii="Calibri Light" w:hAnsi="Calibri Light"/>
          <w:b w:val="0"/>
          <w:bCs w:val="0"/>
          <w:color w:val="21286C"/>
          <w:sz w:val="21"/>
          <w:szCs w:val="20"/>
          <w:lang w:val="el-GR" w:bidi="el-GR"/>
        </w:rPr>
        <w:t>11</w:t>
      </w:r>
      <w:r w:rsidRPr="00C3630C">
        <w:rPr>
          <w:rFonts w:ascii="Calibri Light" w:hAnsi="Calibri Light"/>
          <w:b w:val="0"/>
          <w:bCs w:val="0"/>
          <w:color w:val="21286C"/>
          <w:sz w:val="21"/>
          <w:szCs w:val="20"/>
          <w:lang w:val="el-GR" w:bidi="el-GR"/>
        </w:rPr>
        <w:t>%, χάρη στις στρατηγικές επενδύσεις στις ΗΠΑ και στην Ελλάδα.</w:t>
      </w:r>
      <w:r w:rsidRPr="00C3630C">
        <w:rPr>
          <w:rFonts w:ascii="Calibri Light" w:hAnsi="Calibri Light"/>
          <w:b w:val="0"/>
          <w:bCs w:val="0"/>
          <w:color w:val="21286C"/>
          <w:sz w:val="21"/>
          <w:szCs w:val="20"/>
          <w:lang w:val="el-GR" w:bidi="el-GR"/>
        </w:rPr>
        <w:tab/>
      </w:r>
    </w:p>
    <w:p w14:paraId="25ED12AE" w14:textId="77777777" w:rsidR="00E5024C" w:rsidRPr="00C3630C" w:rsidRDefault="00E5024C" w:rsidP="001729B1">
      <w:pPr>
        <w:pStyle w:val="C"/>
        <w:spacing w:after="0" w:line="240" w:lineRule="auto"/>
        <w:jc w:val="both"/>
        <w:rPr>
          <w:rFonts w:ascii="Calibri Light" w:hAnsi="Calibri Light"/>
          <w:b w:val="0"/>
          <w:bCs w:val="0"/>
          <w:color w:val="21286C"/>
          <w:sz w:val="21"/>
          <w:szCs w:val="20"/>
          <w:lang w:val="el-GR" w:bidi="el-GR"/>
        </w:rPr>
      </w:pPr>
    </w:p>
    <w:p w14:paraId="6002C812" w14:textId="443CE678" w:rsidR="00D20C6E" w:rsidRPr="00C3630C" w:rsidRDefault="0095674A" w:rsidP="00896EA9">
      <w:pPr>
        <w:pStyle w:val="C"/>
        <w:spacing w:line="240" w:lineRule="auto"/>
        <w:jc w:val="both"/>
        <w:rPr>
          <w:rFonts w:eastAsia="Times New Roman"/>
          <w:b w:val="0"/>
          <w:color w:val="21286C"/>
          <w:sz w:val="27"/>
          <w:szCs w:val="27"/>
          <w:lang w:val="el-GR" w:eastAsia="el-GR"/>
        </w:rPr>
      </w:pPr>
      <w:r w:rsidRPr="00C3630C">
        <w:rPr>
          <w:rFonts w:ascii="Arial" w:hAnsi="Arial"/>
          <w:noProof/>
          <w:color w:val="21286C"/>
        </w:rPr>
        <mc:AlternateContent>
          <mc:Choice Requires="wps">
            <w:drawing>
              <wp:anchor distT="0" distB="0" distL="114300" distR="114300" simplePos="0" relativeHeight="251658245" behindDoc="0" locked="0" layoutInCell="1" allowOverlap="1" wp14:anchorId="553CF094" wp14:editId="542092F8">
                <wp:simplePos x="0" y="0"/>
                <wp:positionH relativeFrom="column">
                  <wp:posOffset>-53340</wp:posOffset>
                </wp:positionH>
                <wp:positionV relativeFrom="paragraph">
                  <wp:posOffset>196850</wp:posOffset>
                </wp:positionV>
                <wp:extent cx="6204585" cy="0"/>
                <wp:effectExtent l="0" t="0" r="5715" b="12700"/>
                <wp:wrapNone/>
                <wp:docPr id="51814387" name="Straight Connector 51814387"/>
                <wp:cNvGraphicFramePr/>
                <a:graphic xmlns:a="http://schemas.openxmlformats.org/drawingml/2006/main">
                  <a:graphicData uri="http://schemas.microsoft.com/office/word/2010/wordprocessingShape">
                    <wps:wsp>
                      <wps:cNvCnPr/>
                      <wps:spPr>
                        <a:xfrm>
                          <a:off x="0" y="0"/>
                          <a:ext cx="6204585"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2AC5E" id="Straight Connector 51814387"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15.5pt" to="484.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" strokecolor="#00183d" strokeweight=".25pt"/>
            </w:pict>
          </mc:Fallback>
        </mc:AlternateContent>
      </w:r>
      <w:r w:rsidR="00D20C6E" w:rsidRPr="00C3630C">
        <w:rPr>
          <w:rFonts w:eastAsia="Calibri"/>
          <w:noProof/>
          <w:color w:val="21286C"/>
          <w:lang w:val="el-GR" w:eastAsia="el-GR"/>
        </w:rPr>
        <w:t>Χρηματοδότηση και Επενδύσεις</w:t>
      </w:r>
    </w:p>
    <w:p w14:paraId="1B7A628E" w14:textId="249CB5A4" w:rsidR="00D20C6E" w:rsidRPr="00D75B8D" w:rsidRDefault="00CE694C" w:rsidP="00983A85">
      <w:pPr>
        <w:pStyle w:val="C"/>
        <w:spacing w:line="240" w:lineRule="auto"/>
        <w:jc w:val="both"/>
        <w:rPr>
          <w:rFonts w:ascii="Calibri Light" w:hAnsi="Calibri Light"/>
          <w:b w:val="0"/>
          <w:bCs w:val="0"/>
          <w:color w:val="21286C"/>
          <w:sz w:val="21"/>
          <w:szCs w:val="20"/>
          <w:lang w:val="el-GR"/>
        </w:rPr>
      </w:pPr>
      <w:r w:rsidRPr="00C3630C">
        <w:rPr>
          <w:rFonts w:ascii="Calibri Light" w:hAnsi="Calibri Light"/>
          <w:b w:val="0"/>
          <w:bCs w:val="0"/>
          <w:color w:val="21286C"/>
          <w:sz w:val="21"/>
          <w:szCs w:val="20"/>
          <w:lang w:val="el-GR"/>
        </w:rPr>
        <w:t>Οι ελεύθερες ταμειακές ροές του Ομίλου</w:t>
      </w:r>
      <w:r w:rsidR="00BA6B4E">
        <w:rPr>
          <w:rFonts w:ascii="Calibri Light" w:hAnsi="Calibri Light"/>
          <w:b w:val="0"/>
          <w:bCs w:val="0"/>
          <w:color w:val="21286C"/>
          <w:sz w:val="21"/>
          <w:szCs w:val="20"/>
          <w:lang w:val="el-GR"/>
        </w:rPr>
        <w:t xml:space="preserve"> </w:t>
      </w:r>
      <w:r w:rsidR="00BA6B4E" w:rsidRPr="00C3630C">
        <w:rPr>
          <w:rFonts w:ascii="Calibri Light" w:hAnsi="Calibri Light"/>
          <w:b w:val="0"/>
          <w:bCs w:val="0"/>
          <w:color w:val="21286C"/>
          <w:sz w:val="21"/>
          <w:szCs w:val="20"/>
          <w:lang w:val="el-GR"/>
        </w:rPr>
        <w:t>ανήλθαν σε €</w:t>
      </w:r>
      <w:r w:rsidR="00D81E54" w:rsidRPr="00D81E54">
        <w:rPr>
          <w:rFonts w:ascii="Calibri Light" w:hAnsi="Calibri Light"/>
          <w:b w:val="0"/>
          <w:bCs w:val="0"/>
          <w:color w:val="21286C"/>
          <w:sz w:val="21"/>
          <w:szCs w:val="20"/>
          <w:lang w:val="el-GR"/>
        </w:rPr>
        <w:t>30</w:t>
      </w:r>
      <w:r w:rsidR="006B3C7A" w:rsidRPr="00387787">
        <w:rPr>
          <w:rFonts w:ascii="Calibri Light" w:hAnsi="Calibri Light"/>
          <w:b w:val="0"/>
          <w:bCs w:val="0"/>
          <w:color w:val="21286C"/>
          <w:sz w:val="21"/>
          <w:szCs w:val="20"/>
          <w:lang w:val="el-GR"/>
        </w:rPr>
        <w:t>7</w:t>
      </w:r>
      <w:r w:rsidR="00BA6B4E" w:rsidRPr="00C3630C">
        <w:rPr>
          <w:rFonts w:ascii="Calibri Light" w:hAnsi="Calibri Light"/>
          <w:b w:val="0"/>
          <w:bCs w:val="0"/>
          <w:color w:val="21286C"/>
          <w:sz w:val="21"/>
          <w:szCs w:val="20"/>
          <w:lang w:val="el-GR"/>
        </w:rPr>
        <w:t xml:space="preserve"> εκ.</w:t>
      </w:r>
      <w:r w:rsidRPr="00C3630C">
        <w:rPr>
          <w:rFonts w:ascii="Calibri Light" w:hAnsi="Calibri Light"/>
          <w:b w:val="0"/>
          <w:bCs w:val="0"/>
          <w:color w:val="21286C"/>
          <w:sz w:val="21"/>
          <w:szCs w:val="20"/>
          <w:lang w:val="el-GR"/>
        </w:rPr>
        <w:t xml:space="preserve"> κατά το εννεάμηνο του 2025, </w:t>
      </w:r>
      <w:r w:rsidR="00A55BD2" w:rsidRPr="00C3630C">
        <w:rPr>
          <w:rFonts w:ascii="Calibri Light" w:hAnsi="Calibri Light"/>
          <w:b w:val="0"/>
          <w:bCs w:val="0"/>
          <w:color w:val="21286C"/>
          <w:sz w:val="21"/>
          <w:szCs w:val="20"/>
          <w:lang w:val="el-GR"/>
        </w:rPr>
        <w:t>έναντι</w:t>
      </w:r>
      <w:r w:rsidRPr="00C3630C">
        <w:rPr>
          <w:rFonts w:ascii="Calibri Light" w:hAnsi="Calibri Light"/>
          <w:b w:val="0"/>
          <w:bCs w:val="0"/>
          <w:color w:val="21286C"/>
          <w:sz w:val="21"/>
          <w:szCs w:val="20"/>
          <w:lang w:val="el-GR"/>
        </w:rPr>
        <w:t xml:space="preserve"> €</w:t>
      </w:r>
      <w:r w:rsidR="00315577" w:rsidRPr="00315577">
        <w:rPr>
          <w:rFonts w:ascii="Calibri Light" w:hAnsi="Calibri Light"/>
          <w:b w:val="0"/>
          <w:bCs w:val="0"/>
          <w:color w:val="21286C"/>
          <w:sz w:val="21"/>
          <w:szCs w:val="20"/>
          <w:lang w:val="el-GR"/>
        </w:rPr>
        <w:t>2</w:t>
      </w:r>
      <w:r w:rsidR="006B3C7A" w:rsidRPr="00387787">
        <w:rPr>
          <w:rFonts w:ascii="Calibri Light" w:hAnsi="Calibri Light"/>
          <w:b w:val="0"/>
          <w:bCs w:val="0"/>
          <w:color w:val="21286C"/>
          <w:sz w:val="21"/>
          <w:szCs w:val="20"/>
          <w:lang w:val="el-GR"/>
        </w:rPr>
        <w:t>75</w:t>
      </w:r>
      <w:r w:rsidRPr="00C3630C">
        <w:rPr>
          <w:rFonts w:ascii="Calibri Light" w:hAnsi="Calibri Light"/>
          <w:b w:val="0"/>
          <w:bCs w:val="0"/>
          <w:color w:val="21286C"/>
          <w:sz w:val="21"/>
          <w:szCs w:val="20"/>
          <w:lang w:val="el-GR"/>
        </w:rPr>
        <w:t xml:space="preserve"> εκ. τον Σεπτέμβριο</w:t>
      </w:r>
      <w:r w:rsidR="00170F7F" w:rsidRPr="00C3630C">
        <w:rPr>
          <w:rFonts w:ascii="Calibri Light" w:hAnsi="Calibri Light"/>
          <w:b w:val="0"/>
          <w:bCs w:val="0"/>
          <w:color w:val="21286C"/>
          <w:sz w:val="21"/>
          <w:szCs w:val="20"/>
          <w:lang w:val="el-GR"/>
        </w:rPr>
        <w:t xml:space="preserve"> του</w:t>
      </w:r>
      <w:r w:rsidRPr="00C3630C">
        <w:rPr>
          <w:rFonts w:ascii="Calibri Light" w:hAnsi="Calibri Light"/>
          <w:b w:val="0"/>
          <w:bCs w:val="0"/>
          <w:color w:val="21286C"/>
          <w:sz w:val="21"/>
          <w:szCs w:val="20"/>
          <w:lang w:val="el-GR"/>
        </w:rPr>
        <w:t xml:space="preserve"> 2024, </w:t>
      </w:r>
      <w:r w:rsidR="00170F7F" w:rsidRPr="00C3630C">
        <w:rPr>
          <w:rFonts w:ascii="Calibri Light" w:hAnsi="Calibri Light"/>
          <w:b w:val="0"/>
          <w:bCs w:val="0"/>
          <w:color w:val="21286C"/>
          <w:sz w:val="21"/>
          <w:szCs w:val="20"/>
          <w:lang w:val="el-GR"/>
        </w:rPr>
        <w:t xml:space="preserve">αντανακλώντας </w:t>
      </w:r>
      <w:r w:rsidRPr="00C3630C">
        <w:rPr>
          <w:rFonts w:ascii="Calibri Light" w:hAnsi="Calibri Light"/>
          <w:b w:val="0"/>
          <w:color w:val="21286C"/>
          <w:sz w:val="21"/>
          <w:szCs w:val="20"/>
          <w:lang w:val="el-GR"/>
        </w:rPr>
        <w:t>τις βελτιωμένες επιδόσεις στα κέρδη EBITDA</w:t>
      </w:r>
      <w:r w:rsidRPr="00C3630C">
        <w:rPr>
          <w:rFonts w:ascii="Calibri Light" w:hAnsi="Calibri Light"/>
          <w:b w:val="0"/>
          <w:bCs w:val="0"/>
          <w:color w:val="21286C"/>
          <w:sz w:val="21"/>
          <w:szCs w:val="20"/>
          <w:lang w:val="el-GR"/>
        </w:rPr>
        <w:t xml:space="preserve">. Οι επενδυτικές δαπάνες </w:t>
      </w:r>
      <w:r w:rsidR="00B13AD4" w:rsidRPr="00C3630C">
        <w:rPr>
          <w:rFonts w:ascii="Calibri Light" w:hAnsi="Calibri Light"/>
          <w:b w:val="0"/>
          <w:bCs w:val="0"/>
          <w:color w:val="21286C"/>
          <w:sz w:val="21"/>
          <w:szCs w:val="20"/>
          <w:lang w:val="el-GR"/>
        </w:rPr>
        <w:t xml:space="preserve">παρέμειναν </w:t>
      </w:r>
      <w:r w:rsidRPr="00C3630C">
        <w:rPr>
          <w:rFonts w:ascii="Calibri Light" w:hAnsi="Calibri Light"/>
          <w:b w:val="0"/>
          <w:bCs w:val="0"/>
          <w:color w:val="21286C"/>
          <w:sz w:val="21"/>
          <w:szCs w:val="20"/>
          <w:lang w:val="el-GR"/>
        </w:rPr>
        <w:t>σε υψηλά επίπεδα και διαμορφώθηκαν σε €</w:t>
      </w:r>
      <w:r w:rsidR="009D7E1B" w:rsidRPr="00C3630C">
        <w:rPr>
          <w:rFonts w:ascii="Calibri Light" w:hAnsi="Calibri Light"/>
          <w:b w:val="0"/>
          <w:bCs w:val="0"/>
          <w:color w:val="21286C"/>
          <w:sz w:val="21"/>
          <w:szCs w:val="20"/>
          <w:lang w:val="el-GR"/>
        </w:rPr>
        <w:t>185</w:t>
      </w:r>
      <w:r w:rsidRPr="00C3630C">
        <w:rPr>
          <w:rFonts w:ascii="Calibri Light" w:hAnsi="Calibri Light"/>
          <w:b w:val="0"/>
          <w:bCs w:val="0"/>
          <w:color w:val="21286C"/>
          <w:sz w:val="21"/>
          <w:szCs w:val="20"/>
          <w:lang w:val="el-GR"/>
        </w:rPr>
        <w:t xml:space="preserve"> εκ., έναντι €</w:t>
      </w:r>
      <w:r w:rsidR="009D7E1B" w:rsidRPr="00C3630C">
        <w:rPr>
          <w:rFonts w:ascii="Calibri Light" w:hAnsi="Calibri Light"/>
          <w:b w:val="0"/>
          <w:bCs w:val="0"/>
          <w:color w:val="21286C"/>
          <w:sz w:val="21"/>
          <w:szCs w:val="20"/>
          <w:lang w:val="el-GR"/>
        </w:rPr>
        <w:t>181</w:t>
      </w:r>
      <w:r w:rsidRPr="00C3630C">
        <w:rPr>
          <w:rFonts w:ascii="Calibri Light" w:hAnsi="Calibri Light"/>
          <w:b w:val="0"/>
          <w:bCs w:val="0"/>
          <w:color w:val="21286C"/>
          <w:sz w:val="21"/>
          <w:szCs w:val="20"/>
          <w:lang w:val="el-GR"/>
        </w:rPr>
        <w:t xml:space="preserve"> εκ. την αντίστοιχη περίοδο πέρυσι, υπογραμμίζοντας τη </w:t>
      </w:r>
      <w:r w:rsidRPr="00C3630C">
        <w:rPr>
          <w:rFonts w:ascii="Calibri Light" w:hAnsi="Calibri Light"/>
          <w:b w:val="0"/>
          <w:color w:val="21286C"/>
          <w:sz w:val="21"/>
          <w:szCs w:val="20"/>
          <w:lang w:val="el-GR"/>
        </w:rPr>
        <w:t xml:space="preserve">συνεχιζόμενη </w:t>
      </w:r>
      <w:r w:rsidR="00085911" w:rsidRPr="00C3630C">
        <w:rPr>
          <w:rFonts w:ascii="Calibri Light" w:hAnsi="Calibri Light"/>
          <w:b w:val="0"/>
          <w:color w:val="21286C"/>
          <w:sz w:val="21"/>
          <w:szCs w:val="20"/>
          <w:lang w:val="el-GR"/>
        </w:rPr>
        <w:t xml:space="preserve">εστίαση </w:t>
      </w:r>
      <w:r w:rsidR="00282B26" w:rsidRPr="00C3630C">
        <w:rPr>
          <w:rFonts w:ascii="Calibri Light" w:hAnsi="Calibri Light"/>
          <w:b w:val="0"/>
          <w:color w:val="21286C"/>
          <w:sz w:val="21"/>
          <w:szCs w:val="20"/>
          <w:lang w:val="el-GR"/>
        </w:rPr>
        <w:t>του Ομίλου στις</w:t>
      </w:r>
      <w:r w:rsidR="00282B26" w:rsidRPr="00C3630C">
        <w:rPr>
          <w:rFonts w:ascii="Calibri Light" w:hAnsi="Calibri Light"/>
          <w:b w:val="0"/>
          <w:bCs w:val="0"/>
          <w:color w:val="21286C"/>
          <w:sz w:val="21"/>
          <w:szCs w:val="20"/>
          <w:lang w:val="el-GR"/>
        </w:rPr>
        <w:t xml:space="preserve"> βασικές στρατηγικές του προτεραιότητες</w:t>
      </w:r>
      <w:r w:rsidR="001F1C22" w:rsidRPr="00C3630C">
        <w:rPr>
          <w:rFonts w:ascii="Calibri Light" w:hAnsi="Calibri Light"/>
          <w:b w:val="0"/>
          <w:bCs w:val="0"/>
          <w:color w:val="21286C"/>
          <w:sz w:val="21"/>
          <w:szCs w:val="20"/>
          <w:lang w:val="el-GR"/>
        </w:rPr>
        <w:t xml:space="preserve">, </w:t>
      </w:r>
      <w:r w:rsidR="00DC2665" w:rsidRPr="00C3630C">
        <w:rPr>
          <w:rFonts w:ascii="Calibri Light" w:hAnsi="Calibri Light"/>
          <w:b w:val="0"/>
          <w:bCs w:val="0"/>
          <w:color w:val="21286C"/>
          <w:sz w:val="21"/>
          <w:szCs w:val="20"/>
          <w:lang w:val="el-GR"/>
        </w:rPr>
        <w:t xml:space="preserve">όπως </w:t>
      </w:r>
      <w:r w:rsidRPr="00C3630C">
        <w:rPr>
          <w:rFonts w:ascii="Calibri Light" w:hAnsi="Calibri Light"/>
          <w:b w:val="0"/>
          <w:bCs w:val="0"/>
          <w:color w:val="21286C"/>
          <w:sz w:val="21"/>
          <w:szCs w:val="20"/>
          <w:lang w:val="el-GR"/>
        </w:rPr>
        <w:t xml:space="preserve">οι βελτιώσεις των υποδομών παραγωγικής δυναμικότητας και του δικτύου διανομής, η βελτίωση του ενεργειακού μείγματος, καθώς και η επίσπευση του ψηφιακού μετασχηματισμού στην παραγωγή, παράγοντες που ενισχύουν τις λειτουργικές επιδόσεις και τη βελτιστοποίηση του κόστους. Κατά το εννεάμηνο, ο Όμιλος προχώρησε επίσης σε στοχευμένες εξαγορές λατομείων αδρανών υλικών και εναλλακτικών </w:t>
      </w:r>
      <w:r w:rsidR="00430621">
        <w:rPr>
          <w:rFonts w:ascii="Calibri Light" w:hAnsi="Calibri Light"/>
          <w:b w:val="0"/>
          <w:bCs w:val="0"/>
          <w:color w:val="21286C"/>
          <w:sz w:val="21"/>
          <w:szCs w:val="20"/>
          <w:lang w:val="el-GR"/>
        </w:rPr>
        <w:t xml:space="preserve">τσιμεντοειδών </w:t>
      </w:r>
      <w:r w:rsidRPr="00C3630C">
        <w:rPr>
          <w:rFonts w:ascii="Calibri Light" w:hAnsi="Calibri Light"/>
          <w:b w:val="0"/>
          <w:bCs w:val="0"/>
          <w:color w:val="21286C"/>
          <w:sz w:val="21"/>
          <w:szCs w:val="20"/>
          <w:lang w:val="el-GR"/>
        </w:rPr>
        <w:t xml:space="preserve">υλικών στην Ευρώπη, </w:t>
      </w:r>
      <w:r w:rsidR="00C67CD7" w:rsidRPr="00C3630C">
        <w:rPr>
          <w:rFonts w:ascii="Calibri Light" w:hAnsi="Calibri Light"/>
          <w:b w:val="0"/>
          <w:bCs w:val="0"/>
          <w:color w:val="21286C"/>
          <w:sz w:val="21"/>
          <w:szCs w:val="20"/>
          <w:lang w:val="el-GR"/>
        </w:rPr>
        <w:t xml:space="preserve">ενώ </w:t>
      </w:r>
      <w:r w:rsidRPr="00C3630C">
        <w:rPr>
          <w:rFonts w:ascii="Calibri Light" w:hAnsi="Calibri Light"/>
          <w:b w:val="0"/>
          <w:bCs w:val="0"/>
          <w:color w:val="21286C"/>
          <w:sz w:val="21"/>
          <w:szCs w:val="20"/>
          <w:lang w:val="el-GR"/>
        </w:rPr>
        <w:t>έθεσε σε λειτουργία μ</w:t>
      </w:r>
      <w:r w:rsidR="003A2E8F" w:rsidRPr="00C3630C">
        <w:rPr>
          <w:rFonts w:ascii="Calibri Light" w:hAnsi="Calibri Light"/>
          <w:b w:val="0"/>
          <w:bCs w:val="0"/>
          <w:color w:val="21286C"/>
          <w:sz w:val="21"/>
          <w:szCs w:val="20"/>
          <w:lang w:val="el-GR"/>
        </w:rPr>
        <w:t>ί</w:t>
      </w:r>
      <w:r w:rsidRPr="00C3630C">
        <w:rPr>
          <w:rFonts w:ascii="Calibri Light" w:hAnsi="Calibri Light"/>
          <w:b w:val="0"/>
          <w:bCs w:val="0"/>
          <w:color w:val="21286C"/>
          <w:sz w:val="21"/>
          <w:szCs w:val="20"/>
          <w:lang w:val="el-GR"/>
        </w:rPr>
        <w:t xml:space="preserve">α νέα μονάδα </w:t>
      </w:r>
      <w:r w:rsidR="003A2E8F" w:rsidRPr="00C3630C">
        <w:rPr>
          <w:rFonts w:ascii="Calibri Light" w:hAnsi="Calibri Light"/>
          <w:b w:val="0"/>
          <w:bCs w:val="0"/>
          <w:color w:val="21286C"/>
          <w:sz w:val="21"/>
          <w:szCs w:val="20"/>
          <w:lang w:val="el-GR"/>
        </w:rPr>
        <w:t xml:space="preserve">παραγωγής </w:t>
      </w:r>
      <w:r w:rsidRPr="00C3630C">
        <w:rPr>
          <w:rFonts w:ascii="Calibri Light" w:hAnsi="Calibri Light"/>
          <w:b w:val="0"/>
          <w:bCs w:val="0"/>
          <w:color w:val="21286C"/>
          <w:sz w:val="21"/>
          <w:szCs w:val="20"/>
          <w:lang w:val="el-GR"/>
        </w:rPr>
        <w:t>έτοιμου σκυροδέματος στην Ελλάδα (</w:t>
      </w:r>
      <w:r w:rsidRPr="00C3630C">
        <w:rPr>
          <w:rFonts w:ascii="Calibri Light" w:hAnsi="Calibri Light"/>
          <w:b w:val="0"/>
          <w:color w:val="21286C"/>
          <w:sz w:val="21"/>
          <w:szCs w:val="20"/>
          <w:lang w:val="el-GR"/>
        </w:rPr>
        <w:t>εξαγορά του 2024</w:t>
      </w:r>
      <w:r w:rsidRPr="00C3630C">
        <w:rPr>
          <w:rFonts w:ascii="Calibri Light" w:hAnsi="Calibri Light"/>
          <w:b w:val="0"/>
          <w:bCs w:val="0"/>
          <w:color w:val="21286C"/>
          <w:sz w:val="21"/>
          <w:szCs w:val="20"/>
          <w:lang w:val="el-GR"/>
        </w:rPr>
        <w:t>)</w:t>
      </w:r>
      <w:r w:rsidR="009915C0">
        <w:rPr>
          <w:rFonts w:ascii="Calibri Light" w:hAnsi="Calibri Light"/>
          <w:b w:val="0"/>
          <w:bCs w:val="0"/>
          <w:color w:val="21286C"/>
          <w:sz w:val="21"/>
          <w:szCs w:val="20"/>
          <w:lang w:val="el-GR"/>
        </w:rPr>
        <w:t>,</w:t>
      </w:r>
      <w:r w:rsidRPr="00C3630C">
        <w:rPr>
          <w:rFonts w:ascii="Calibri Light" w:hAnsi="Calibri Light"/>
          <w:b w:val="0"/>
          <w:bCs w:val="0"/>
          <w:color w:val="21286C"/>
          <w:sz w:val="21"/>
          <w:szCs w:val="20"/>
          <w:lang w:val="el-GR"/>
        </w:rPr>
        <w:t xml:space="preserve"> </w:t>
      </w:r>
      <w:r w:rsidR="00864F4C" w:rsidRPr="00C3630C">
        <w:rPr>
          <w:rFonts w:ascii="Calibri Light" w:hAnsi="Calibri Light"/>
          <w:b w:val="0"/>
          <w:bCs w:val="0"/>
          <w:color w:val="21286C"/>
          <w:sz w:val="21"/>
          <w:szCs w:val="20"/>
          <w:lang w:val="el-GR"/>
        </w:rPr>
        <w:t xml:space="preserve">συνεχίζοντας παράλληλα να </w:t>
      </w:r>
      <w:r w:rsidR="003B0174" w:rsidRPr="00C3630C">
        <w:rPr>
          <w:rFonts w:ascii="Calibri Light" w:hAnsi="Calibri Light"/>
          <w:b w:val="0"/>
          <w:bCs w:val="0"/>
          <w:color w:val="21286C"/>
          <w:sz w:val="21"/>
          <w:szCs w:val="20"/>
          <w:lang w:val="el-GR"/>
        </w:rPr>
        <w:t>υποστηρίζει σημαντικά έργα υποδομών μέσω φορητών μονάδων</w:t>
      </w:r>
      <w:r w:rsidR="00A00F08" w:rsidRPr="00C3630C">
        <w:rPr>
          <w:rFonts w:ascii="Calibri Light" w:hAnsi="Calibri Light"/>
          <w:b w:val="0"/>
          <w:bCs w:val="0"/>
          <w:color w:val="21286C"/>
          <w:sz w:val="21"/>
          <w:szCs w:val="20"/>
          <w:lang w:val="el-GR"/>
        </w:rPr>
        <w:t xml:space="preserve"> </w:t>
      </w:r>
      <w:r w:rsidRPr="00C3630C">
        <w:rPr>
          <w:rFonts w:ascii="Calibri Light" w:hAnsi="Calibri Light"/>
          <w:b w:val="0"/>
          <w:bCs w:val="0"/>
          <w:color w:val="21286C"/>
          <w:sz w:val="21"/>
          <w:szCs w:val="20"/>
          <w:lang w:val="el-GR"/>
        </w:rPr>
        <w:t xml:space="preserve">έτοιμου σκυροδέματος. Κατά το τρίτο τρίμηνο, ο </w:t>
      </w:r>
      <w:r w:rsidR="00A00F08" w:rsidRPr="00C3630C">
        <w:rPr>
          <w:rFonts w:ascii="Calibri Light" w:hAnsi="Calibri Light"/>
          <w:b w:val="0"/>
          <w:bCs w:val="0"/>
          <w:color w:val="21286C"/>
          <w:sz w:val="21"/>
          <w:szCs w:val="20"/>
          <w:lang w:val="el-GR"/>
        </w:rPr>
        <w:t xml:space="preserve">Όμιλος </w:t>
      </w:r>
      <w:r w:rsidRPr="00C3630C">
        <w:rPr>
          <w:rFonts w:ascii="Calibri Light" w:hAnsi="Calibri Light"/>
          <w:b w:val="0"/>
          <w:bCs w:val="0"/>
          <w:color w:val="21286C"/>
          <w:sz w:val="21"/>
          <w:szCs w:val="20"/>
          <w:lang w:val="el-GR"/>
        </w:rPr>
        <w:t xml:space="preserve">προέβη σε ένα σημαντικό </w:t>
      </w:r>
      <w:r w:rsidR="00246DE2" w:rsidRPr="00C3630C">
        <w:rPr>
          <w:rFonts w:ascii="Calibri Light" w:hAnsi="Calibri Light"/>
          <w:b w:val="0"/>
          <w:bCs w:val="0"/>
          <w:color w:val="21286C"/>
          <w:sz w:val="21"/>
          <w:szCs w:val="20"/>
          <w:lang w:val="el-GR"/>
        </w:rPr>
        <w:t xml:space="preserve">στρατηγικό </w:t>
      </w:r>
      <w:r w:rsidRPr="00C3630C">
        <w:rPr>
          <w:rFonts w:ascii="Calibri Light" w:hAnsi="Calibri Light"/>
          <w:b w:val="0"/>
          <w:bCs w:val="0"/>
          <w:color w:val="21286C"/>
          <w:sz w:val="21"/>
          <w:szCs w:val="20"/>
          <w:lang w:val="el-GR"/>
        </w:rPr>
        <w:t>βήμα</w:t>
      </w:r>
      <w:r w:rsidR="00C60166" w:rsidRPr="00C3630C">
        <w:rPr>
          <w:rFonts w:ascii="Calibri Light" w:hAnsi="Calibri Light"/>
          <w:b w:val="0"/>
          <w:bCs w:val="0"/>
          <w:color w:val="21286C"/>
          <w:sz w:val="21"/>
          <w:szCs w:val="20"/>
          <w:lang w:val="el-GR"/>
        </w:rPr>
        <w:t>, εισερχόμενος</w:t>
      </w:r>
      <w:r w:rsidRPr="00C3630C">
        <w:rPr>
          <w:rFonts w:ascii="Calibri Light" w:hAnsi="Calibri Light"/>
          <w:b w:val="0"/>
          <w:bCs w:val="0"/>
          <w:color w:val="21286C"/>
          <w:sz w:val="21"/>
          <w:szCs w:val="20"/>
          <w:lang w:val="el-GR"/>
        </w:rPr>
        <w:t xml:space="preserve"> στην αγορά προκατασκευασμέν</w:t>
      </w:r>
      <w:r w:rsidR="00BB0D03">
        <w:rPr>
          <w:rFonts w:ascii="Calibri Light" w:hAnsi="Calibri Light"/>
          <w:b w:val="0"/>
          <w:bCs w:val="0"/>
          <w:color w:val="21286C"/>
          <w:sz w:val="21"/>
          <w:szCs w:val="20"/>
          <w:lang w:val="el-GR"/>
        </w:rPr>
        <w:t>ων προϊόντων</w:t>
      </w:r>
      <w:r w:rsidRPr="00C3630C">
        <w:rPr>
          <w:rFonts w:ascii="Calibri Light" w:hAnsi="Calibri Light"/>
          <w:b w:val="0"/>
          <w:bCs w:val="0"/>
          <w:color w:val="21286C"/>
          <w:sz w:val="21"/>
          <w:szCs w:val="20"/>
          <w:lang w:val="el-GR"/>
        </w:rPr>
        <w:t xml:space="preserve"> σκυροδέματος, αποκτώντας –σε συνεργασία με τη </w:t>
      </w:r>
      <w:proofErr w:type="spellStart"/>
      <w:r w:rsidRPr="00C3630C">
        <w:rPr>
          <w:rFonts w:ascii="Calibri Light" w:hAnsi="Calibri Light"/>
          <w:b w:val="0"/>
          <w:bCs w:val="0"/>
          <w:color w:val="21286C"/>
          <w:sz w:val="21"/>
          <w:szCs w:val="20"/>
          <w:lang w:val="el-GR"/>
        </w:rPr>
        <w:t>Molins</w:t>
      </w:r>
      <w:proofErr w:type="spellEnd"/>
      <w:r w:rsidRPr="00C3630C">
        <w:rPr>
          <w:rFonts w:ascii="Calibri Light" w:hAnsi="Calibri Light"/>
          <w:b w:val="0"/>
          <w:bCs w:val="0"/>
          <w:color w:val="21286C"/>
          <w:sz w:val="21"/>
          <w:szCs w:val="20"/>
          <w:lang w:val="el-GR"/>
        </w:rPr>
        <w:t xml:space="preserve">– το 80% της Baupartner, μιας κορυφαίας εταιρίας </w:t>
      </w:r>
      <w:r w:rsidR="00232F8A" w:rsidRPr="00C3630C">
        <w:rPr>
          <w:rFonts w:ascii="Calibri Light" w:hAnsi="Calibri Light"/>
          <w:b w:val="0"/>
          <w:bCs w:val="0"/>
          <w:color w:val="21286C"/>
          <w:sz w:val="21"/>
          <w:szCs w:val="20"/>
          <w:lang w:val="el-GR"/>
        </w:rPr>
        <w:t xml:space="preserve">με εξειδίκευση </w:t>
      </w:r>
      <w:r w:rsidR="005C744F">
        <w:rPr>
          <w:rFonts w:ascii="Calibri Light" w:hAnsi="Calibri Light"/>
          <w:b w:val="0"/>
          <w:bCs w:val="0"/>
          <w:color w:val="21286C"/>
          <w:sz w:val="21"/>
          <w:szCs w:val="20"/>
          <w:lang w:val="el-GR"/>
        </w:rPr>
        <w:t>στ</w:t>
      </w:r>
      <w:r w:rsidR="008E73DF">
        <w:rPr>
          <w:rFonts w:ascii="Calibri Light" w:hAnsi="Calibri Light"/>
          <w:b w:val="0"/>
          <w:bCs w:val="0"/>
          <w:color w:val="21286C"/>
          <w:sz w:val="21"/>
          <w:szCs w:val="20"/>
          <w:lang w:val="el-GR"/>
        </w:rPr>
        <w:t>α</w:t>
      </w:r>
      <w:r w:rsidR="005C744F">
        <w:rPr>
          <w:rFonts w:ascii="Calibri Light" w:hAnsi="Calibri Light"/>
          <w:b w:val="0"/>
          <w:bCs w:val="0"/>
          <w:color w:val="21286C"/>
          <w:sz w:val="21"/>
          <w:szCs w:val="20"/>
          <w:lang w:val="el-GR"/>
        </w:rPr>
        <w:t xml:space="preserve"> </w:t>
      </w:r>
      <w:r w:rsidRPr="00C3630C">
        <w:rPr>
          <w:rFonts w:ascii="Calibri Light" w:hAnsi="Calibri Light"/>
          <w:b w:val="0"/>
          <w:bCs w:val="0"/>
          <w:color w:val="21286C"/>
          <w:sz w:val="21"/>
          <w:szCs w:val="20"/>
          <w:lang w:val="el-GR"/>
        </w:rPr>
        <w:t>προκατασκευασμέν</w:t>
      </w:r>
      <w:r w:rsidR="008E73DF">
        <w:rPr>
          <w:rFonts w:ascii="Calibri Light" w:hAnsi="Calibri Light"/>
          <w:b w:val="0"/>
          <w:bCs w:val="0"/>
          <w:color w:val="21286C"/>
          <w:sz w:val="21"/>
          <w:szCs w:val="20"/>
          <w:lang w:val="el-GR"/>
        </w:rPr>
        <w:t>α</w:t>
      </w:r>
      <w:r w:rsidRPr="00C3630C">
        <w:rPr>
          <w:rFonts w:ascii="Calibri Light" w:hAnsi="Calibri Light"/>
          <w:b w:val="0"/>
          <w:bCs w:val="0"/>
          <w:color w:val="21286C"/>
          <w:sz w:val="21"/>
          <w:szCs w:val="20"/>
          <w:lang w:val="el-GR"/>
        </w:rPr>
        <w:t xml:space="preserve"> </w:t>
      </w:r>
      <w:r w:rsidR="008E73DF">
        <w:rPr>
          <w:rFonts w:ascii="Calibri Light" w:hAnsi="Calibri Light"/>
          <w:b w:val="0"/>
          <w:bCs w:val="0"/>
          <w:color w:val="21286C"/>
          <w:sz w:val="21"/>
          <w:szCs w:val="20"/>
          <w:lang w:val="el-GR"/>
        </w:rPr>
        <w:t xml:space="preserve">προϊόντα σκυροδέματος </w:t>
      </w:r>
      <w:r w:rsidRPr="00C3630C">
        <w:rPr>
          <w:rFonts w:ascii="Calibri Light" w:hAnsi="Calibri Light"/>
          <w:b w:val="0"/>
          <w:bCs w:val="0"/>
          <w:color w:val="21286C"/>
          <w:sz w:val="21"/>
          <w:szCs w:val="20"/>
          <w:lang w:val="el-GR"/>
        </w:rPr>
        <w:t xml:space="preserve"> με έδρα στη Βοσνία-Ερζεγοβίνη και δραστηριότητες που εκτείνονται στην Κροατία και τη Σερβία. Με αυτή την κίνηση</w:t>
      </w:r>
      <w:r w:rsidR="00B57971">
        <w:rPr>
          <w:rFonts w:ascii="Calibri Light" w:hAnsi="Calibri Light"/>
          <w:b w:val="0"/>
          <w:bCs w:val="0"/>
          <w:color w:val="21286C"/>
          <w:sz w:val="21"/>
          <w:szCs w:val="20"/>
          <w:lang w:val="el-GR"/>
        </w:rPr>
        <w:t>,</w:t>
      </w:r>
      <w:r w:rsidR="003C2B16">
        <w:rPr>
          <w:rFonts w:ascii="Calibri Light" w:hAnsi="Calibri Light"/>
          <w:b w:val="0"/>
          <w:bCs w:val="0"/>
          <w:color w:val="21286C"/>
          <w:sz w:val="21"/>
          <w:szCs w:val="20"/>
          <w:lang w:val="el-GR"/>
        </w:rPr>
        <w:t xml:space="preserve"> ο Όμιλος</w:t>
      </w:r>
      <w:r w:rsidRPr="00C3630C">
        <w:rPr>
          <w:rFonts w:ascii="Calibri Light" w:hAnsi="Calibri Light"/>
          <w:b w:val="0"/>
          <w:bCs w:val="0"/>
          <w:color w:val="21286C"/>
          <w:sz w:val="21"/>
          <w:szCs w:val="20"/>
          <w:lang w:val="el-GR"/>
        </w:rPr>
        <w:t xml:space="preserve"> </w:t>
      </w:r>
      <w:r w:rsidR="00F54BF9" w:rsidRPr="00C3630C">
        <w:rPr>
          <w:rFonts w:ascii="Calibri Light" w:hAnsi="Calibri Light"/>
          <w:b w:val="0"/>
          <w:bCs w:val="0"/>
          <w:color w:val="21286C"/>
          <w:sz w:val="21"/>
          <w:szCs w:val="20"/>
          <w:lang w:val="el-GR"/>
        </w:rPr>
        <w:t>διευ</w:t>
      </w:r>
      <w:r w:rsidR="00ED03A9" w:rsidRPr="00C3630C">
        <w:rPr>
          <w:rFonts w:ascii="Calibri Light" w:hAnsi="Calibri Light"/>
          <w:b w:val="0"/>
          <w:bCs w:val="0"/>
          <w:color w:val="21286C"/>
          <w:sz w:val="21"/>
          <w:szCs w:val="20"/>
          <w:lang w:val="el-GR"/>
        </w:rPr>
        <w:t>ρύ</w:t>
      </w:r>
      <w:r w:rsidR="00485F2E" w:rsidRPr="00C3630C">
        <w:rPr>
          <w:rFonts w:ascii="Calibri Light" w:hAnsi="Calibri Light"/>
          <w:b w:val="0"/>
          <w:bCs w:val="0"/>
          <w:color w:val="21286C"/>
          <w:sz w:val="21"/>
          <w:szCs w:val="20"/>
          <w:lang w:val="el-GR"/>
        </w:rPr>
        <w:t xml:space="preserve">νει </w:t>
      </w:r>
      <w:r w:rsidR="00686C8D">
        <w:rPr>
          <w:rFonts w:ascii="Calibri Light" w:hAnsi="Calibri Light"/>
          <w:b w:val="0"/>
          <w:bCs w:val="0"/>
          <w:color w:val="21286C"/>
          <w:sz w:val="21"/>
          <w:szCs w:val="20"/>
          <w:lang w:val="el-GR"/>
        </w:rPr>
        <w:t xml:space="preserve">την </w:t>
      </w:r>
      <w:r w:rsidR="00686C8D">
        <w:rPr>
          <w:rFonts w:ascii="Calibri Light" w:hAnsi="Calibri Light"/>
          <w:b w:val="0"/>
          <w:bCs w:val="0"/>
          <w:color w:val="21286C"/>
          <w:sz w:val="21"/>
          <w:szCs w:val="20"/>
          <w:lang w:val="el-GR" w:bidi="el-GR"/>
        </w:rPr>
        <w:t>γεωγραφική του παρουσία</w:t>
      </w:r>
      <w:r w:rsidR="00485F2E" w:rsidRPr="00C3630C">
        <w:rPr>
          <w:rFonts w:ascii="Calibri Light" w:hAnsi="Calibri Light"/>
          <w:b w:val="0"/>
          <w:bCs w:val="0"/>
          <w:color w:val="21286C"/>
          <w:sz w:val="21"/>
          <w:szCs w:val="20"/>
          <w:lang w:val="el-GR"/>
        </w:rPr>
        <w:t xml:space="preserve">σε μία </w:t>
      </w:r>
      <w:r w:rsidRPr="00C3630C">
        <w:rPr>
          <w:rFonts w:ascii="Calibri Light" w:hAnsi="Calibri Light"/>
          <w:b w:val="0"/>
          <w:bCs w:val="0"/>
          <w:color w:val="21286C"/>
          <w:sz w:val="21"/>
          <w:szCs w:val="20"/>
          <w:lang w:val="el-GR"/>
        </w:rPr>
        <w:t>ταχέως αναπτυσσόμεν</w:t>
      </w:r>
      <w:r w:rsidR="00821961" w:rsidRPr="00C3630C">
        <w:rPr>
          <w:rFonts w:ascii="Calibri Light" w:hAnsi="Calibri Light"/>
          <w:b w:val="0"/>
          <w:bCs w:val="0"/>
          <w:color w:val="21286C"/>
          <w:sz w:val="21"/>
          <w:szCs w:val="20"/>
          <w:lang w:val="el-GR"/>
        </w:rPr>
        <w:t xml:space="preserve">η αγορά </w:t>
      </w:r>
      <w:r w:rsidRPr="00C3630C">
        <w:rPr>
          <w:rFonts w:ascii="Calibri Light" w:hAnsi="Calibri Light"/>
          <w:b w:val="0"/>
          <w:bCs w:val="0"/>
          <w:color w:val="21286C"/>
          <w:sz w:val="21"/>
          <w:szCs w:val="20"/>
          <w:lang w:val="el-GR"/>
        </w:rPr>
        <w:t xml:space="preserve">και </w:t>
      </w:r>
      <w:r w:rsidR="00961F02" w:rsidRPr="00C3630C">
        <w:rPr>
          <w:rFonts w:ascii="Calibri Light" w:hAnsi="Calibri Light"/>
          <w:b w:val="0"/>
          <w:bCs w:val="0"/>
          <w:color w:val="21286C"/>
          <w:sz w:val="21"/>
          <w:szCs w:val="20"/>
          <w:lang w:val="el-GR"/>
        </w:rPr>
        <w:t xml:space="preserve">εμπλουτίζει </w:t>
      </w:r>
      <w:r w:rsidRPr="00C3630C">
        <w:rPr>
          <w:rFonts w:ascii="Calibri Light" w:hAnsi="Calibri Light"/>
          <w:b w:val="0"/>
          <w:bCs w:val="0"/>
          <w:color w:val="21286C"/>
          <w:sz w:val="21"/>
          <w:szCs w:val="20"/>
          <w:lang w:val="el-GR"/>
        </w:rPr>
        <w:t xml:space="preserve">το </w:t>
      </w:r>
      <w:proofErr w:type="spellStart"/>
      <w:r w:rsidRPr="00C3630C">
        <w:rPr>
          <w:rFonts w:ascii="Calibri Light" w:hAnsi="Calibri Light"/>
          <w:b w:val="0"/>
          <w:bCs w:val="0"/>
          <w:color w:val="21286C"/>
          <w:sz w:val="21"/>
          <w:szCs w:val="20"/>
          <w:lang w:val="el-GR"/>
        </w:rPr>
        <w:t>προϊοντικό</w:t>
      </w:r>
      <w:proofErr w:type="spellEnd"/>
      <w:r w:rsidRPr="00C3630C">
        <w:rPr>
          <w:rFonts w:ascii="Calibri Light" w:hAnsi="Calibri Light"/>
          <w:b w:val="0"/>
          <w:bCs w:val="0"/>
          <w:color w:val="21286C"/>
          <w:sz w:val="21"/>
          <w:szCs w:val="20"/>
          <w:lang w:val="el-GR"/>
        </w:rPr>
        <w:t xml:space="preserve"> χαρτοφυλάκιό του με </w:t>
      </w:r>
      <w:r w:rsidR="00961F02" w:rsidRPr="00C3630C">
        <w:rPr>
          <w:rFonts w:ascii="Calibri Light" w:hAnsi="Calibri Light"/>
          <w:b w:val="0"/>
          <w:bCs w:val="0"/>
          <w:color w:val="21286C"/>
          <w:sz w:val="21"/>
          <w:szCs w:val="20"/>
          <w:lang w:val="el-GR"/>
        </w:rPr>
        <w:t>λύσεις προστιθέμενης αξίας</w:t>
      </w:r>
      <w:r w:rsidR="0010539E" w:rsidRPr="00C3630C">
        <w:rPr>
          <w:rFonts w:ascii="Calibri Light" w:hAnsi="Calibri Light"/>
          <w:b w:val="0"/>
          <w:bCs w:val="0"/>
          <w:color w:val="21286C"/>
          <w:sz w:val="21"/>
          <w:szCs w:val="20"/>
          <w:lang w:val="el-GR"/>
        </w:rPr>
        <w:t xml:space="preserve">, προσαρμοσμένες στις </w:t>
      </w:r>
      <w:r w:rsidR="00E876CB" w:rsidRPr="00C3630C">
        <w:rPr>
          <w:rFonts w:ascii="Calibri Light" w:hAnsi="Calibri Light"/>
          <w:b w:val="0"/>
          <w:bCs w:val="0"/>
          <w:color w:val="21286C"/>
          <w:sz w:val="21"/>
          <w:szCs w:val="20"/>
          <w:lang w:val="el-GR"/>
        </w:rPr>
        <w:t>αναπτ</w:t>
      </w:r>
      <w:r w:rsidRPr="00C3630C">
        <w:rPr>
          <w:rFonts w:ascii="Calibri Light" w:hAnsi="Calibri Light"/>
          <w:b w:val="0"/>
          <w:bCs w:val="0"/>
          <w:color w:val="21286C"/>
          <w:sz w:val="21"/>
          <w:szCs w:val="20"/>
          <w:lang w:val="el-GR"/>
        </w:rPr>
        <w:t xml:space="preserve">υξιακές ευκαιρίες </w:t>
      </w:r>
      <w:r w:rsidR="00E876CB" w:rsidRPr="00C3630C">
        <w:rPr>
          <w:rFonts w:ascii="Calibri Light" w:hAnsi="Calibri Light"/>
          <w:b w:val="0"/>
          <w:bCs w:val="0"/>
          <w:color w:val="21286C"/>
          <w:sz w:val="21"/>
          <w:szCs w:val="20"/>
          <w:lang w:val="el-GR"/>
        </w:rPr>
        <w:t xml:space="preserve">της </w:t>
      </w:r>
      <w:r w:rsidR="00E876CB" w:rsidRPr="00C3630C">
        <w:rPr>
          <w:rFonts w:ascii="Calibri Light" w:hAnsi="Calibri Light"/>
          <w:b w:val="0"/>
          <w:bCs w:val="0"/>
          <w:color w:val="21286C"/>
          <w:sz w:val="21"/>
          <w:szCs w:val="20"/>
          <w:lang w:val="el-GR"/>
        </w:rPr>
        <w:lastRenderedPageBreak/>
        <w:t>περιοχής</w:t>
      </w:r>
      <w:r w:rsidRPr="00C3630C">
        <w:rPr>
          <w:rFonts w:ascii="Calibri Light" w:hAnsi="Calibri Light"/>
          <w:b w:val="0"/>
          <w:bCs w:val="0"/>
          <w:color w:val="21286C"/>
          <w:sz w:val="21"/>
          <w:szCs w:val="20"/>
          <w:lang w:val="el-GR"/>
        </w:rPr>
        <w:t xml:space="preserve">. Παράλληλα, η Titan America </w:t>
      </w:r>
      <w:r w:rsidR="0092553F" w:rsidRPr="00C3630C">
        <w:rPr>
          <w:rFonts w:ascii="Calibri Light" w:hAnsi="Calibri Light"/>
          <w:b w:val="0"/>
          <w:bCs w:val="0"/>
          <w:color w:val="21286C"/>
          <w:sz w:val="21"/>
          <w:szCs w:val="20"/>
          <w:lang w:val="el-GR"/>
        </w:rPr>
        <w:t>διευρύνει τ</w:t>
      </w:r>
      <w:r w:rsidR="006D26B7">
        <w:rPr>
          <w:rFonts w:ascii="Calibri Light" w:hAnsi="Calibri Light"/>
          <w:b w:val="0"/>
          <w:bCs w:val="0"/>
          <w:color w:val="21286C"/>
          <w:sz w:val="21"/>
          <w:szCs w:val="20"/>
          <w:lang w:val="el-GR"/>
        </w:rPr>
        <w:t>α</w:t>
      </w:r>
      <w:r w:rsidR="00F008EF">
        <w:rPr>
          <w:rFonts w:ascii="Calibri Light" w:hAnsi="Calibri Light"/>
          <w:b w:val="0"/>
          <w:bCs w:val="0"/>
          <w:color w:val="21286C"/>
          <w:sz w:val="21"/>
          <w:szCs w:val="20"/>
          <w:lang w:val="el-GR"/>
        </w:rPr>
        <w:t xml:space="preserve"> προϊόντ</w:t>
      </w:r>
      <w:r w:rsidR="00370D20">
        <w:rPr>
          <w:rFonts w:ascii="Calibri Light" w:hAnsi="Calibri Light"/>
          <w:b w:val="0"/>
          <w:bCs w:val="0"/>
          <w:color w:val="21286C"/>
          <w:sz w:val="21"/>
          <w:szCs w:val="20"/>
          <w:lang w:val="el-GR"/>
        </w:rPr>
        <w:t>α</w:t>
      </w:r>
      <w:r w:rsidR="00F008EF">
        <w:rPr>
          <w:rFonts w:ascii="Calibri Light" w:hAnsi="Calibri Light"/>
          <w:b w:val="0"/>
          <w:bCs w:val="0"/>
          <w:color w:val="21286C"/>
          <w:sz w:val="21"/>
          <w:szCs w:val="20"/>
          <w:lang w:val="el-GR"/>
        </w:rPr>
        <w:t xml:space="preserve"> της</w:t>
      </w:r>
      <w:r w:rsidR="0092553F" w:rsidRPr="00C3630C">
        <w:rPr>
          <w:rFonts w:ascii="Calibri Light" w:hAnsi="Calibri Light"/>
          <w:b w:val="0"/>
          <w:bCs w:val="0"/>
          <w:color w:val="21286C"/>
          <w:sz w:val="21"/>
          <w:szCs w:val="20"/>
          <w:lang w:val="el-GR"/>
        </w:rPr>
        <w:t xml:space="preserve">, έχοντας εξασφαλίσει </w:t>
      </w:r>
      <w:r w:rsidR="00C742B1" w:rsidRPr="00C3630C">
        <w:rPr>
          <w:rFonts w:ascii="Calibri Light" w:hAnsi="Calibri Light"/>
          <w:b w:val="0"/>
          <w:bCs w:val="0"/>
          <w:color w:val="21286C"/>
          <w:sz w:val="21"/>
          <w:szCs w:val="20"/>
          <w:lang w:val="el-GR"/>
        </w:rPr>
        <w:t xml:space="preserve">την έγκριση των ρυθμιστικών αρχών για την παραγωγή </w:t>
      </w:r>
      <w:r w:rsidRPr="00C3630C">
        <w:rPr>
          <w:rFonts w:ascii="Calibri Light" w:hAnsi="Calibri Light"/>
          <w:b w:val="0"/>
          <w:color w:val="21286C"/>
          <w:sz w:val="21"/>
          <w:szCs w:val="20"/>
          <w:lang w:val="el-GR"/>
        </w:rPr>
        <w:t xml:space="preserve">προκατασκευασμένων </w:t>
      </w:r>
      <w:r w:rsidR="003E2C5D">
        <w:rPr>
          <w:rFonts w:ascii="Calibri Light" w:hAnsi="Calibri Light"/>
          <w:b w:val="0"/>
          <w:color w:val="21286C"/>
          <w:sz w:val="21"/>
          <w:szCs w:val="20"/>
          <w:lang w:val="el-GR"/>
        </w:rPr>
        <w:t xml:space="preserve">προϊόντων σκυροδέματος </w:t>
      </w:r>
      <w:r w:rsidR="00E45558" w:rsidRPr="00C3630C">
        <w:rPr>
          <w:rFonts w:ascii="Calibri Light" w:hAnsi="Calibri Light"/>
          <w:b w:val="0"/>
          <w:bCs w:val="0"/>
          <w:color w:val="21286C"/>
          <w:sz w:val="21"/>
          <w:szCs w:val="20"/>
          <w:lang w:val="el-GR"/>
        </w:rPr>
        <w:t>στη Φλόριντα</w:t>
      </w:r>
      <w:r w:rsidR="00F77F47" w:rsidRPr="00C3630C">
        <w:rPr>
          <w:rFonts w:ascii="Calibri Light" w:hAnsi="Calibri Light"/>
          <w:b w:val="0"/>
          <w:bCs w:val="0"/>
          <w:color w:val="21286C"/>
          <w:sz w:val="21"/>
          <w:szCs w:val="20"/>
          <w:lang w:val="el-GR"/>
        </w:rPr>
        <w:t xml:space="preserve">. </w:t>
      </w:r>
      <w:r w:rsidRPr="00C3630C">
        <w:rPr>
          <w:rFonts w:ascii="Calibri Light" w:hAnsi="Calibri Light"/>
          <w:b w:val="0"/>
          <w:bCs w:val="0"/>
          <w:color w:val="21286C"/>
          <w:sz w:val="21"/>
          <w:szCs w:val="20"/>
          <w:lang w:val="el-GR"/>
        </w:rPr>
        <w:t xml:space="preserve">Αυτό το επίτευγμα ανοίγει τον δρόμο για ταχύτερη ανάπτυξη, </w:t>
      </w:r>
      <w:r w:rsidR="003B552C" w:rsidRPr="00C3630C">
        <w:rPr>
          <w:rFonts w:ascii="Calibri Light" w:hAnsi="Calibri Light"/>
          <w:b w:val="0"/>
          <w:bCs w:val="0"/>
          <w:color w:val="21286C"/>
          <w:sz w:val="21"/>
          <w:szCs w:val="20"/>
          <w:lang w:val="el-GR"/>
        </w:rPr>
        <w:t>συμπληρώνοντας την</w:t>
      </w:r>
      <w:r w:rsidRPr="00C3630C">
        <w:rPr>
          <w:rFonts w:ascii="Calibri Light" w:hAnsi="Calibri Light"/>
          <w:b w:val="0"/>
          <w:bCs w:val="0"/>
          <w:color w:val="21286C"/>
          <w:sz w:val="21"/>
          <w:szCs w:val="20"/>
          <w:lang w:val="el-GR"/>
        </w:rPr>
        <w:t xml:space="preserve"> παρουσία της εταιρίας στην αγορά τσιμεντόλιθων. Σε επίπεδο χρηματοδότησης, τον Σεπτέμβριο </w:t>
      </w:r>
      <w:r w:rsidR="00A539A9" w:rsidRPr="00C3630C">
        <w:rPr>
          <w:rFonts w:ascii="Calibri Light" w:hAnsi="Calibri Light"/>
          <w:b w:val="0"/>
          <w:bCs w:val="0"/>
          <w:color w:val="21286C"/>
          <w:sz w:val="21"/>
          <w:szCs w:val="20"/>
          <w:lang w:val="el-GR"/>
        </w:rPr>
        <w:t xml:space="preserve">του </w:t>
      </w:r>
      <w:r w:rsidRPr="00C3630C">
        <w:rPr>
          <w:rFonts w:ascii="Calibri Light" w:hAnsi="Calibri Light"/>
          <w:b w:val="0"/>
          <w:bCs w:val="0"/>
          <w:color w:val="21286C"/>
          <w:sz w:val="21"/>
          <w:szCs w:val="20"/>
          <w:lang w:val="el-GR"/>
        </w:rPr>
        <w:t>2025 ο Καθαρός Δανεισμός του Ομίλου διαμορφώθηκε σε €</w:t>
      </w:r>
      <w:r w:rsidR="000A427E" w:rsidRPr="00C3630C">
        <w:rPr>
          <w:rFonts w:ascii="Calibri Light" w:hAnsi="Calibri Light"/>
          <w:b w:val="0"/>
          <w:bCs w:val="0"/>
          <w:color w:val="21286C"/>
          <w:sz w:val="21"/>
          <w:szCs w:val="20"/>
          <w:lang w:val="el-GR"/>
        </w:rPr>
        <w:t>302</w:t>
      </w:r>
      <w:r w:rsidRPr="00C3630C">
        <w:rPr>
          <w:rFonts w:ascii="Calibri Light" w:hAnsi="Calibri Light"/>
          <w:b w:val="0"/>
          <w:bCs w:val="0"/>
          <w:color w:val="21286C"/>
          <w:sz w:val="21"/>
          <w:szCs w:val="20"/>
          <w:lang w:val="el-GR"/>
        </w:rPr>
        <w:t xml:space="preserve"> εκ., </w:t>
      </w:r>
      <w:r w:rsidR="00A539A9" w:rsidRPr="00C3630C">
        <w:rPr>
          <w:rFonts w:ascii="Calibri Light" w:hAnsi="Calibri Light"/>
          <w:b w:val="0"/>
          <w:bCs w:val="0"/>
          <w:color w:val="21286C"/>
          <w:sz w:val="21"/>
          <w:szCs w:val="20"/>
          <w:lang w:val="el-GR"/>
        </w:rPr>
        <w:t xml:space="preserve">έναντι </w:t>
      </w:r>
      <w:r w:rsidRPr="00C3630C">
        <w:rPr>
          <w:rFonts w:ascii="Calibri Light" w:hAnsi="Calibri Light"/>
          <w:b w:val="0"/>
          <w:bCs w:val="0"/>
          <w:color w:val="21286C"/>
          <w:sz w:val="21"/>
          <w:szCs w:val="20"/>
          <w:lang w:val="el-GR"/>
        </w:rPr>
        <w:t>€</w:t>
      </w:r>
      <w:r w:rsidR="000A427E" w:rsidRPr="00C3630C">
        <w:rPr>
          <w:rFonts w:ascii="Calibri Light" w:hAnsi="Calibri Light"/>
          <w:b w:val="0"/>
          <w:bCs w:val="0"/>
          <w:color w:val="21286C"/>
          <w:sz w:val="21"/>
          <w:szCs w:val="20"/>
          <w:lang w:val="el-GR"/>
        </w:rPr>
        <w:t>622</w:t>
      </w:r>
      <w:r w:rsidRPr="00C3630C">
        <w:rPr>
          <w:rFonts w:ascii="Calibri Light" w:hAnsi="Calibri Light"/>
          <w:b w:val="0"/>
          <w:bCs w:val="0"/>
          <w:color w:val="21286C"/>
          <w:sz w:val="21"/>
          <w:szCs w:val="20"/>
          <w:lang w:val="el-GR"/>
        </w:rPr>
        <w:t xml:space="preserve"> εκ. τον Δεκέμβριο </w:t>
      </w:r>
      <w:r w:rsidR="00A539A9" w:rsidRPr="00C3630C">
        <w:rPr>
          <w:rFonts w:ascii="Calibri Light" w:hAnsi="Calibri Light"/>
          <w:b w:val="0"/>
          <w:bCs w:val="0"/>
          <w:color w:val="21286C"/>
          <w:sz w:val="21"/>
          <w:szCs w:val="20"/>
          <w:lang w:val="el-GR"/>
        </w:rPr>
        <w:t xml:space="preserve">του </w:t>
      </w:r>
      <w:r w:rsidRPr="00C3630C">
        <w:rPr>
          <w:rFonts w:ascii="Calibri Light" w:hAnsi="Calibri Light"/>
          <w:b w:val="0"/>
          <w:bCs w:val="0"/>
          <w:color w:val="21286C"/>
          <w:sz w:val="21"/>
          <w:szCs w:val="20"/>
          <w:lang w:val="el-GR"/>
        </w:rPr>
        <w:t xml:space="preserve">2024. </w:t>
      </w:r>
      <w:r w:rsidR="00A539A9" w:rsidRPr="00C3630C">
        <w:rPr>
          <w:rFonts w:ascii="Calibri Light" w:hAnsi="Calibri Light"/>
          <w:b w:val="0"/>
          <w:bCs w:val="0"/>
          <w:color w:val="21286C"/>
          <w:sz w:val="21"/>
          <w:szCs w:val="20"/>
          <w:lang w:val="el-GR"/>
        </w:rPr>
        <w:t>Η</w:t>
      </w:r>
      <w:r w:rsidRPr="00C3630C">
        <w:rPr>
          <w:rFonts w:ascii="Calibri Light" w:hAnsi="Calibri Light"/>
          <w:b w:val="0"/>
          <w:bCs w:val="0"/>
          <w:color w:val="21286C"/>
          <w:sz w:val="21"/>
          <w:szCs w:val="20"/>
          <w:lang w:val="el-GR"/>
        </w:rPr>
        <w:t xml:space="preserve"> σημαντική </w:t>
      </w:r>
      <w:r w:rsidR="00A539A9" w:rsidRPr="00C3630C">
        <w:rPr>
          <w:rFonts w:ascii="Calibri Light" w:hAnsi="Calibri Light"/>
          <w:b w:val="0"/>
          <w:bCs w:val="0"/>
          <w:color w:val="21286C"/>
          <w:sz w:val="21"/>
          <w:szCs w:val="20"/>
          <w:lang w:val="el-GR"/>
        </w:rPr>
        <w:t xml:space="preserve">αυτή </w:t>
      </w:r>
      <w:r w:rsidRPr="00C3630C">
        <w:rPr>
          <w:rFonts w:ascii="Calibri Light" w:hAnsi="Calibri Light"/>
          <w:b w:val="0"/>
          <w:bCs w:val="0"/>
          <w:color w:val="21286C"/>
          <w:sz w:val="21"/>
          <w:szCs w:val="20"/>
          <w:lang w:val="el-GR"/>
        </w:rPr>
        <w:t xml:space="preserve">μείωση οφείλεται κυρίως στα έσοδα από την εισαγωγή της Titan America στο χρηματιστήριο </w:t>
      </w:r>
      <w:r w:rsidR="00CA2E8D" w:rsidRPr="00C3630C">
        <w:rPr>
          <w:rFonts w:ascii="Calibri Light" w:hAnsi="Calibri Light"/>
          <w:b w:val="0"/>
          <w:bCs w:val="0"/>
          <w:color w:val="21286C"/>
          <w:sz w:val="21"/>
          <w:szCs w:val="20"/>
          <w:lang w:val="el-GR"/>
        </w:rPr>
        <w:t xml:space="preserve">της Νέας Υόρκης </w:t>
      </w:r>
      <w:r w:rsidRPr="00C3630C">
        <w:rPr>
          <w:rFonts w:ascii="Calibri Light" w:hAnsi="Calibri Light"/>
          <w:b w:val="0"/>
          <w:bCs w:val="0"/>
          <w:color w:val="21286C"/>
          <w:sz w:val="21"/>
          <w:szCs w:val="20"/>
          <w:lang w:val="el-GR"/>
        </w:rPr>
        <w:t xml:space="preserve">και την πώληση της Adocim. Ο δείκτης Καθαρού Δανεισμού προς EBITDA μειώθηκε σε </w:t>
      </w:r>
      <w:r w:rsidRPr="00355444">
        <w:rPr>
          <w:rFonts w:ascii="Calibri Light" w:hAnsi="Calibri Light"/>
          <w:b w:val="0"/>
          <w:color w:val="21286C"/>
          <w:sz w:val="21"/>
          <w:szCs w:val="20"/>
          <w:lang w:val="el-GR"/>
        </w:rPr>
        <w:t>0,4</w:t>
      </w:r>
      <w:r w:rsidR="00355444" w:rsidRPr="006B3C7A">
        <w:rPr>
          <w:rFonts w:ascii="Calibri Light" w:hAnsi="Calibri Light"/>
          <w:b w:val="0"/>
          <w:color w:val="21286C"/>
          <w:sz w:val="21"/>
          <w:szCs w:val="20"/>
          <w:lang w:val="el-GR"/>
        </w:rPr>
        <w:t>9</w:t>
      </w:r>
      <w:r w:rsidRPr="00355444">
        <w:rPr>
          <w:rFonts w:ascii="Calibri Light" w:hAnsi="Calibri Light"/>
          <w:b w:val="0"/>
          <w:color w:val="21286C"/>
          <w:sz w:val="21"/>
          <w:szCs w:val="20"/>
          <w:lang w:val="el-GR"/>
        </w:rPr>
        <w:t>x</w:t>
      </w:r>
      <w:r w:rsidRPr="00C3630C">
        <w:rPr>
          <w:rFonts w:ascii="Calibri Light" w:hAnsi="Calibri Light"/>
          <w:b w:val="0"/>
          <w:bCs w:val="0"/>
          <w:color w:val="21286C"/>
          <w:sz w:val="21"/>
          <w:szCs w:val="20"/>
          <w:lang w:val="el-GR"/>
        </w:rPr>
        <w:t xml:space="preserve">, </w:t>
      </w:r>
      <w:r w:rsidR="002E3EE5">
        <w:rPr>
          <w:rFonts w:ascii="Calibri Light" w:hAnsi="Calibri Light"/>
          <w:b w:val="0"/>
          <w:color w:val="21286C"/>
          <w:sz w:val="21"/>
          <w:szCs w:val="20"/>
          <w:lang w:val="el-GR"/>
        </w:rPr>
        <w:t>παρά</w:t>
      </w:r>
      <w:r w:rsidRPr="00C3630C">
        <w:rPr>
          <w:rFonts w:ascii="Calibri Light" w:hAnsi="Calibri Light"/>
          <w:b w:val="0"/>
          <w:color w:val="21286C"/>
          <w:sz w:val="21"/>
          <w:szCs w:val="20"/>
          <w:lang w:val="el-GR"/>
        </w:rPr>
        <w:t xml:space="preserve"> </w:t>
      </w:r>
      <w:r w:rsidR="0019176C" w:rsidRPr="00C3630C">
        <w:rPr>
          <w:rFonts w:ascii="Calibri Light" w:hAnsi="Calibri Light"/>
          <w:b w:val="0"/>
          <w:color w:val="21286C"/>
          <w:sz w:val="21"/>
          <w:szCs w:val="20"/>
          <w:lang w:val="el-GR"/>
        </w:rPr>
        <w:t>την</w:t>
      </w:r>
      <w:r w:rsidR="0019176C" w:rsidRPr="00C3630C">
        <w:rPr>
          <w:rFonts w:ascii="Calibri Light" w:hAnsi="Calibri Light"/>
          <w:b w:val="0"/>
          <w:bCs w:val="0"/>
          <w:color w:val="21286C"/>
          <w:sz w:val="21"/>
          <w:szCs w:val="20"/>
          <w:lang w:val="el-GR"/>
        </w:rPr>
        <w:t xml:space="preserve"> καταβολή μερίσματος </w:t>
      </w:r>
      <w:r w:rsidR="0079488A">
        <w:rPr>
          <w:rFonts w:ascii="Calibri Light" w:hAnsi="Calibri Light"/>
          <w:b w:val="0"/>
          <w:bCs w:val="0"/>
          <w:color w:val="21286C"/>
          <w:sz w:val="21"/>
          <w:szCs w:val="20"/>
          <w:lang w:val="el-GR"/>
        </w:rPr>
        <w:t xml:space="preserve">συνολικού ύψους €224εκ. </w:t>
      </w:r>
      <w:r w:rsidRPr="00C3630C">
        <w:rPr>
          <w:rFonts w:ascii="Calibri Light" w:hAnsi="Calibri Light"/>
          <w:b w:val="0"/>
          <w:bCs w:val="0"/>
          <w:color w:val="21286C"/>
          <w:sz w:val="21"/>
          <w:szCs w:val="20"/>
          <w:lang w:val="el-GR"/>
        </w:rPr>
        <w:t xml:space="preserve">τον Ιούλιο. Τον Οκτώβριο </w:t>
      </w:r>
      <w:r w:rsidR="000E6F9D" w:rsidRPr="00C3630C">
        <w:rPr>
          <w:rFonts w:ascii="Calibri Light" w:hAnsi="Calibri Light"/>
          <w:b w:val="0"/>
          <w:bCs w:val="0"/>
          <w:color w:val="21286C"/>
          <w:sz w:val="21"/>
          <w:szCs w:val="20"/>
          <w:lang w:val="el-GR"/>
        </w:rPr>
        <w:t xml:space="preserve">του </w:t>
      </w:r>
      <w:r w:rsidRPr="00C3630C">
        <w:rPr>
          <w:rFonts w:ascii="Calibri Light" w:hAnsi="Calibri Light"/>
          <w:b w:val="0"/>
          <w:bCs w:val="0"/>
          <w:color w:val="21286C"/>
          <w:sz w:val="21"/>
          <w:szCs w:val="20"/>
          <w:lang w:val="el-GR"/>
        </w:rPr>
        <w:t xml:space="preserve">2025, </w:t>
      </w:r>
      <w:r w:rsidR="004949A3">
        <w:rPr>
          <w:rFonts w:ascii="Calibri Light" w:hAnsi="Calibri Light"/>
          <w:b w:val="0"/>
          <w:bCs w:val="0"/>
          <w:color w:val="21286C"/>
          <w:sz w:val="21"/>
          <w:szCs w:val="20"/>
          <w:lang w:val="el-GR"/>
        </w:rPr>
        <w:t>ο οίκος</w:t>
      </w:r>
      <w:r w:rsidRPr="00C3630C">
        <w:rPr>
          <w:rFonts w:ascii="Calibri Light" w:hAnsi="Calibri Light"/>
          <w:b w:val="0"/>
          <w:bCs w:val="0"/>
          <w:color w:val="21286C"/>
          <w:sz w:val="21"/>
          <w:szCs w:val="20"/>
          <w:lang w:val="el-GR"/>
        </w:rPr>
        <w:t xml:space="preserve"> </w:t>
      </w:r>
      <w:proofErr w:type="spellStart"/>
      <w:r w:rsidRPr="00C3630C">
        <w:rPr>
          <w:rFonts w:ascii="Calibri Light" w:hAnsi="Calibri Light"/>
          <w:b w:val="0"/>
          <w:bCs w:val="0"/>
          <w:color w:val="21286C"/>
          <w:sz w:val="21"/>
          <w:szCs w:val="20"/>
          <w:lang w:val="el-GR"/>
        </w:rPr>
        <w:t>Fitch</w:t>
      </w:r>
      <w:proofErr w:type="spellEnd"/>
      <w:r w:rsidR="009174AB" w:rsidRPr="00C3630C">
        <w:rPr>
          <w:rFonts w:ascii="Calibri Light" w:hAnsi="Calibri Light"/>
          <w:b w:val="0"/>
          <w:bCs w:val="0"/>
          <w:color w:val="21286C"/>
          <w:sz w:val="21"/>
          <w:szCs w:val="20"/>
          <w:lang w:val="el-GR"/>
        </w:rPr>
        <w:t xml:space="preserve"> </w:t>
      </w:r>
      <w:r w:rsidRPr="00C3630C">
        <w:rPr>
          <w:rFonts w:ascii="Calibri Light" w:hAnsi="Calibri Light"/>
          <w:b w:val="0"/>
          <w:bCs w:val="0"/>
          <w:color w:val="21286C"/>
          <w:sz w:val="21"/>
          <w:szCs w:val="20"/>
          <w:lang w:val="el-GR"/>
        </w:rPr>
        <w:t>αναβάθμισ</w:t>
      </w:r>
      <w:r w:rsidR="00EF4C13">
        <w:rPr>
          <w:rFonts w:ascii="Calibri Light" w:hAnsi="Calibri Light"/>
          <w:b w:val="0"/>
          <w:bCs w:val="0"/>
          <w:color w:val="21286C"/>
          <w:sz w:val="21"/>
          <w:szCs w:val="20"/>
          <w:lang w:val="el-GR"/>
        </w:rPr>
        <w:t>ε</w:t>
      </w:r>
      <w:r w:rsidRPr="00C3630C">
        <w:rPr>
          <w:rFonts w:ascii="Calibri Light" w:hAnsi="Calibri Light"/>
          <w:b w:val="0"/>
          <w:bCs w:val="0"/>
          <w:color w:val="21286C"/>
          <w:sz w:val="21"/>
          <w:szCs w:val="20"/>
          <w:lang w:val="el-GR"/>
        </w:rPr>
        <w:t xml:space="preserve"> την </w:t>
      </w:r>
      <w:r w:rsidR="00DC102A" w:rsidRPr="00C3630C">
        <w:rPr>
          <w:rFonts w:ascii="Calibri Light" w:hAnsi="Calibri Light"/>
          <w:b w:val="0"/>
          <w:bCs w:val="0"/>
          <w:color w:val="21286C"/>
          <w:sz w:val="21"/>
          <w:szCs w:val="20"/>
          <w:lang w:val="el-GR"/>
        </w:rPr>
        <w:t xml:space="preserve">πιστοληπτική </w:t>
      </w:r>
      <w:r w:rsidR="004A1B3E" w:rsidRPr="00C3630C">
        <w:rPr>
          <w:rFonts w:ascii="Calibri Light" w:hAnsi="Calibri Light"/>
          <w:b w:val="0"/>
          <w:bCs w:val="0"/>
          <w:color w:val="21286C"/>
          <w:sz w:val="21"/>
          <w:szCs w:val="20"/>
          <w:lang w:val="el-GR"/>
        </w:rPr>
        <w:t xml:space="preserve">ικανότητα </w:t>
      </w:r>
      <w:r w:rsidRPr="00C3630C">
        <w:rPr>
          <w:rFonts w:ascii="Calibri Light" w:hAnsi="Calibri Light"/>
          <w:b w:val="0"/>
          <w:bCs w:val="0"/>
          <w:color w:val="21286C"/>
          <w:sz w:val="21"/>
          <w:szCs w:val="20"/>
          <w:lang w:val="el-GR"/>
        </w:rPr>
        <w:t xml:space="preserve">του Τιτάνα σε «BB+ με θετική προοπτική», αναγνωρίζοντας τη βελτίωση </w:t>
      </w:r>
      <w:r w:rsidR="00E86B24" w:rsidRPr="00C3630C">
        <w:rPr>
          <w:rFonts w:ascii="Calibri Light" w:hAnsi="Calibri Light"/>
          <w:b w:val="0"/>
          <w:bCs w:val="0"/>
          <w:color w:val="21286C"/>
          <w:sz w:val="21"/>
          <w:szCs w:val="20"/>
          <w:lang w:val="el-GR"/>
        </w:rPr>
        <w:t>των αποτελεσμάτων το</w:t>
      </w:r>
      <w:r w:rsidRPr="00C3630C">
        <w:rPr>
          <w:rFonts w:ascii="Calibri Light" w:hAnsi="Calibri Light"/>
          <w:b w:val="0"/>
          <w:bCs w:val="0"/>
          <w:color w:val="21286C"/>
          <w:sz w:val="21"/>
          <w:szCs w:val="20"/>
          <w:lang w:val="el-GR"/>
        </w:rPr>
        <w:t>υ Ομίλου. Ένα νέο πρόγραμμα αγοράς ιδίων μετοχών ύψους €10 εκ. ξεκίνησε τον Ιούλιο 2025, μετά την ολοκλήρωση του προηγούμενου. Σήμερα ο ΤΙΤΑΝ κατέχει 5,</w:t>
      </w:r>
      <w:r w:rsidR="00953D24">
        <w:rPr>
          <w:rFonts w:ascii="Calibri Light" w:hAnsi="Calibri Light"/>
          <w:b w:val="0"/>
          <w:bCs w:val="0"/>
          <w:color w:val="21286C"/>
          <w:sz w:val="21"/>
          <w:szCs w:val="20"/>
          <w:lang w:val="el-GR"/>
        </w:rPr>
        <w:t>0</w:t>
      </w:r>
      <w:r w:rsidRPr="00C3630C">
        <w:rPr>
          <w:rFonts w:ascii="Calibri Light" w:hAnsi="Calibri Light"/>
          <w:b w:val="0"/>
          <w:bCs w:val="0"/>
          <w:color w:val="21286C"/>
          <w:sz w:val="21"/>
          <w:szCs w:val="20"/>
          <w:lang w:val="el-GR"/>
        </w:rPr>
        <w:t>% των μετοχών της εταιρίας.</w:t>
      </w:r>
    </w:p>
    <w:p w14:paraId="23C0A382" w14:textId="77777777" w:rsidR="007F51C9" w:rsidRPr="007F51C9" w:rsidRDefault="007F51C9" w:rsidP="00983A85">
      <w:pPr>
        <w:pStyle w:val="C"/>
        <w:spacing w:line="240" w:lineRule="auto"/>
        <w:jc w:val="both"/>
        <w:rPr>
          <w:rFonts w:cs="Calibri"/>
          <w:color w:val="21286C"/>
          <w:sz w:val="2"/>
          <w:szCs w:val="2"/>
          <w:lang w:val="el-GR"/>
        </w:rPr>
      </w:pPr>
    </w:p>
    <w:p w14:paraId="1ADDC0F4" w14:textId="291C1DE7" w:rsidR="005F65A7" w:rsidRPr="00C3630C" w:rsidRDefault="001C12FF" w:rsidP="00983A85">
      <w:pPr>
        <w:pStyle w:val="C"/>
        <w:spacing w:line="240" w:lineRule="auto"/>
        <w:jc w:val="both"/>
        <w:rPr>
          <w:rFonts w:cs="Calibri"/>
          <w:noProof/>
          <w:color w:val="21286C"/>
          <w:lang w:val="el-GR" w:eastAsia="el-GR"/>
        </w:rPr>
      </w:pPr>
      <w:r w:rsidRPr="00C3630C">
        <w:rPr>
          <w:rFonts w:cs="Calibri"/>
          <w:noProof/>
          <w:color w:val="21286C"/>
        </w:rPr>
        <mc:AlternateContent>
          <mc:Choice Requires="wps">
            <w:drawing>
              <wp:anchor distT="0" distB="0" distL="114300" distR="114300" simplePos="0" relativeHeight="251658241" behindDoc="0" locked="0" layoutInCell="1" allowOverlap="1" wp14:anchorId="3A9245D4" wp14:editId="188D9FE6">
                <wp:simplePos x="0" y="0"/>
                <wp:positionH relativeFrom="column">
                  <wp:posOffset>2209</wp:posOffset>
                </wp:positionH>
                <wp:positionV relativeFrom="paragraph">
                  <wp:posOffset>227074</wp:posOffset>
                </wp:positionV>
                <wp:extent cx="6112446" cy="0"/>
                <wp:effectExtent l="0" t="0" r="9525" b="12700"/>
                <wp:wrapNone/>
                <wp:docPr id="21" name="Straight Connector 21"/>
                <wp:cNvGraphicFramePr/>
                <a:graphic xmlns:a="http://schemas.openxmlformats.org/drawingml/2006/main">
                  <a:graphicData uri="http://schemas.microsoft.com/office/word/2010/wordprocessingShape">
                    <wps:wsp>
                      <wps:cNvCnPr/>
                      <wps:spPr>
                        <a:xfrm>
                          <a:off x="0" y="0"/>
                          <a:ext cx="6112446"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C0C58" id="Straight Connector 2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7.9pt" to="481.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" strokecolor="#00183d" strokeweight=".25pt"/>
            </w:pict>
          </mc:Fallback>
        </mc:AlternateContent>
      </w:r>
      <w:r w:rsidR="000B1F0A" w:rsidRPr="00C3630C">
        <w:rPr>
          <w:rFonts w:cs="Calibri"/>
          <w:noProof/>
          <w:color w:val="21286C"/>
          <w:lang w:val="el-GR"/>
        </w:rPr>
        <w:t>Επισκόπηση αγορών για το εννεάμηνο του 202</w:t>
      </w:r>
      <w:r w:rsidR="00E65991" w:rsidRPr="00C3630C">
        <w:rPr>
          <w:rFonts w:cs="Calibri"/>
          <w:noProof/>
          <w:color w:val="21286C"/>
          <w:lang w:val="el-GR"/>
        </w:rPr>
        <w:t>5</w:t>
      </w:r>
    </w:p>
    <w:tbl>
      <w:tblPr>
        <w:tblW w:w="9735" w:type="dxa"/>
        <w:tblLayout w:type="fixed"/>
        <w:tblCellMar>
          <w:left w:w="0" w:type="dxa"/>
          <w:right w:w="0" w:type="dxa"/>
        </w:tblCellMar>
        <w:tblLook w:val="04A0" w:firstRow="1" w:lastRow="0" w:firstColumn="1" w:lastColumn="0" w:noHBand="0" w:noVBand="1"/>
      </w:tblPr>
      <w:tblGrid>
        <w:gridCol w:w="2762"/>
        <w:gridCol w:w="1017"/>
        <w:gridCol w:w="1017"/>
        <w:gridCol w:w="1162"/>
        <w:gridCol w:w="242"/>
        <w:gridCol w:w="1211"/>
        <w:gridCol w:w="1162"/>
        <w:gridCol w:w="1162"/>
      </w:tblGrid>
      <w:tr w:rsidR="00722DB5" w:rsidRPr="00C3630C" w14:paraId="3D6C9EB4" w14:textId="77777777" w:rsidTr="00722DB5">
        <w:trPr>
          <w:trHeight w:val="546"/>
        </w:trPr>
        <w:tc>
          <w:tcPr>
            <w:tcW w:w="2762" w:type="dxa"/>
            <w:tcBorders>
              <w:top w:val="nil"/>
              <w:left w:val="nil"/>
              <w:bottom w:val="nil"/>
              <w:right w:val="nil"/>
            </w:tcBorders>
            <w:noWrap/>
            <w:vAlign w:val="center"/>
          </w:tcPr>
          <w:p w14:paraId="3131FB6A" w14:textId="7122CCB1" w:rsidR="00722DB5" w:rsidRPr="00C3630C" w:rsidRDefault="0056202F">
            <w:pPr>
              <w:rPr>
                <w:rFonts w:ascii="Calibri" w:eastAsia="Calibri" w:hAnsi="Calibri" w:cs="Calibri"/>
                <w:i/>
                <w:iCs/>
                <w:color w:val="00183D"/>
                <w:sz w:val="14"/>
                <w:szCs w:val="14"/>
                <w:lang w:val="el-GR" w:eastAsia="en-GB"/>
              </w:rPr>
            </w:pPr>
            <w:r w:rsidRPr="00C3630C">
              <w:rPr>
                <w:rFonts w:ascii="Calibri" w:eastAsia="Calibri" w:hAnsi="Calibri" w:cs="Calibri"/>
                <w:i/>
                <w:iCs/>
                <w:color w:val="00183D"/>
                <w:sz w:val="8"/>
                <w:szCs w:val="8"/>
                <w:lang w:val="el-GR" w:eastAsia="en-GB"/>
              </w:rPr>
              <w:br/>
            </w:r>
          </w:p>
        </w:tc>
        <w:tc>
          <w:tcPr>
            <w:tcW w:w="3196" w:type="dxa"/>
            <w:gridSpan w:val="3"/>
            <w:tcBorders>
              <w:top w:val="nil"/>
              <w:left w:val="nil"/>
              <w:bottom w:val="nil"/>
              <w:right w:val="nil"/>
            </w:tcBorders>
            <w:noWrap/>
            <w:vAlign w:val="center"/>
          </w:tcPr>
          <w:p w14:paraId="6586D10C" w14:textId="77777777" w:rsidR="00722DB5" w:rsidRPr="00C3630C" w:rsidRDefault="00722DB5">
            <w:pPr>
              <w:jc w:val="center"/>
              <w:rPr>
                <w:rFonts w:ascii="Calibri" w:eastAsia="Calibri" w:hAnsi="Calibri" w:cs="Calibri"/>
                <w:b/>
                <w:bCs/>
                <w:i/>
                <w:iCs/>
                <w:color w:val="21286C"/>
                <w:sz w:val="21"/>
                <w:szCs w:val="21"/>
                <w:lang w:val="el-GR" w:eastAsia="en-GB"/>
              </w:rPr>
            </w:pPr>
          </w:p>
          <w:p w14:paraId="000E9467" w14:textId="7741C151" w:rsidR="00722DB5" w:rsidRPr="00C3630C" w:rsidRDefault="00757C7D">
            <w:pPr>
              <w:jc w:val="center"/>
              <w:rPr>
                <w:rFonts w:ascii="Calibri" w:eastAsia="Calibri" w:hAnsi="Calibri" w:cs="Calibri"/>
                <w:b/>
                <w:bCs/>
                <w:i/>
                <w:iCs/>
                <w:color w:val="21286C"/>
                <w:sz w:val="21"/>
                <w:szCs w:val="21"/>
                <w:lang w:val="el-GR" w:eastAsia="en-GB"/>
              </w:rPr>
            </w:pPr>
            <w:r w:rsidRPr="00C3630C">
              <w:rPr>
                <w:rFonts w:ascii="Calibri" w:eastAsia="Calibri" w:hAnsi="Calibri" w:cs="Calibri"/>
                <w:b/>
                <w:bCs/>
                <w:i/>
                <w:iCs/>
                <w:color w:val="21286C"/>
                <w:sz w:val="21"/>
                <w:szCs w:val="21"/>
                <w:lang w:val="el-GR" w:eastAsia="en-GB"/>
              </w:rPr>
              <w:t>Πωλήσεις</w:t>
            </w:r>
          </w:p>
          <w:p w14:paraId="4A5FDB21" w14:textId="77777777" w:rsidR="00722DB5" w:rsidRPr="00C3630C" w:rsidRDefault="00722DB5">
            <w:pPr>
              <w:rPr>
                <w:rFonts w:ascii="Calibri" w:eastAsia="Calibri" w:hAnsi="Calibri" w:cs="Calibri"/>
                <w:b/>
                <w:bCs/>
                <w:i/>
                <w:iCs/>
                <w:color w:val="21286C"/>
                <w:sz w:val="21"/>
                <w:szCs w:val="21"/>
                <w:lang w:eastAsia="en-GB"/>
              </w:rPr>
            </w:pPr>
          </w:p>
        </w:tc>
        <w:tc>
          <w:tcPr>
            <w:tcW w:w="242" w:type="dxa"/>
            <w:tcBorders>
              <w:left w:val="nil"/>
              <w:bottom w:val="nil"/>
              <w:right w:val="nil"/>
            </w:tcBorders>
          </w:tcPr>
          <w:p w14:paraId="5A66652B" w14:textId="77777777" w:rsidR="00722DB5" w:rsidRPr="00C3630C" w:rsidRDefault="00722DB5">
            <w:pPr>
              <w:jc w:val="right"/>
              <w:rPr>
                <w:rFonts w:ascii="Calibri" w:eastAsia="Calibri" w:hAnsi="Calibri" w:cs="Calibri"/>
                <w:b/>
                <w:bCs/>
                <w:color w:val="21286C"/>
                <w:sz w:val="21"/>
                <w:szCs w:val="21"/>
                <w:lang w:eastAsia="en-GB"/>
              </w:rPr>
            </w:pPr>
          </w:p>
        </w:tc>
        <w:tc>
          <w:tcPr>
            <w:tcW w:w="3535" w:type="dxa"/>
            <w:gridSpan w:val="3"/>
            <w:tcBorders>
              <w:top w:val="nil"/>
              <w:left w:val="nil"/>
              <w:bottom w:val="nil"/>
              <w:right w:val="nil"/>
            </w:tcBorders>
            <w:vAlign w:val="center"/>
          </w:tcPr>
          <w:p w14:paraId="2544047B" w14:textId="77777777" w:rsidR="00722DB5" w:rsidRPr="00C3630C" w:rsidRDefault="00722DB5">
            <w:pPr>
              <w:jc w:val="center"/>
              <w:rPr>
                <w:rFonts w:ascii="Calibri" w:eastAsia="Calibri" w:hAnsi="Calibri" w:cs="Calibri"/>
                <w:b/>
                <w:bCs/>
                <w:i/>
                <w:iCs/>
                <w:color w:val="21286C"/>
                <w:sz w:val="21"/>
                <w:szCs w:val="21"/>
                <w:lang w:eastAsia="en-GB"/>
              </w:rPr>
            </w:pPr>
            <w:r w:rsidRPr="00C3630C">
              <w:rPr>
                <w:rFonts w:ascii="Calibri" w:eastAsia="Calibri" w:hAnsi="Calibri" w:cs="Calibri"/>
                <w:b/>
                <w:bCs/>
                <w:i/>
                <w:iCs/>
                <w:color w:val="21286C"/>
                <w:sz w:val="21"/>
                <w:szCs w:val="21"/>
                <w:lang w:eastAsia="en-GB"/>
              </w:rPr>
              <w:t>EBITDA</w:t>
            </w:r>
          </w:p>
        </w:tc>
      </w:tr>
      <w:tr w:rsidR="00757C7D" w:rsidRPr="00C3630C" w14:paraId="50B00CF7" w14:textId="77777777" w:rsidTr="00722DB5">
        <w:trPr>
          <w:trHeight w:val="801"/>
        </w:trPr>
        <w:tc>
          <w:tcPr>
            <w:tcW w:w="2762" w:type="dxa"/>
            <w:tcBorders>
              <w:top w:val="nil"/>
              <w:left w:val="nil"/>
              <w:bottom w:val="nil"/>
              <w:right w:val="nil"/>
            </w:tcBorders>
            <w:noWrap/>
            <w:vAlign w:val="center"/>
            <w:hideMark/>
          </w:tcPr>
          <w:p w14:paraId="0B1125D4" w14:textId="5CA9CB78" w:rsidR="00757C7D" w:rsidRPr="00C3630C" w:rsidRDefault="00757C7D" w:rsidP="00757C7D">
            <w:pPr>
              <w:rPr>
                <w:rFonts w:ascii="Calibri" w:eastAsia="Calibri" w:hAnsi="Calibri" w:cs="Calibri"/>
                <w:i/>
                <w:iCs/>
                <w:color w:val="21286C"/>
                <w:sz w:val="14"/>
                <w:szCs w:val="14"/>
                <w:lang w:val="el-GR" w:eastAsia="en-GB"/>
              </w:rPr>
            </w:pPr>
            <w:r w:rsidRPr="00C3630C">
              <w:rPr>
                <w:rFonts w:ascii="Calibri" w:hAnsi="Calibri" w:cs="Calibri"/>
                <w:i/>
                <w:iCs/>
                <w:color w:val="21286C"/>
                <w:sz w:val="14"/>
                <w:szCs w:val="14"/>
                <w:lang w:val="el-GR" w:eastAsia="en-GB"/>
              </w:rPr>
              <w:t xml:space="preserve">Σε εκατομμύρια Ευρώ, </w:t>
            </w:r>
            <w:r w:rsidRPr="00C3630C">
              <w:rPr>
                <w:rFonts w:ascii="Calibri" w:hAnsi="Calibri" w:cs="Calibri"/>
                <w:i/>
                <w:iCs/>
                <w:color w:val="21286C"/>
                <w:sz w:val="14"/>
                <w:szCs w:val="14"/>
                <w:lang w:val="el-GR" w:eastAsia="en-GB"/>
              </w:rPr>
              <w:br/>
              <w:t>εκτός εάν ορίζεται διαφορετικά</w:t>
            </w:r>
          </w:p>
        </w:tc>
        <w:tc>
          <w:tcPr>
            <w:tcW w:w="1017" w:type="dxa"/>
            <w:tcBorders>
              <w:top w:val="single" w:sz="4" w:space="0" w:color="auto"/>
              <w:left w:val="nil"/>
              <w:bottom w:val="nil"/>
              <w:right w:val="nil"/>
            </w:tcBorders>
            <w:shd w:val="clear" w:color="auto" w:fill="F2F2F2" w:themeFill="background1" w:themeFillShade="F2"/>
            <w:noWrap/>
            <w:vAlign w:val="center"/>
            <w:hideMark/>
          </w:tcPr>
          <w:p w14:paraId="2BE4DF9A" w14:textId="77777777" w:rsidR="00757C7D" w:rsidRPr="00C3630C" w:rsidRDefault="00757C7D" w:rsidP="00757C7D">
            <w:pPr>
              <w:jc w:val="right"/>
              <w:rPr>
                <w:rFonts w:ascii="Calibri" w:eastAsia="Calibri" w:hAnsi="Calibri" w:cs="Calibri"/>
                <w:b/>
                <w:bCs/>
                <w:color w:val="01B1D7"/>
                <w:sz w:val="21"/>
                <w:szCs w:val="21"/>
                <w:lang w:eastAsia="en-GB"/>
              </w:rPr>
            </w:pPr>
            <w:r w:rsidRPr="00C3630C">
              <w:rPr>
                <w:rFonts w:ascii="Calibri" w:eastAsia="Calibri" w:hAnsi="Calibri" w:cs="Calibri"/>
                <w:b/>
                <w:bCs/>
                <w:color w:val="01B1D7"/>
                <w:sz w:val="21"/>
                <w:szCs w:val="21"/>
                <w:lang w:val="el-GR" w:eastAsia="en-GB"/>
              </w:rPr>
              <w:t xml:space="preserve">       </w:t>
            </w:r>
            <w:r w:rsidRPr="00C3630C">
              <w:rPr>
                <w:rFonts w:ascii="Calibri" w:eastAsia="Calibri" w:hAnsi="Calibri" w:cs="Calibri"/>
                <w:b/>
                <w:bCs/>
                <w:color w:val="01B1D7"/>
                <w:sz w:val="21"/>
                <w:szCs w:val="21"/>
                <w:lang w:eastAsia="en-GB"/>
              </w:rPr>
              <w:t xml:space="preserve">9M 2025 </w:t>
            </w:r>
          </w:p>
        </w:tc>
        <w:tc>
          <w:tcPr>
            <w:tcW w:w="1017" w:type="dxa"/>
            <w:tcBorders>
              <w:top w:val="single" w:sz="4" w:space="0" w:color="auto"/>
              <w:left w:val="nil"/>
              <w:bottom w:val="nil"/>
              <w:right w:val="nil"/>
            </w:tcBorders>
            <w:vAlign w:val="center"/>
          </w:tcPr>
          <w:p w14:paraId="0662E985" w14:textId="77777777" w:rsidR="00757C7D" w:rsidRPr="00C3630C" w:rsidRDefault="00757C7D" w:rsidP="00757C7D">
            <w:pPr>
              <w:jc w:val="right"/>
              <w:rPr>
                <w:rFonts w:ascii="Calibri" w:eastAsia="Calibri" w:hAnsi="Calibri" w:cs="Calibri"/>
                <w:b/>
                <w:bCs/>
                <w:color w:val="21286C"/>
                <w:sz w:val="21"/>
                <w:szCs w:val="21"/>
                <w:lang w:eastAsia="en-GB"/>
              </w:rPr>
            </w:pPr>
            <w:r w:rsidRPr="00C3630C">
              <w:rPr>
                <w:rFonts w:ascii="Calibri" w:eastAsia="Calibri" w:hAnsi="Calibri" w:cs="Calibri"/>
                <w:b/>
                <w:bCs/>
                <w:color w:val="21286C"/>
                <w:sz w:val="21"/>
                <w:szCs w:val="21"/>
                <w:lang w:eastAsia="en-GB"/>
              </w:rPr>
              <w:t xml:space="preserve">       9M 2024</w:t>
            </w:r>
            <w:r w:rsidRPr="00C3630C">
              <w:rPr>
                <w:rFonts w:ascii="Calibri" w:eastAsia="Calibri" w:hAnsi="Calibri" w:cs="Calibri"/>
                <w:b/>
                <w:color w:val="21286C"/>
                <w:sz w:val="21"/>
                <w:szCs w:val="21"/>
                <w:lang w:eastAsia="en-GB"/>
              </w:rPr>
              <w:t xml:space="preserve"> </w:t>
            </w:r>
          </w:p>
        </w:tc>
        <w:tc>
          <w:tcPr>
            <w:tcW w:w="1162" w:type="dxa"/>
            <w:tcBorders>
              <w:top w:val="single" w:sz="4" w:space="0" w:color="auto"/>
              <w:left w:val="nil"/>
              <w:bottom w:val="nil"/>
              <w:right w:val="nil"/>
            </w:tcBorders>
            <w:noWrap/>
            <w:vAlign w:val="center"/>
            <w:hideMark/>
          </w:tcPr>
          <w:p w14:paraId="1BA54D3D" w14:textId="1D81BDC8" w:rsidR="00757C7D" w:rsidRPr="00C3630C" w:rsidRDefault="00757C7D" w:rsidP="00757C7D">
            <w:pPr>
              <w:jc w:val="right"/>
              <w:rPr>
                <w:rFonts w:ascii="Calibri" w:eastAsia="Calibri" w:hAnsi="Calibri" w:cs="Calibri"/>
                <w:b/>
                <w:bCs/>
                <w:i/>
                <w:iCs/>
                <w:color w:val="21286C"/>
                <w:sz w:val="21"/>
                <w:szCs w:val="21"/>
                <w:lang w:eastAsia="en-GB"/>
              </w:rPr>
            </w:pPr>
            <w:r w:rsidRPr="00C3630C">
              <w:rPr>
                <w:rFonts w:ascii="Calibri" w:eastAsia="Calibri" w:hAnsi="Calibri" w:cs="Calibri"/>
                <w:b/>
                <w:bCs/>
                <w:i/>
                <w:iCs/>
                <w:color w:val="21286C"/>
                <w:sz w:val="21"/>
                <w:szCs w:val="21"/>
                <w:lang w:eastAsia="en-GB"/>
              </w:rPr>
              <w:t xml:space="preserve">     %</w:t>
            </w:r>
          </w:p>
        </w:tc>
        <w:tc>
          <w:tcPr>
            <w:tcW w:w="242" w:type="dxa"/>
            <w:vMerge w:val="restart"/>
            <w:tcBorders>
              <w:left w:val="nil"/>
              <w:right w:val="nil"/>
            </w:tcBorders>
            <w:shd w:val="clear" w:color="auto" w:fill="A6A6A6" w:themeFill="background1" w:themeFillShade="A6"/>
          </w:tcPr>
          <w:p w14:paraId="2F90E04C" w14:textId="77777777" w:rsidR="00757C7D" w:rsidRPr="00C3630C" w:rsidRDefault="00757C7D" w:rsidP="00757C7D">
            <w:pPr>
              <w:jc w:val="right"/>
              <w:rPr>
                <w:rFonts w:ascii="Calibri" w:eastAsia="Calibri" w:hAnsi="Calibri" w:cs="Calibri"/>
                <w:b/>
                <w:bCs/>
                <w:color w:val="01B1D7"/>
                <w:sz w:val="21"/>
                <w:szCs w:val="21"/>
                <w:lang w:eastAsia="en-GB"/>
              </w:rPr>
            </w:pPr>
          </w:p>
        </w:tc>
        <w:tc>
          <w:tcPr>
            <w:tcW w:w="1211" w:type="dxa"/>
            <w:tcBorders>
              <w:top w:val="single" w:sz="4" w:space="0" w:color="auto"/>
              <w:left w:val="nil"/>
              <w:bottom w:val="nil"/>
              <w:right w:val="nil"/>
            </w:tcBorders>
            <w:shd w:val="clear" w:color="auto" w:fill="F2F2F2" w:themeFill="background1" w:themeFillShade="F2"/>
            <w:vAlign w:val="center"/>
          </w:tcPr>
          <w:p w14:paraId="63F993DB" w14:textId="77777777" w:rsidR="00757C7D" w:rsidRPr="00C3630C" w:rsidRDefault="00757C7D" w:rsidP="00757C7D">
            <w:pPr>
              <w:ind w:left="-125"/>
              <w:jc w:val="right"/>
              <w:rPr>
                <w:rFonts w:ascii="Calibri" w:eastAsia="Calibri" w:hAnsi="Calibri" w:cs="Calibri"/>
                <w:b/>
                <w:bCs/>
                <w:color w:val="01B1D7"/>
                <w:sz w:val="21"/>
                <w:szCs w:val="21"/>
                <w:lang w:eastAsia="en-GB"/>
              </w:rPr>
            </w:pPr>
            <w:r w:rsidRPr="00C3630C">
              <w:rPr>
                <w:rFonts w:ascii="Calibri" w:eastAsia="Calibri" w:hAnsi="Calibri" w:cs="Calibri"/>
                <w:b/>
                <w:bCs/>
                <w:color w:val="01B1D7"/>
                <w:sz w:val="21"/>
                <w:szCs w:val="21"/>
                <w:lang w:eastAsia="en-GB"/>
              </w:rPr>
              <w:t xml:space="preserve">          9M 2025</w:t>
            </w:r>
          </w:p>
        </w:tc>
        <w:tc>
          <w:tcPr>
            <w:tcW w:w="1162" w:type="dxa"/>
            <w:tcBorders>
              <w:top w:val="single" w:sz="4" w:space="0" w:color="auto"/>
              <w:left w:val="nil"/>
              <w:bottom w:val="nil"/>
              <w:right w:val="nil"/>
            </w:tcBorders>
            <w:vAlign w:val="center"/>
          </w:tcPr>
          <w:p w14:paraId="78AA2700" w14:textId="77777777" w:rsidR="00757C7D" w:rsidRPr="00C3630C" w:rsidRDefault="00757C7D" w:rsidP="00757C7D">
            <w:pPr>
              <w:jc w:val="right"/>
              <w:rPr>
                <w:rFonts w:ascii="Calibri" w:eastAsia="Calibri" w:hAnsi="Calibri" w:cs="Calibri"/>
                <w:b/>
                <w:bCs/>
                <w:i/>
                <w:iCs/>
                <w:color w:val="21286C"/>
                <w:sz w:val="21"/>
                <w:szCs w:val="21"/>
                <w:lang w:eastAsia="en-GB"/>
              </w:rPr>
            </w:pPr>
            <w:r w:rsidRPr="00C3630C">
              <w:rPr>
                <w:rFonts w:ascii="Calibri" w:eastAsia="Calibri" w:hAnsi="Calibri" w:cs="Calibri"/>
                <w:b/>
                <w:bCs/>
                <w:color w:val="21286C"/>
                <w:sz w:val="21"/>
                <w:szCs w:val="21"/>
                <w:lang w:eastAsia="en-GB"/>
              </w:rPr>
              <w:t xml:space="preserve">       9M 2024</w:t>
            </w:r>
            <w:r w:rsidRPr="00C3630C">
              <w:rPr>
                <w:rFonts w:ascii="Calibri" w:eastAsia="Calibri" w:hAnsi="Calibri" w:cs="Calibri"/>
                <w:b/>
                <w:color w:val="21286C"/>
                <w:sz w:val="21"/>
                <w:szCs w:val="21"/>
                <w:lang w:eastAsia="en-GB"/>
              </w:rPr>
              <w:t xml:space="preserve"> </w:t>
            </w:r>
          </w:p>
        </w:tc>
        <w:tc>
          <w:tcPr>
            <w:tcW w:w="1162" w:type="dxa"/>
            <w:tcBorders>
              <w:top w:val="single" w:sz="4" w:space="0" w:color="auto"/>
              <w:left w:val="nil"/>
              <w:bottom w:val="nil"/>
              <w:right w:val="nil"/>
            </w:tcBorders>
            <w:vAlign w:val="center"/>
          </w:tcPr>
          <w:p w14:paraId="32A7212A" w14:textId="5EB13FE7" w:rsidR="00757C7D" w:rsidRPr="00C3630C" w:rsidRDefault="00757C7D" w:rsidP="00757C7D">
            <w:pPr>
              <w:jc w:val="right"/>
              <w:rPr>
                <w:rFonts w:ascii="Calibri" w:eastAsia="Calibri" w:hAnsi="Calibri" w:cs="Calibri"/>
                <w:b/>
                <w:bCs/>
                <w:i/>
                <w:iCs/>
                <w:color w:val="21286C"/>
                <w:sz w:val="21"/>
                <w:szCs w:val="21"/>
                <w:lang w:eastAsia="en-GB"/>
              </w:rPr>
            </w:pPr>
            <w:r w:rsidRPr="00C3630C">
              <w:rPr>
                <w:rFonts w:ascii="Calibri" w:eastAsia="Calibri" w:hAnsi="Calibri" w:cs="Calibri"/>
                <w:b/>
                <w:bCs/>
                <w:i/>
                <w:iCs/>
                <w:color w:val="21286C"/>
                <w:sz w:val="21"/>
                <w:szCs w:val="21"/>
                <w:lang w:eastAsia="en-GB"/>
              </w:rPr>
              <w:t xml:space="preserve"> %</w:t>
            </w:r>
          </w:p>
        </w:tc>
      </w:tr>
      <w:tr w:rsidR="00722DB5" w:rsidRPr="00C3630C" w14:paraId="431194D1" w14:textId="77777777" w:rsidTr="00722DB5">
        <w:trPr>
          <w:trHeight w:val="387"/>
        </w:trPr>
        <w:tc>
          <w:tcPr>
            <w:tcW w:w="2762" w:type="dxa"/>
            <w:tcBorders>
              <w:top w:val="single" w:sz="4" w:space="0" w:color="auto"/>
              <w:left w:val="nil"/>
              <w:bottom w:val="single" w:sz="4" w:space="0" w:color="auto"/>
              <w:right w:val="nil"/>
            </w:tcBorders>
            <w:noWrap/>
            <w:hideMark/>
          </w:tcPr>
          <w:p w14:paraId="0B72AF93" w14:textId="77777777" w:rsidR="00722DB5" w:rsidRDefault="00722DB5" w:rsidP="00722DB5">
            <w:pPr>
              <w:rPr>
                <w:rFonts w:ascii="Calibri" w:eastAsia="Calibri" w:hAnsi="Calibri" w:cs="Calibri"/>
                <w:b/>
                <w:bCs/>
                <w:color w:val="21286C"/>
                <w:sz w:val="20"/>
                <w:szCs w:val="20"/>
                <w:lang w:val="el-GR" w:eastAsia="en-GB"/>
              </w:rPr>
            </w:pPr>
            <w:r w:rsidRPr="00C3630C">
              <w:rPr>
                <w:rFonts w:ascii="Calibri" w:eastAsia="Calibri" w:hAnsi="Calibri" w:cs="Calibri"/>
                <w:b/>
                <w:bCs/>
                <w:color w:val="21286C"/>
                <w:sz w:val="20"/>
                <w:szCs w:val="20"/>
                <w:lang w:val="el-GR" w:eastAsia="en-GB"/>
              </w:rPr>
              <w:t>ΗΠΑ</w:t>
            </w:r>
          </w:p>
          <w:p w14:paraId="0CEE4F3A" w14:textId="3E4EE1F7" w:rsidR="00A25BE9" w:rsidRPr="00C3630C" w:rsidRDefault="00A25BE9" w:rsidP="00722DB5">
            <w:pPr>
              <w:rPr>
                <w:rFonts w:ascii="Calibri" w:eastAsia="Calibri" w:hAnsi="Calibri" w:cs="Calibri"/>
                <w:b/>
                <w:bCs/>
                <w:color w:val="21286C"/>
                <w:sz w:val="20"/>
                <w:szCs w:val="20"/>
                <w:lang w:eastAsia="en-GB"/>
              </w:rPr>
            </w:pPr>
            <w:r>
              <w:rPr>
                <w:rFonts w:ascii="Calibri" w:eastAsia="Calibri" w:hAnsi="Calibri" w:cs="Calibri"/>
                <w:b/>
                <w:bCs/>
                <w:color w:val="21286C"/>
                <w:sz w:val="20"/>
                <w:szCs w:val="20"/>
                <w:lang w:val="el-GR" w:eastAsia="en-GB"/>
              </w:rPr>
              <w:t>ΗΠΑ (σε εκ. $)</w:t>
            </w:r>
          </w:p>
        </w:tc>
        <w:tc>
          <w:tcPr>
            <w:tcW w:w="1017" w:type="dxa"/>
            <w:tcBorders>
              <w:top w:val="single" w:sz="4" w:space="0" w:color="auto"/>
              <w:left w:val="nil"/>
              <w:bottom w:val="single" w:sz="4" w:space="0" w:color="auto"/>
              <w:right w:val="nil"/>
            </w:tcBorders>
            <w:shd w:val="clear" w:color="auto" w:fill="F2F2F2" w:themeFill="background1" w:themeFillShade="F2"/>
            <w:noWrap/>
          </w:tcPr>
          <w:p w14:paraId="78D04CE9" w14:textId="77777777" w:rsidR="00722DB5" w:rsidRPr="00C3630C" w:rsidRDefault="00722DB5" w:rsidP="00722DB5">
            <w:pPr>
              <w:jc w:val="right"/>
              <w:rPr>
                <w:rFonts w:ascii="Calibri" w:eastAsia="Calibri" w:hAnsi="Calibri" w:cs="Calibri"/>
                <w:b/>
                <w:bCs/>
                <w:color w:val="21286C"/>
                <w:sz w:val="20"/>
                <w:szCs w:val="20"/>
                <w:lang w:val="en-GB" w:eastAsia="en-GB"/>
              </w:rPr>
            </w:pPr>
            <w:r w:rsidRPr="00C3630C">
              <w:rPr>
                <w:rFonts w:ascii="Calibri" w:eastAsia="Calibri" w:hAnsi="Calibri" w:cs="Calibri"/>
                <w:b/>
                <w:bCs/>
                <w:color w:val="21286C"/>
                <w:sz w:val="20"/>
                <w:szCs w:val="20"/>
                <w:lang w:val="en-GB" w:eastAsia="en-GB"/>
              </w:rPr>
              <w:t>1.129,</w:t>
            </w:r>
            <w:r w:rsidR="00104A05" w:rsidRPr="00C3630C">
              <w:rPr>
                <w:rFonts w:ascii="Calibri" w:eastAsia="Calibri" w:hAnsi="Calibri" w:cs="Calibri"/>
                <w:b/>
                <w:bCs/>
                <w:color w:val="21286C"/>
                <w:sz w:val="20"/>
                <w:szCs w:val="20"/>
                <w:lang w:val="en-GB" w:eastAsia="en-GB"/>
              </w:rPr>
              <w:t>1</w:t>
            </w:r>
          </w:p>
          <w:p w14:paraId="2D622256" w14:textId="6CCF9761" w:rsidR="00104A05" w:rsidRPr="00C3630C" w:rsidRDefault="00104A05" w:rsidP="00722DB5">
            <w:pPr>
              <w:jc w:val="right"/>
              <w:rPr>
                <w:rFonts w:ascii="Calibri" w:eastAsia="Calibri" w:hAnsi="Calibri" w:cs="Calibri"/>
                <w:b/>
                <w:color w:val="21286C"/>
                <w:sz w:val="20"/>
                <w:szCs w:val="20"/>
                <w:lang w:eastAsia="en-GB"/>
              </w:rPr>
            </w:pPr>
            <w:r w:rsidRPr="00C3630C">
              <w:rPr>
                <w:rFonts w:ascii="Calibri" w:eastAsia="Calibri" w:hAnsi="Calibri" w:cs="Calibri"/>
                <w:b/>
                <w:bCs/>
                <w:color w:val="21286C"/>
                <w:sz w:val="20"/>
                <w:szCs w:val="20"/>
                <w:lang w:val="en-GB" w:eastAsia="en-GB"/>
              </w:rPr>
              <w:t>1.264,0</w:t>
            </w:r>
          </w:p>
        </w:tc>
        <w:tc>
          <w:tcPr>
            <w:tcW w:w="1017" w:type="dxa"/>
            <w:tcBorders>
              <w:top w:val="single" w:sz="4" w:space="0" w:color="auto"/>
              <w:left w:val="nil"/>
              <w:bottom w:val="single" w:sz="4" w:space="0" w:color="auto"/>
              <w:right w:val="nil"/>
            </w:tcBorders>
          </w:tcPr>
          <w:p w14:paraId="635AA6E7" w14:textId="77777777" w:rsidR="00722DB5" w:rsidRPr="00C3630C" w:rsidRDefault="00722DB5" w:rsidP="00722DB5">
            <w:pPr>
              <w:jc w:val="right"/>
              <w:rPr>
                <w:rFonts w:ascii="Calibri" w:eastAsia="Calibri" w:hAnsi="Calibri" w:cs="Calibri"/>
                <w:color w:val="21286C"/>
                <w:sz w:val="20"/>
                <w:szCs w:val="20"/>
                <w:lang w:eastAsia="en-GB"/>
              </w:rPr>
            </w:pPr>
            <w:r w:rsidRPr="00C3630C">
              <w:rPr>
                <w:rFonts w:ascii="Calibri" w:eastAsia="Calibri" w:hAnsi="Calibri" w:cs="Calibri"/>
                <w:color w:val="21286C"/>
                <w:sz w:val="20"/>
                <w:szCs w:val="20"/>
                <w:lang w:eastAsia="en-GB"/>
              </w:rPr>
              <w:t>1.151,3</w:t>
            </w:r>
          </w:p>
          <w:p w14:paraId="28CC14E9" w14:textId="40FAE8BE" w:rsidR="00104A05" w:rsidRPr="00C3630C" w:rsidRDefault="00104A05" w:rsidP="00722DB5">
            <w:pPr>
              <w:jc w:val="right"/>
              <w:rPr>
                <w:rFonts w:ascii="Calibri" w:eastAsia="Calibri" w:hAnsi="Calibri" w:cs="Calibri"/>
                <w:bCs/>
                <w:color w:val="21286C"/>
                <w:sz w:val="20"/>
                <w:szCs w:val="20"/>
                <w:lang w:eastAsia="en-GB"/>
              </w:rPr>
            </w:pPr>
            <w:r w:rsidRPr="00C3630C">
              <w:rPr>
                <w:rFonts w:ascii="Calibri" w:eastAsia="Calibri" w:hAnsi="Calibri" w:cs="Calibri"/>
                <w:color w:val="21286C"/>
                <w:sz w:val="20"/>
                <w:szCs w:val="20"/>
                <w:lang w:eastAsia="en-GB"/>
              </w:rPr>
              <w:t>1.249,6</w:t>
            </w:r>
          </w:p>
        </w:tc>
        <w:tc>
          <w:tcPr>
            <w:tcW w:w="1162" w:type="dxa"/>
            <w:tcBorders>
              <w:top w:val="single" w:sz="4" w:space="0" w:color="auto"/>
              <w:left w:val="nil"/>
              <w:bottom w:val="single" w:sz="4" w:space="0" w:color="auto"/>
              <w:right w:val="nil"/>
            </w:tcBorders>
            <w:noWrap/>
          </w:tcPr>
          <w:p w14:paraId="0B819AB4" w14:textId="77777777" w:rsidR="00722DB5" w:rsidRPr="00C3630C" w:rsidRDefault="00104A05" w:rsidP="00722DB5">
            <w:pPr>
              <w:jc w:val="right"/>
              <w:rPr>
                <w:rFonts w:ascii="Calibri" w:eastAsia="Calibri" w:hAnsi="Calibri" w:cs="Calibri"/>
                <w:color w:val="21286C"/>
                <w:sz w:val="20"/>
                <w:szCs w:val="20"/>
                <w:lang w:val="en-GB" w:eastAsia="en-GB"/>
              </w:rPr>
            </w:pPr>
            <w:r w:rsidRPr="00C3630C">
              <w:rPr>
                <w:rFonts w:ascii="Calibri" w:eastAsia="Calibri" w:hAnsi="Calibri" w:cs="Calibri"/>
                <w:color w:val="21286C"/>
                <w:sz w:val="20"/>
                <w:szCs w:val="20"/>
                <w:lang w:val="en-GB" w:eastAsia="en-GB"/>
              </w:rPr>
              <w:t>-1,9</w:t>
            </w:r>
            <w:r w:rsidR="00722DB5" w:rsidRPr="00C3630C">
              <w:rPr>
                <w:rFonts w:ascii="Calibri" w:eastAsia="Calibri" w:hAnsi="Calibri" w:cs="Calibri"/>
                <w:color w:val="21286C"/>
                <w:sz w:val="20"/>
                <w:szCs w:val="20"/>
                <w:lang w:val="en-GB" w:eastAsia="en-GB"/>
              </w:rPr>
              <w:t>%</w:t>
            </w:r>
          </w:p>
          <w:p w14:paraId="384AF60D" w14:textId="62D21420" w:rsidR="00104A05" w:rsidRPr="00C3630C" w:rsidRDefault="006D6543" w:rsidP="00722DB5">
            <w:pPr>
              <w:jc w:val="right"/>
              <w:rPr>
                <w:rFonts w:ascii="Calibri" w:eastAsia="Calibri" w:hAnsi="Calibri" w:cs="Calibri"/>
                <w:color w:val="21286C"/>
                <w:sz w:val="20"/>
                <w:szCs w:val="20"/>
                <w:lang w:eastAsia="en-GB"/>
              </w:rPr>
            </w:pPr>
            <w:r w:rsidRPr="00C3630C">
              <w:rPr>
                <w:rFonts w:ascii="Calibri" w:eastAsia="Calibri" w:hAnsi="Calibri" w:cs="Calibri"/>
                <w:color w:val="21286C"/>
                <w:sz w:val="20"/>
                <w:szCs w:val="20"/>
                <w:lang w:val="en-GB" w:eastAsia="en-GB"/>
              </w:rPr>
              <w:t>1,1%</w:t>
            </w:r>
          </w:p>
        </w:tc>
        <w:tc>
          <w:tcPr>
            <w:tcW w:w="242" w:type="dxa"/>
            <w:vMerge/>
            <w:tcBorders>
              <w:left w:val="nil"/>
              <w:right w:val="nil"/>
            </w:tcBorders>
            <w:shd w:val="clear" w:color="auto" w:fill="A6A6A6" w:themeFill="background1" w:themeFillShade="A6"/>
          </w:tcPr>
          <w:p w14:paraId="2ECE2E89" w14:textId="77777777" w:rsidR="00722DB5" w:rsidRPr="00C3630C" w:rsidRDefault="00722DB5" w:rsidP="00722DB5">
            <w:pPr>
              <w:jc w:val="right"/>
              <w:rPr>
                <w:rFonts w:ascii="Calibri" w:eastAsia="Calibri" w:hAnsi="Calibri" w:cs="Calibri"/>
                <w:i/>
                <w:color w:val="21286C"/>
                <w:sz w:val="20"/>
                <w:szCs w:val="20"/>
                <w:lang w:eastAsia="en-GB"/>
              </w:rPr>
            </w:pPr>
          </w:p>
        </w:tc>
        <w:tc>
          <w:tcPr>
            <w:tcW w:w="1211" w:type="dxa"/>
            <w:tcBorders>
              <w:top w:val="single" w:sz="4" w:space="0" w:color="auto"/>
              <w:left w:val="nil"/>
              <w:bottom w:val="single" w:sz="4" w:space="0" w:color="auto"/>
              <w:right w:val="nil"/>
            </w:tcBorders>
            <w:shd w:val="clear" w:color="auto" w:fill="F2F2F2" w:themeFill="background1" w:themeFillShade="F2"/>
          </w:tcPr>
          <w:p w14:paraId="19616868" w14:textId="77777777" w:rsidR="00722DB5" w:rsidRPr="00C3630C" w:rsidRDefault="00722DB5" w:rsidP="00722DB5">
            <w:pPr>
              <w:jc w:val="right"/>
              <w:rPr>
                <w:rFonts w:ascii="Calibri" w:eastAsia="Calibri" w:hAnsi="Calibri" w:cs="Calibri"/>
                <w:b/>
                <w:bCs/>
                <w:color w:val="21286C"/>
                <w:sz w:val="20"/>
                <w:szCs w:val="20"/>
                <w:lang w:eastAsia="en-GB"/>
              </w:rPr>
            </w:pPr>
            <w:r w:rsidRPr="00C3630C">
              <w:rPr>
                <w:rFonts w:ascii="Calibri" w:eastAsia="Calibri" w:hAnsi="Calibri" w:cs="Calibri"/>
                <w:b/>
                <w:bCs/>
                <w:color w:val="21286C"/>
                <w:sz w:val="20"/>
                <w:szCs w:val="20"/>
                <w:lang w:eastAsia="en-GB"/>
              </w:rPr>
              <w:t>25</w:t>
            </w:r>
            <w:r w:rsidR="005A57B2" w:rsidRPr="00C3630C">
              <w:rPr>
                <w:rFonts w:ascii="Calibri" w:eastAsia="Calibri" w:hAnsi="Calibri" w:cs="Calibri"/>
                <w:b/>
                <w:bCs/>
                <w:color w:val="21286C"/>
                <w:sz w:val="20"/>
                <w:szCs w:val="20"/>
                <w:lang w:eastAsia="en-GB"/>
              </w:rPr>
              <w:t>7,5</w:t>
            </w:r>
          </w:p>
          <w:p w14:paraId="36DC0122" w14:textId="7A1B256C" w:rsidR="005A57B2" w:rsidRPr="00C3630C" w:rsidRDefault="005A57B2" w:rsidP="00722DB5">
            <w:pPr>
              <w:jc w:val="right"/>
              <w:rPr>
                <w:rFonts w:ascii="Calibri" w:eastAsia="Calibri" w:hAnsi="Calibri" w:cs="Calibri"/>
                <w:b/>
                <w:color w:val="21286C"/>
                <w:sz w:val="20"/>
                <w:szCs w:val="20"/>
                <w:lang w:val="el-GR" w:eastAsia="en-GB"/>
              </w:rPr>
            </w:pPr>
            <w:r w:rsidRPr="00C3630C">
              <w:rPr>
                <w:rFonts w:ascii="Calibri" w:eastAsia="Calibri" w:hAnsi="Calibri" w:cs="Calibri"/>
                <w:b/>
                <w:bCs/>
                <w:color w:val="21286C"/>
                <w:sz w:val="20"/>
                <w:szCs w:val="20"/>
                <w:lang w:eastAsia="en-GB"/>
              </w:rPr>
              <w:t>290,1</w:t>
            </w:r>
          </w:p>
        </w:tc>
        <w:tc>
          <w:tcPr>
            <w:tcW w:w="1162" w:type="dxa"/>
            <w:tcBorders>
              <w:top w:val="single" w:sz="4" w:space="0" w:color="auto"/>
              <w:left w:val="nil"/>
              <w:bottom w:val="single" w:sz="4" w:space="0" w:color="auto"/>
              <w:right w:val="nil"/>
            </w:tcBorders>
          </w:tcPr>
          <w:p w14:paraId="19861625" w14:textId="77777777" w:rsidR="00722DB5" w:rsidRPr="00C3630C" w:rsidRDefault="00722DB5" w:rsidP="00722DB5">
            <w:pPr>
              <w:jc w:val="right"/>
              <w:rPr>
                <w:rFonts w:ascii="Calibri" w:eastAsia="Calibri" w:hAnsi="Calibri" w:cs="Calibri"/>
                <w:color w:val="21286C"/>
                <w:sz w:val="20"/>
                <w:szCs w:val="20"/>
                <w:lang w:eastAsia="en-GB"/>
              </w:rPr>
            </w:pPr>
            <w:r w:rsidRPr="00C3630C">
              <w:rPr>
                <w:rFonts w:ascii="Calibri" w:eastAsia="Calibri" w:hAnsi="Calibri" w:cs="Calibri"/>
                <w:color w:val="21286C"/>
                <w:sz w:val="20"/>
                <w:szCs w:val="20"/>
                <w:lang w:eastAsia="en-GB"/>
              </w:rPr>
              <w:t>248,</w:t>
            </w:r>
            <w:r w:rsidR="005A57B2" w:rsidRPr="00C3630C">
              <w:rPr>
                <w:rFonts w:ascii="Calibri" w:eastAsia="Calibri" w:hAnsi="Calibri" w:cs="Calibri"/>
                <w:color w:val="21286C"/>
                <w:sz w:val="20"/>
                <w:szCs w:val="20"/>
                <w:lang w:eastAsia="en-GB"/>
              </w:rPr>
              <w:t>5</w:t>
            </w:r>
          </w:p>
          <w:p w14:paraId="31243425" w14:textId="422D0D36" w:rsidR="005A57B2" w:rsidRPr="00C3630C" w:rsidRDefault="005A57B2" w:rsidP="00722DB5">
            <w:pPr>
              <w:jc w:val="right"/>
              <w:rPr>
                <w:rFonts w:ascii="Calibri" w:eastAsia="Calibri" w:hAnsi="Calibri" w:cs="Calibri"/>
                <w:bCs/>
                <w:color w:val="21286C"/>
                <w:sz w:val="20"/>
                <w:szCs w:val="20"/>
                <w:lang w:eastAsia="en-GB"/>
              </w:rPr>
            </w:pPr>
            <w:r w:rsidRPr="00C3630C">
              <w:rPr>
                <w:rFonts w:ascii="Calibri" w:eastAsia="Calibri" w:hAnsi="Calibri" w:cs="Calibri"/>
                <w:color w:val="21286C"/>
                <w:sz w:val="20"/>
                <w:szCs w:val="20"/>
                <w:lang w:eastAsia="en-GB"/>
              </w:rPr>
              <w:t>269,7</w:t>
            </w:r>
          </w:p>
        </w:tc>
        <w:tc>
          <w:tcPr>
            <w:tcW w:w="1162" w:type="dxa"/>
            <w:tcBorders>
              <w:top w:val="single" w:sz="4" w:space="0" w:color="auto"/>
              <w:left w:val="nil"/>
              <w:bottom w:val="single" w:sz="4" w:space="0" w:color="auto"/>
              <w:right w:val="nil"/>
            </w:tcBorders>
          </w:tcPr>
          <w:p w14:paraId="7527CD98" w14:textId="77777777" w:rsidR="00722DB5" w:rsidRPr="00C3630C" w:rsidRDefault="005A57B2" w:rsidP="00722DB5">
            <w:pPr>
              <w:jc w:val="right"/>
              <w:rPr>
                <w:rFonts w:ascii="Calibri" w:eastAsia="Calibri" w:hAnsi="Calibri" w:cs="Calibri"/>
                <w:color w:val="21286C"/>
                <w:sz w:val="20"/>
                <w:szCs w:val="20"/>
                <w:lang w:val="en-GB" w:eastAsia="en-GB"/>
              </w:rPr>
            </w:pPr>
            <w:r w:rsidRPr="00C3630C">
              <w:rPr>
                <w:rFonts w:ascii="Calibri" w:eastAsia="Calibri" w:hAnsi="Calibri" w:cs="Calibri"/>
                <w:color w:val="21286C"/>
                <w:sz w:val="20"/>
                <w:szCs w:val="20"/>
                <w:lang w:val="en-GB" w:eastAsia="en-GB"/>
              </w:rPr>
              <w:t>3,6</w:t>
            </w:r>
            <w:r w:rsidR="00722DB5" w:rsidRPr="00C3630C">
              <w:rPr>
                <w:rFonts w:ascii="Calibri" w:eastAsia="Calibri" w:hAnsi="Calibri" w:cs="Calibri"/>
                <w:color w:val="21286C"/>
                <w:sz w:val="20"/>
                <w:szCs w:val="20"/>
                <w:lang w:val="en-GB" w:eastAsia="en-GB"/>
              </w:rPr>
              <w:t>%</w:t>
            </w:r>
          </w:p>
          <w:p w14:paraId="54F12B29" w14:textId="05B8698F" w:rsidR="005A57B2" w:rsidRPr="00C3630C" w:rsidRDefault="005A57B2" w:rsidP="00722DB5">
            <w:pPr>
              <w:jc w:val="right"/>
              <w:rPr>
                <w:rFonts w:ascii="Calibri" w:eastAsia="Calibri" w:hAnsi="Calibri" w:cs="Calibri"/>
                <w:color w:val="21286C"/>
                <w:sz w:val="20"/>
                <w:szCs w:val="20"/>
                <w:lang w:val="fr-FR" w:eastAsia="en-GB"/>
              </w:rPr>
            </w:pPr>
            <w:r w:rsidRPr="00C3630C">
              <w:rPr>
                <w:rFonts w:ascii="Calibri" w:eastAsia="Calibri" w:hAnsi="Calibri" w:cs="Calibri"/>
                <w:color w:val="21286C"/>
                <w:sz w:val="20"/>
                <w:szCs w:val="20"/>
                <w:lang w:val="en-GB" w:eastAsia="en-GB"/>
              </w:rPr>
              <w:t>7,6%</w:t>
            </w:r>
          </w:p>
        </w:tc>
      </w:tr>
      <w:tr w:rsidR="000B7E84" w:rsidRPr="00C3630C" w14:paraId="2847ECE7" w14:textId="77777777" w:rsidTr="00722DB5">
        <w:trPr>
          <w:trHeight w:val="391"/>
        </w:trPr>
        <w:tc>
          <w:tcPr>
            <w:tcW w:w="2762" w:type="dxa"/>
            <w:tcBorders>
              <w:top w:val="single" w:sz="4" w:space="0" w:color="auto"/>
              <w:left w:val="nil"/>
              <w:bottom w:val="single" w:sz="4" w:space="0" w:color="auto"/>
              <w:right w:val="nil"/>
            </w:tcBorders>
            <w:noWrap/>
          </w:tcPr>
          <w:p w14:paraId="1486F65D" w14:textId="74ACFA4C" w:rsidR="000B7E84" w:rsidRPr="00C3630C" w:rsidRDefault="000B7E84" w:rsidP="000B7E84">
            <w:pPr>
              <w:rPr>
                <w:rFonts w:ascii="Calibri" w:eastAsia="Calibri" w:hAnsi="Calibri" w:cs="Calibri"/>
                <w:b/>
                <w:bCs/>
                <w:color w:val="21286C"/>
                <w:sz w:val="20"/>
                <w:szCs w:val="20"/>
                <w:lang w:eastAsia="en-GB"/>
              </w:rPr>
            </w:pPr>
            <w:r w:rsidRPr="00C3630C">
              <w:rPr>
                <w:rFonts w:ascii="Calibri" w:eastAsia="Calibri" w:hAnsi="Calibri" w:cs="Calibri"/>
                <w:b/>
                <w:bCs/>
                <w:color w:val="21286C"/>
                <w:sz w:val="20"/>
                <w:szCs w:val="20"/>
                <w:lang w:val="en-GB" w:eastAsia="en-GB"/>
              </w:rPr>
              <w:t>Ελλάδα &amp; Δ. Ευρώπη</w:t>
            </w:r>
          </w:p>
        </w:tc>
        <w:tc>
          <w:tcPr>
            <w:tcW w:w="1017" w:type="dxa"/>
            <w:tcBorders>
              <w:top w:val="single" w:sz="4" w:space="0" w:color="auto"/>
              <w:left w:val="nil"/>
              <w:bottom w:val="single" w:sz="4" w:space="0" w:color="auto"/>
              <w:right w:val="nil"/>
            </w:tcBorders>
            <w:shd w:val="clear" w:color="auto" w:fill="F2F2F2" w:themeFill="background1" w:themeFillShade="F2"/>
            <w:noWrap/>
          </w:tcPr>
          <w:p w14:paraId="18A5F87F" w14:textId="740B9904" w:rsidR="000B7E84" w:rsidRPr="00C3630C" w:rsidRDefault="000B7E84" w:rsidP="000B7E84">
            <w:pPr>
              <w:jc w:val="right"/>
              <w:rPr>
                <w:rFonts w:ascii="Calibri" w:eastAsia="Calibri" w:hAnsi="Calibri" w:cs="Calibri"/>
                <w:b/>
                <w:color w:val="21286C"/>
                <w:sz w:val="20"/>
                <w:szCs w:val="20"/>
                <w:lang w:val="el-GR" w:eastAsia="en-GB"/>
              </w:rPr>
            </w:pPr>
            <w:r w:rsidRPr="00C3630C">
              <w:rPr>
                <w:rFonts w:ascii="Calibri" w:eastAsia="Calibri" w:hAnsi="Calibri" w:cs="Calibri"/>
                <w:b/>
                <w:bCs/>
                <w:color w:val="21286C"/>
                <w:sz w:val="20"/>
                <w:szCs w:val="20"/>
                <w:lang w:val="en-GB" w:eastAsia="en-GB"/>
              </w:rPr>
              <w:t>38</w:t>
            </w:r>
            <w:r w:rsidR="006D6543" w:rsidRPr="00C3630C">
              <w:rPr>
                <w:rFonts w:ascii="Calibri" w:eastAsia="Calibri" w:hAnsi="Calibri" w:cs="Calibri"/>
                <w:b/>
                <w:bCs/>
                <w:color w:val="21286C"/>
                <w:sz w:val="20"/>
                <w:szCs w:val="20"/>
                <w:lang w:val="en-GB" w:eastAsia="en-GB"/>
              </w:rPr>
              <w:t>4,8</w:t>
            </w:r>
          </w:p>
        </w:tc>
        <w:tc>
          <w:tcPr>
            <w:tcW w:w="1017" w:type="dxa"/>
            <w:tcBorders>
              <w:top w:val="single" w:sz="4" w:space="0" w:color="auto"/>
              <w:left w:val="nil"/>
              <w:bottom w:val="single" w:sz="4" w:space="0" w:color="auto"/>
              <w:right w:val="nil"/>
            </w:tcBorders>
          </w:tcPr>
          <w:p w14:paraId="323AE825" w14:textId="4E57E7C4" w:rsidR="000B7E84" w:rsidRPr="00C3630C" w:rsidRDefault="000B7E84"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eastAsia="en-GB"/>
              </w:rPr>
              <w:t>3</w:t>
            </w:r>
            <w:r w:rsidR="006D6543" w:rsidRPr="00C3630C">
              <w:rPr>
                <w:rFonts w:ascii="Calibri" w:eastAsia="Calibri" w:hAnsi="Calibri" w:cs="Calibri"/>
                <w:color w:val="21286C"/>
                <w:sz w:val="20"/>
                <w:szCs w:val="20"/>
                <w:lang w:eastAsia="en-GB"/>
              </w:rPr>
              <w:t>35,5</w:t>
            </w:r>
          </w:p>
        </w:tc>
        <w:tc>
          <w:tcPr>
            <w:tcW w:w="1162" w:type="dxa"/>
            <w:tcBorders>
              <w:top w:val="single" w:sz="4" w:space="0" w:color="auto"/>
              <w:left w:val="nil"/>
              <w:bottom w:val="single" w:sz="4" w:space="0" w:color="auto"/>
              <w:right w:val="nil"/>
            </w:tcBorders>
            <w:noWrap/>
          </w:tcPr>
          <w:p w14:paraId="18E89C46" w14:textId="077885CF" w:rsidR="000B7E84" w:rsidRPr="00C3630C" w:rsidRDefault="005A57B2"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eastAsia="en-GB"/>
              </w:rPr>
              <w:t>14,7</w:t>
            </w:r>
            <w:r w:rsidR="000B7E84" w:rsidRPr="00C3630C">
              <w:rPr>
                <w:rFonts w:ascii="Calibri" w:eastAsia="Calibri" w:hAnsi="Calibri" w:cs="Calibri"/>
                <w:color w:val="21286C"/>
                <w:sz w:val="20"/>
                <w:szCs w:val="20"/>
                <w:lang w:eastAsia="en-GB"/>
              </w:rPr>
              <w:t>%</w:t>
            </w:r>
          </w:p>
        </w:tc>
        <w:tc>
          <w:tcPr>
            <w:tcW w:w="242" w:type="dxa"/>
            <w:vMerge/>
            <w:tcBorders>
              <w:left w:val="nil"/>
              <w:right w:val="nil"/>
            </w:tcBorders>
            <w:shd w:val="clear" w:color="auto" w:fill="A6A6A6" w:themeFill="background1" w:themeFillShade="A6"/>
          </w:tcPr>
          <w:p w14:paraId="2EBFF230" w14:textId="77777777" w:rsidR="000B7E84" w:rsidRPr="00C3630C" w:rsidRDefault="000B7E84" w:rsidP="000B7E84">
            <w:pPr>
              <w:jc w:val="right"/>
              <w:rPr>
                <w:rFonts w:ascii="Calibri" w:eastAsia="Calibri" w:hAnsi="Calibri" w:cs="Calibri"/>
                <w:bCs/>
                <w:color w:val="21286C"/>
                <w:sz w:val="20"/>
                <w:szCs w:val="20"/>
                <w:lang w:eastAsia="en-GB"/>
              </w:rPr>
            </w:pPr>
          </w:p>
        </w:tc>
        <w:tc>
          <w:tcPr>
            <w:tcW w:w="1211" w:type="dxa"/>
            <w:tcBorders>
              <w:top w:val="single" w:sz="4" w:space="0" w:color="auto"/>
              <w:left w:val="nil"/>
              <w:bottom w:val="single" w:sz="4" w:space="0" w:color="auto"/>
              <w:right w:val="nil"/>
            </w:tcBorders>
            <w:shd w:val="clear" w:color="auto" w:fill="F2F2F2" w:themeFill="background1" w:themeFillShade="F2"/>
          </w:tcPr>
          <w:p w14:paraId="14BADD3A" w14:textId="752CF98A" w:rsidR="000B7E84" w:rsidRPr="00C3630C" w:rsidRDefault="000B7E84"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b/>
                <w:bCs/>
                <w:color w:val="21286C"/>
                <w:sz w:val="20"/>
                <w:szCs w:val="20"/>
                <w:lang w:eastAsia="en-GB"/>
              </w:rPr>
              <w:t>5</w:t>
            </w:r>
            <w:r w:rsidR="005A57B2" w:rsidRPr="00C3630C">
              <w:rPr>
                <w:rFonts w:ascii="Calibri" w:eastAsia="Calibri" w:hAnsi="Calibri" w:cs="Calibri"/>
                <w:b/>
                <w:bCs/>
                <w:color w:val="21286C"/>
                <w:sz w:val="20"/>
                <w:szCs w:val="20"/>
                <w:lang w:eastAsia="en-GB"/>
              </w:rPr>
              <w:t>6,6</w:t>
            </w:r>
          </w:p>
        </w:tc>
        <w:tc>
          <w:tcPr>
            <w:tcW w:w="1162" w:type="dxa"/>
            <w:tcBorders>
              <w:top w:val="single" w:sz="4" w:space="0" w:color="auto"/>
              <w:left w:val="nil"/>
              <w:bottom w:val="single" w:sz="4" w:space="0" w:color="auto"/>
              <w:right w:val="nil"/>
            </w:tcBorders>
          </w:tcPr>
          <w:p w14:paraId="5FC5BFFA" w14:textId="6BDC6AD3" w:rsidR="000B7E84" w:rsidRPr="00C3630C" w:rsidRDefault="000B7E84"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eastAsia="en-GB"/>
              </w:rPr>
              <w:t>4</w:t>
            </w:r>
            <w:r w:rsidR="005A57B2" w:rsidRPr="00C3630C">
              <w:rPr>
                <w:rFonts w:ascii="Calibri" w:eastAsia="Calibri" w:hAnsi="Calibri" w:cs="Calibri"/>
                <w:color w:val="21286C"/>
                <w:sz w:val="20"/>
                <w:szCs w:val="20"/>
                <w:lang w:eastAsia="en-GB"/>
              </w:rPr>
              <w:t>7,5</w:t>
            </w:r>
          </w:p>
        </w:tc>
        <w:tc>
          <w:tcPr>
            <w:tcW w:w="1162" w:type="dxa"/>
            <w:tcBorders>
              <w:top w:val="single" w:sz="4" w:space="0" w:color="auto"/>
              <w:left w:val="nil"/>
              <w:bottom w:val="single" w:sz="4" w:space="0" w:color="auto"/>
              <w:right w:val="nil"/>
            </w:tcBorders>
          </w:tcPr>
          <w:p w14:paraId="4062C5B8" w14:textId="6EBD33DE" w:rsidR="000B7E84" w:rsidRPr="00C3630C" w:rsidRDefault="005A57B2"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eastAsia="en-GB"/>
              </w:rPr>
              <w:t>19,1</w:t>
            </w:r>
            <w:r w:rsidR="000B7E84" w:rsidRPr="00C3630C">
              <w:rPr>
                <w:rFonts w:ascii="Calibri" w:eastAsia="Calibri" w:hAnsi="Calibri" w:cs="Calibri"/>
                <w:color w:val="21286C"/>
                <w:sz w:val="20"/>
                <w:szCs w:val="20"/>
                <w:lang w:eastAsia="en-GB"/>
              </w:rPr>
              <w:t>%</w:t>
            </w:r>
          </w:p>
        </w:tc>
      </w:tr>
      <w:tr w:rsidR="000B7E84" w:rsidRPr="00C3630C" w14:paraId="585730A2" w14:textId="77777777" w:rsidTr="000B7E84">
        <w:trPr>
          <w:trHeight w:val="391"/>
        </w:trPr>
        <w:tc>
          <w:tcPr>
            <w:tcW w:w="2762" w:type="dxa"/>
            <w:tcBorders>
              <w:top w:val="single" w:sz="4" w:space="0" w:color="auto"/>
              <w:left w:val="nil"/>
              <w:bottom w:val="single" w:sz="4" w:space="0" w:color="auto"/>
              <w:right w:val="nil"/>
            </w:tcBorders>
            <w:noWrap/>
            <w:hideMark/>
          </w:tcPr>
          <w:p w14:paraId="6A581136" w14:textId="22107493" w:rsidR="000B7E84" w:rsidRPr="00C3630C" w:rsidRDefault="000B7E84" w:rsidP="000B7E84">
            <w:pPr>
              <w:rPr>
                <w:rFonts w:ascii="Calibri" w:eastAsia="Calibri" w:hAnsi="Calibri" w:cs="Calibri"/>
                <w:b/>
                <w:bCs/>
                <w:color w:val="21286C"/>
                <w:sz w:val="20"/>
                <w:szCs w:val="20"/>
                <w:lang w:eastAsia="en-GB"/>
              </w:rPr>
            </w:pPr>
            <w:r w:rsidRPr="00C3630C">
              <w:rPr>
                <w:rFonts w:ascii="Calibri" w:eastAsia="Calibri" w:hAnsi="Calibri" w:cs="Calibri"/>
                <w:b/>
                <w:bCs/>
                <w:color w:val="21286C"/>
                <w:sz w:val="20"/>
                <w:szCs w:val="20"/>
                <w:lang w:val="en-GB" w:eastAsia="en-GB"/>
              </w:rPr>
              <w:t>Ν</w:t>
            </w:r>
            <w:r w:rsidRPr="00C3630C">
              <w:rPr>
                <w:rFonts w:ascii="Calibri" w:eastAsia="Calibri" w:hAnsi="Calibri" w:cs="Calibri"/>
                <w:b/>
                <w:bCs/>
                <w:color w:val="21286C"/>
                <w:sz w:val="20"/>
                <w:szCs w:val="20"/>
                <w:lang w:val="el-GR" w:eastAsia="en-GB"/>
              </w:rPr>
              <w:t xml:space="preserve">Α </w:t>
            </w:r>
            <w:r w:rsidRPr="00C3630C">
              <w:rPr>
                <w:rFonts w:ascii="Calibri" w:eastAsia="Calibri" w:hAnsi="Calibri" w:cs="Calibri"/>
                <w:b/>
                <w:bCs/>
                <w:color w:val="21286C"/>
                <w:sz w:val="20"/>
                <w:szCs w:val="20"/>
                <w:lang w:val="en-GB" w:eastAsia="en-GB"/>
              </w:rPr>
              <w:t>Ευρώπη</w:t>
            </w:r>
          </w:p>
        </w:tc>
        <w:tc>
          <w:tcPr>
            <w:tcW w:w="1017" w:type="dxa"/>
            <w:tcBorders>
              <w:top w:val="single" w:sz="4" w:space="0" w:color="auto"/>
              <w:left w:val="nil"/>
              <w:bottom w:val="single" w:sz="4" w:space="0" w:color="auto"/>
              <w:right w:val="nil"/>
            </w:tcBorders>
            <w:shd w:val="clear" w:color="auto" w:fill="F2F2F2" w:themeFill="background1" w:themeFillShade="F2"/>
            <w:noWrap/>
          </w:tcPr>
          <w:p w14:paraId="4F9946C4" w14:textId="3A4D33B0" w:rsidR="000B7E84" w:rsidRPr="00C3630C" w:rsidRDefault="000B7E84" w:rsidP="000B7E84">
            <w:pPr>
              <w:jc w:val="right"/>
              <w:rPr>
                <w:rFonts w:ascii="Calibri" w:eastAsia="Calibri" w:hAnsi="Calibri" w:cs="Calibri"/>
                <w:b/>
                <w:color w:val="21286C"/>
                <w:sz w:val="20"/>
                <w:szCs w:val="20"/>
                <w:lang w:val="el-GR" w:eastAsia="en-GB"/>
              </w:rPr>
            </w:pPr>
            <w:r w:rsidRPr="00C3630C">
              <w:rPr>
                <w:rFonts w:ascii="Calibri" w:eastAsia="Calibri" w:hAnsi="Calibri" w:cs="Calibri"/>
                <w:b/>
                <w:bCs/>
                <w:color w:val="21286C"/>
                <w:sz w:val="20"/>
                <w:szCs w:val="20"/>
                <w:lang w:val="en-GB" w:eastAsia="en-GB"/>
              </w:rPr>
              <w:t>31</w:t>
            </w:r>
            <w:r w:rsidR="006D6543" w:rsidRPr="00C3630C">
              <w:rPr>
                <w:rFonts w:ascii="Calibri" w:eastAsia="Calibri" w:hAnsi="Calibri" w:cs="Calibri"/>
                <w:b/>
                <w:bCs/>
                <w:color w:val="21286C"/>
                <w:sz w:val="20"/>
                <w:szCs w:val="20"/>
                <w:lang w:val="en-GB" w:eastAsia="en-GB"/>
              </w:rPr>
              <w:t>3,1</w:t>
            </w:r>
          </w:p>
        </w:tc>
        <w:tc>
          <w:tcPr>
            <w:tcW w:w="1017" w:type="dxa"/>
            <w:tcBorders>
              <w:top w:val="single" w:sz="4" w:space="0" w:color="auto"/>
              <w:left w:val="nil"/>
              <w:bottom w:val="single" w:sz="4" w:space="0" w:color="auto"/>
              <w:right w:val="nil"/>
            </w:tcBorders>
          </w:tcPr>
          <w:p w14:paraId="463CBA99" w14:textId="4F5B995A" w:rsidR="000B7E84" w:rsidRPr="00C3630C" w:rsidRDefault="000B7E84"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eastAsia="en-GB"/>
              </w:rPr>
              <w:t>3</w:t>
            </w:r>
            <w:r w:rsidR="006D6543" w:rsidRPr="00C3630C">
              <w:rPr>
                <w:rFonts w:ascii="Calibri" w:eastAsia="Calibri" w:hAnsi="Calibri" w:cs="Calibri"/>
                <w:color w:val="21286C"/>
                <w:sz w:val="20"/>
                <w:szCs w:val="20"/>
                <w:lang w:eastAsia="en-GB"/>
              </w:rPr>
              <w:t>15,3</w:t>
            </w:r>
          </w:p>
        </w:tc>
        <w:tc>
          <w:tcPr>
            <w:tcW w:w="1162" w:type="dxa"/>
            <w:tcBorders>
              <w:top w:val="single" w:sz="4" w:space="0" w:color="auto"/>
              <w:left w:val="nil"/>
              <w:bottom w:val="single" w:sz="4" w:space="0" w:color="auto"/>
              <w:right w:val="nil"/>
            </w:tcBorders>
            <w:noWrap/>
          </w:tcPr>
          <w:p w14:paraId="22CF60EA" w14:textId="480A2017" w:rsidR="000B7E84" w:rsidRPr="00C3630C" w:rsidRDefault="005A57B2"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val="en-GB" w:eastAsia="en-GB"/>
              </w:rPr>
              <w:t>-0,7</w:t>
            </w:r>
            <w:r w:rsidR="000B7E84" w:rsidRPr="00C3630C">
              <w:rPr>
                <w:rFonts w:ascii="Calibri" w:eastAsia="Calibri" w:hAnsi="Calibri" w:cs="Calibri"/>
                <w:color w:val="21286C"/>
                <w:sz w:val="20"/>
                <w:szCs w:val="20"/>
                <w:lang w:val="en-GB" w:eastAsia="en-GB"/>
              </w:rPr>
              <w:t>%</w:t>
            </w:r>
          </w:p>
        </w:tc>
        <w:tc>
          <w:tcPr>
            <w:tcW w:w="242" w:type="dxa"/>
            <w:vMerge/>
            <w:tcBorders>
              <w:left w:val="nil"/>
              <w:right w:val="nil"/>
            </w:tcBorders>
            <w:shd w:val="clear" w:color="auto" w:fill="A6A6A6" w:themeFill="background1" w:themeFillShade="A6"/>
          </w:tcPr>
          <w:p w14:paraId="08C5C8FA" w14:textId="77777777" w:rsidR="000B7E84" w:rsidRPr="00C3630C" w:rsidRDefault="000B7E84" w:rsidP="000B7E84">
            <w:pPr>
              <w:jc w:val="right"/>
              <w:rPr>
                <w:rFonts w:ascii="Calibri" w:eastAsia="Calibri" w:hAnsi="Calibri" w:cs="Calibri"/>
                <w:bCs/>
                <w:color w:val="21286C"/>
                <w:sz w:val="20"/>
                <w:szCs w:val="20"/>
                <w:lang w:eastAsia="en-GB"/>
              </w:rPr>
            </w:pPr>
          </w:p>
        </w:tc>
        <w:tc>
          <w:tcPr>
            <w:tcW w:w="1211" w:type="dxa"/>
            <w:tcBorders>
              <w:top w:val="single" w:sz="4" w:space="0" w:color="auto"/>
              <w:left w:val="nil"/>
              <w:bottom w:val="single" w:sz="4" w:space="0" w:color="auto"/>
              <w:right w:val="nil"/>
            </w:tcBorders>
            <w:shd w:val="clear" w:color="auto" w:fill="F2F2F2" w:themeFill="background1" w:themeFillShade="F2"/>
            <w:vAlign w:val="center"/>
          </w:tcPr>
          <w:p w14:paraId="26BBDBBD" w14:textId="48A6D286" w:rsidR="000B7E84" w:rsidRPr="00C3630C" w:rsidRDefault="000B7E84" w:rsidP="000B7E84">
            <w:pPr>
              <w:spacing w:after="240"/>
              <w:jc w:val="right"/>
              <w:rPr>
                <w:rFonts w:ascii="Calibri" w:eastAsia="Calibri" w:hAnsi="Calibri" w:cs="Calibri"/>
                <w:bCs/>
                <w:color w:val="21286C"/>
                <w:sz w:val="20"/>
                <w:szCs w:val="20"/>
                <w:lang w:eastAsia="en-GB"/>
              </w:rPr>
            </w:pPr>
            <w:r w:rsidRPr="00C3630C">
              <w:rPr>
                <w:rFonts w:ascii="Calibri" w:eastAsia="Calibri" w:hAnsi="Calibri" w:cs="Calibri"/>
                <w:b/>
                <w:bCs/>
                <w:color w:val="21286C"/>
                <w:sz w:val="20"/>
                <w:szCs w:val="20"/>
                <w:lang w:eastAsia="en-GB"/>
              </w:rPr>
              <w:t>114,5</w:t>
            </w:r>
          </w:p>
        </w:tc>
        <w:tc>
          <w:tcPr>
            <w:tcW w:w="1162" w:type="dxa"/>
            <w:tcBorders>
              <w:top w:val="single" w:sz="4" w:space="0" w:color="auto"/>
              <w:left w:val="nil"/>
              <w:bottom w:val="single" w:sz="4" w:space="0" w:color="auto"/>
              <w:right w:val="nil"/>
            </w:tcBorders>
          </w:tcPr>
          <w:p w14:paraId="0FE9AEFD" w14:textId="3BEE5745" w:rsidR="000B7E84" w:rsidRPr="00C3630C" w:rsidRDefault="000B7E84" w:rsidP="000B7E84">
            <w:pPr>
              <w:jc w:val="right"/>
              <w:rPr>
                <w:rFonts w:ascii="Calibri" w:eastAsia="Calibri" w:hAnsi="Calibri" w:cs="Calibri"/>
                <w:bCs/>
                <w:color w:val="21286C"/>
                <w:sz w:val="20"/>
                <w:szCs w:val="20"/>
                <w:lang w:eastAsia="en-GB"/>
              </w:rPr>
            </w:pPr>
            <w:r w:rsidRPr="00C3630C">
              <w:rPr>
                <w:rFonts w:ascii="Calibri" w:eastAsia="Calibri" w:hAnsi="Calibri" w:cs="Calibri"/>
                <w:color w:val="21286C"/>
                <w:sz w:val="20"/>
                <w:szCs w:val="20"/>
                <w:lang w:eastAsia="en-GB"/>
              </w:rPr>
              <w:t>12</w:t>
            </w:r>
            <w:r w:rsidR="005A57B2" w:rsidRPr="00C3630C">
              <w:rPr>
                <w:rFonts w:ascii="Calibri" w:eastAsia="Calibri" w:hAnsi="Calibri" w:cs="Calibri"/>
                <w:color w:val="21286C"/>
                <w:sz w:val="20"/>
                <w:szCs w:val="20"/>
                <w:lang w:eastAsia="en-GB"/>
              </w:rPr>
              <w:t>6,7</w:t>
            </w:r>
          </w:p>
        </w:tc>
        <w:tc>
          <w:tcPr>
            <w:tcW w:w="1162" w:type="dxa"/>
            <w:tcBorders>
              <w:top w:val="single" w:sz="4" w:space="0" w:color="auto"/>
              <w:left w:val="nil"/>
              <w:bottom w:val="single" w:sz="4" w:space="0" w:color="auto"/>
              <w:right w:val="nil"/>
            </w:tcBorders>
          </w:tcPr>
          <w:p w14:paraId="12EAE4C6" w14:textId="32F878BD" w:rsidR="000B7E84" w:rsidRPr="00C3630C" w:rsidRDefault="005A57B2"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val="en-GB" w:eastAsia="en-GB"/>
              </w:rPr>
              <w:t>-9,6</w:t>
            </w:r>
            <w:r w:rsidR="000B7E84" w:rsidRPr="00C3630C">
              <w:rPr>
                <w:rFonts w:ascii="Calibri" w:eastAsia="Calibri" w:hAnsi="Calibri" w:cs="Calibri"/>
                <w:color w:val="21286C"/>
                <w:sz w:val="20"/>
                <w:szCs w:val="20"/>
                <w:lang w:val="en-GB" w:eastAsia="en-GB"/>
              </w:rPr>
              <w:t>%</w:t>
            </w:r>
          </w:p>
        </w:tc>
      </w:tr>
      <w:tr w:rsidR="000B7E84" w:rsidRPr="00C3630C" w14:paraId="61302F79" w14:textId="77777777" w:rsidTr="000B7E84">
        <w:trPr>
          <w:trHeight w:val="349"/>
        </w:trPr>
        <w:tc>
          <w:tcPr>
            <w:tcW w:w="2762" w:type="dxa"/>
            <w:tcBorders>
              <w:top w:val="single" w:sz="4" w:space="0" w:color="auto"/>
              <w:left w:val="nil"/>
              <w:bottom w:val="single" w:sz="4" w:space="0" w:color="auto"/>
              <w:right w:val="nil"/>
            </w:tcBorders>
            <w:noWrap/>
          </w:tcPr>
          <w:p w14:paraId="23F1933D" w14:textId="52249D15" w:rsidR="000B7E84" w:rsidRPr="00C3630C" w:rsidRDefault="000B7E84" w:rsidP="000B7E84">
            <w:pPr>
              <w:rPr>
                <w:rFonts w:ascii="Calibri" w:eastAsia="Calibri" w:hAnsi="Calibri" w:cs="Calibri"/>
                <w:b/>
                <w:bCs/>
                <w:color w:val="21286C"/>
                <w:sz w:val="20"/>
                <w:szCs w:val="20"/>
                <w:lang w:eastAsia="en-GB"/>
              </w:rPr>
            </w:pPr>
            <w:proofErr w:type="spellStart"/>
            <w:r w:rsidRPr="00C3630C">
              <w:rPr>
                <w:rFonts w:ascii="Calibri" w:eastAsia="Calibri" w:hAnsi="Calibri" w:cs="Calibri"/>
                <w:b/>
                <w:bCs/>
                <w:color w:val="21286C"/>
                <w:sz w:val="20"/>
                <w:szCs w:val="20"/>
                <w:lang w:val="en-GB" w:eastAsia="en-GB"/>
              </w:rPr>
              <w:t>Αν</w:t>
            </w:r>
            <w:proofErr w:type="spellEnd"/>
            <w:r w:rsidRPr="00C3630C">
              <w:rPr>
                <w:rFonts w:ascii="Calibri" w:eastAsia="Calibri" w:hAnsi="Calibri" w:cs="Calibri"/>
                <w:b/>
                <w:bCs/>
                <w:color w:val="21286C"/>
                <w:sz w:val="20"/>
                <w:szCs w:val="20"/>
                <w:lang w:val="en-GB" w:eastAsia="en-GB"/>
              </w:rPr>
              <w:t>ατολ</w:t>
            </w:r>
            <w:proofErr w:type="spellStart"/>
            <w:r w:rsidRPr="00C3630C">
              <w:rPr>
                <w:rFonts w:ascii="Calibri" w:eastAsia="Calibri" w:hAnsi="Calibri" w:cs="Calibri"/>
                <w:b/>
                <w:bCs/>
                <w:color w:val="21286C"/>
                <w:sz w:val="20"/>
                <w:szCs w:val="20"/>
                <w:lang w:val="el-GR" w:eastAsia="en-GB"/>
              </w:rPr>
              <w:t>ική</w:t>
            </w:r>
            <w:proofErr w:type="spellEnd"/>
            <w:r w:rsidRPr="00C3630C">
              <w:rPr>
                <w:rFonts w:ascii="Calibri" w:eastAsia="Calibri" w:hAnsi="Calibri" w:cs="Calibri"/>
                <w:b/>
                <w:bCs/>
                <w:color w:val="21286C"/>
                <w:sz w:val="20"/>
                <w:szCs w:val="20"/>
                <w:lang w:val="en-GB" w:eastAsia="en-GB"/>
              </w:rPr>
              <w:t xml:space="preserve"> </w:t>
            </w:r>
            <w:proofErr w:type="spellStart"/>
            <w:r w:rsidRPr="00C3630C">
              <w:rPr>
                <w:rFonts w:ascii="Calibri" w:eastAsia="Calibri" w:hAnsi="Calibri" w:cs="Calibri"/>
                <w:b/>
                <w:bCs/>
                <w:color w:val="21286C"/>
                <w:sz w:val="20"/>
                <w:szCs w:val="20"/>
                <w:lang w:val="en-GB" w:eastAsia="en-GB"/>
              </w:rPr>
              <w:t>Μεσόγειος</w:t>
            </w:r>
            <w:proofErr w:type="spellEnd"/>
          </w:p>
        </w:tc>
        <w:tc>
          <w:tcPr>
            <w:tcW w:w="1017" w:type="dxa"/>
            <w:tcBorders>
              <w:top w:val="single" w:sz="4" w:space="0" w:color="auto"/>
              <w:left w:val="nil"/>
              <w:bottom w:val="single" w:sz="4" w:space="0" w:color="auto"/>
              <w:right w:val="nil"/>
            </w:tcBorders>
            <w:shd w:val="clear" w:color="auto" w:fill="F2F2F2" w:themeFill="background1" w:themeFillShade="F2"/>
            <w:noWrap/>
          </w:tcPr>
          <w:p w14:paraId="05AA6394" w14:textId="1CD9A754" w:rsidR="000B7E84" w:rsidRPr="00C3630C" w:rsidRDefault="000B7E84" w:rsidP="000B7E84">
            <w:pPr>
              <w:jc w:val="right"/>
              <w:rPr>
                <w:rFonts w:ascii="Calibri" w:eastAsia="Calibri" w:hAnsi="Calibri" w:cs="Calibri"/>
                <w:b/>
                <w:color w:val="21286C"/>
                <w:sz w:val="20"/>
                <w:szCs w:val="20"/>
                <w:lang w:val="el-GR" w:eastAsia="en-GB"/>
              </w:rPr>
            </w:pPr>
            <w:r w:rsidRPr="00C3630C">
              <w:rPr>
                <w:rFonts w:ascii="Calibri" w:eastAsia="Calibri" w:hAnsi="Calibri" w:cs="Calibri"/>
                <w:b/>
                <w:bCs/>
                <w:color w:val="21286C"/>
                <w:sz w:val="20"/>
                <w:szCs w:val="20"/>
                <w:lang w:val="en-GB" w:eastAsia="en-GB"/>
              </w:rPr>
              <w:t>185,</w:t>
            </w:r>
            <w:r w:rsidR="006D6543" w:rsidRPr="00C3630C">
              <w:rPr>
                <w:rFonts w:ascii="Calibri" w:eastAsia="Calibri" w:hAnsi="Calibri" w:cs="Calibri"/>
                <w:b/>
                <w:bCs/>
                <w:color w:val="21286C"/>
                <w:sz w:val="20"/>
                <w:szCs w:val="20"/>
                <w:lang w:val="en-GB" w:eastAsia="en-GB"/>
              </w:rPr>
              <w:t>6</w:t>
            </w:r>
          </w:p>
        </w:tc>
        <w:tc>
          <w:tcPr>
            <w:tcW w:w="1017" w:type="dxa"/>
            <w:tcBorders>
              <w:top w:val="single" w:sz="4" w:space="0" w:color="auto"/>
              <w:left w:val="nil"/>
              <w:bottom w:val="single" w:sz="4" w:space="0" w:color="auto"/>
              <w:right w:val="nil"/>
            </w:tcBorders>
          </w:tcPr>
          <w:p w14:paraId="74BAE520" w14:textId="0B742A81" w:rsidR="000B7E84" w:rsidRPr="00C3630C" w:rsidRDefault="000B7E84"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eastAsia="en-GB"/>
              </w:rPr>
              <w:t>182,5</w:t>
            </w:r>
          </w:p>
        </w:tc>
        <w:tc>
          <w:tcPr>
            <w:tcW w:w="1162" w:type="dxa"/>
            <w:tcBorders>
              <w:top w:val="single" w:sz="4" w:space="0" w:color="auto"/>
              <w:left w:val="nil"/>
              <w:bottom w:val="single" w:sz="4" w:space="0" w:color="auto"/>
              <w:right w:val="nil"/>
            </w:tcBorders>
            <w:noWrap/>
          </w:tcPr>
          <w:p w14:paraId="40F4FDF4" w14:textId="5B9AAECD" w:rsidR="000B7E84" w:rsidRPr="00C3630C" w:rsidRDefault="005A57B2"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val="en-GB" w:eastAsia="en-GB"/>
              </w:rPr>
              <w:t>1,7</w:t>
            </w:r>
            <w:r w:rsidR="000B7E84" w:rsidRPr="00C3630C">
              <w:rPr>
                <w:rFonts w:ascii="Calibri" w:eastAsia="Calibri" w:hAnsi="Calibri" w:cs="Calibri"/>
                <w:color w:val="21286C"/>
                <w:sz w:val="20"/>
                <w:szCs w:val="20"/>
                <w:lang w:val="en-GB" w:eastAsia="en-GB"/>
              </w:rPr>
              <w:t>%</w:t>
            </w:r>
          </w:p>
        </w:tc>
        <w:tc>
          <w:tcPr>
            <w:tcW w:w="242" w:type="dxa"/>
            <w:vMerge/>
            <w:tcBorders>
              <w:left w:val="nil"/>
              <w:bottom w:val="nil"/>
              <w:right w:val="nil"/>
            </w:tcBorders>
            <w:shd w:val="clear" w:color="auto" w:fill="A6A6A6" w:themeFill="background1" w:themeFillShade="A6"/>
          </w:tcPr>
          <w:p w14:paraId="11BF40E7" w14:textId="77777777" w:rsidR="000B7E84" w:rsidRPr="00C3630C" w:rsidRDefault="000B7E84" w:rsidP="000B7E84">
            <w:pPr>
              <w:jc w:val="right"/>
              <w:rPr>
                <w:rFonts w:ascii="Calibri" w:eastAsia="Calibri" w:hAnsi="Calibri" w:cs="Calibri"/>
                <w:bCs/>
                <w:color w:val="21286C"/>
                <w:sz w:val="20"/>
                <w:szCs w:val="20"/>
                <w:lang w:eastAsia="en-GB"/>
              </w:rPr>
            </w:pPr>
          </w:p>
        </w:tc>
        <w:tc>
          <w:tcPr>
            <w:tcW w:w="1211" w:type="dxa"/>
            <w:tcBorders>
              <w:top w:val="single" w:sz="4" w:space="0" w:color="auto"/>
              <w:left w:val="nil"/>
              <w:bottom w:val="single" w:sz="4" w:space="0" w:color="auto"/>
              <w:right w:val="nil"/>
            </w:tcBorders>
            <w:shd w:val="clear" w:color="auto" w:fill="F2F2F2" w:themeFill="background1" w:themeFillShade="F2"/>
            <w:vAlign w:val="center"/>
          </w:tcPr>
          <w:p w14:paraId="7129876D" w14:textId="70E6F0A4" w:rsidR="000B7E84" w:rsidRPr="00C3630C" w:rsidRDefault="000B7E84" w:rsidP="000B7E84">
            <w:pPr>
              <w:spacing w:after="240"/>
              <w:jc w:val="right"/>
              <w:rPr>
                <w:rFonts w:ascii="Calibri" w:eastAsia="Calibri" w:hAnsi="Calibri" w:cs="Calibri"/>
                <w:bCs/>
                <w:color w:val="21286C"/>
                <w:sz w:val="20"/>
                <w:szCs w:val="20"/>
                <w:lang w:eastAsia="en-GB"/>
              </w:rPr>
            </w:pPr>
            <w:r w:rsidRPr="00C3630C">
              <w:rPr>
                <w:rFonts w:ascii="Calibri" w:eastAsia="Calibri" w:hAnsi="Calibri" w:cs="Calibri"/>
                <w:b/>
                <w:bCs/>
                <w:color w:val="21286C"/>
                <w:sz w:val="20"/>
                <w:szCs w:val="20"/>
                <w:lang w:eastAsia="en-GB"/>
              </w:rPr>
              <w:t>45,</w:t>
            </w:r>
            <w:r w:rsidR="005A57B2" w:rsidRPr="00C3630C">
              <w:rPr>
                <w:rFonts w:ascii="Calibri" w:eastAsia="Calibri" w:hAnsi="Calibri" w:cs="Calibri"/>
                <w:b/>
                <w:bCs/>
                <w:color w:val="21286C"/>
                <w:sz w:val="20"/>
                <w:szCs w:val="20"/>
                <w:lang w:eastAsia="en-GB"/>
              </w:rPr>
              <w:t>0</w:t>
            </w:r>
          </w:p>
        </w:tc>
        <w:tc>
          <w:tcPr>
            <w:tcW w:w="1162" w:type="dxa"/>
            <w:tcBorders>
              <w:top w:val="single" w:sz="4" w:space="0" w:color="auto"/>
              <w:left w:val="nil"/>
              <w:bottom w:val="single" w:sz="4" w:space="0" w:color="auto"/>
              <w:right w:val="nil"/>
            </w:tcBorders>
          </w:tcPr>
          <w:p w14:paraId="613D5290" w14:textId="733A95C2" w:rsidR="000B7E84" w:rsidRPr="00C3630C" w:rsidRDefault="000B7E84"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eastAsia="en-GB"/>
              </w:rPr>
              <w:t>14,</w:t>
            </w:r>
            <w:r w:rsidRPr="00C3630C">
              <w:rPr>
                <w:rFonts w:ascii="Calibri" w:eastAsia="Calibri" w:hAnsi="Calibri" w:cs="Calibri"/>
                <w:color w:val="21286C"/>
                <w:sz w:val="20"/>
                <w:szCs w:val="20"/>
                <w:lang w:val="el-GR" w:eastAsia="en-GB"/>
              </w:rPr>
              <w:t>3</w:t>
            </w:r>
          </w:p>
        </w:tc>
        <w:tc>
          <w:tcPr>
            <w:tcW w:w="1162" w:type="dxa"/>
            <w:tcBorders>
              <w:top w:val="single" w:sz="4" w:space="0" w:color="auto"/>
              <w:left w:val="nil"/>
              <w:bottom w:val="single" w:sz="4" w:space="0" w:color="auto"/>
              <w:right w:val="nil"/>
            </w:tcBorders>
          </w:tcPr>
          <w:p w14:paraId="089542CC" w14:textId="03B8185B" w:rsidR="000B7E84" w:rsidRPr="00C3630C" w:rsidRDefault="005A57B2" w:rsidP="000B7E84">
            <w:pPr>
              <w:jc w:val="right"/>
              <w:rPr>
                <w:rFonts w:ascii="Calibri" w:eastAsia="Calibri" w:hAnsi="Calibri" w:cs="Calibri"/>
                <w:bCs/>
                <w:color w:val="21286C"/>
                <w:sz w:val="20"/>
                <w:szCs w:val="20"/>
                <w:lang w:val="fr-FR" w:eastAsia="en-GB"/>
              </w:rPr>
            </w:pPr>
            <w:r w:rsidRPr="00C3630C">
              <w:rPr>
                <w:rFonts w:ascii="Calibri" w:eastAsia="Calibri" w:hAnsi="Calibri" w:cs="Calibri"/>
                <w:color w:val="21286C"/>
                <w:sz w:val="20"/>
                <w:szCs w:val="20"/>
                <w:lang w:val="en-GB" w:eastAsia="en-GB"/>
              </w:rPr>
              <w:t>216,0</w:t>
            </w:r>
            <w:r w:rsidR="000B7E84" w:rsidRPr="00C3630C">
              <w:rPr>
                <w:rFonts w:ascii="Calibri" w:eastAsia="Calibri" w:hAnsi="Calibri" w:cs="Calibri"/>
                <w:color w:val="21286C"/>
                <w:sz w:val="20"/>
                <w:szCs w:val="20"/>
                <w:lang w:val="en-GB" w:eastAsia="en-GB"/>
              </w:rPr>
              <w:t>%</w:t>
            </w:r>
          </w:p>
        </w:tc>
      </w:tr>
    </w:tbl>
    <w:p w14:paraId="2D1246C7" w14:textId="076DA5BD" w:rsidR="00722DB5" w:rsidRPr="00C3630C" w:rsidRDefault="00722DB5" w:rsidP="0071598E">
      <w:pPr>
        <w:pStyle w:val="ListParagraph"/>
        <w:spacing w:after="0" w:line="240" w:lineRule="auto"/>
        <w:ind w:left="0"/>
        <w:jc w:val="both"/>
        <w:rPr>
          <w:rFonts w:ascii="Calibri" w:eastAsia="Calibri" w:hAnsi="Calibri" w:cs="Calibri"/>
          <w:i/>
          <w:iCs/>
          <w:color w:val="00183D"/>
          <w:lang w:val="en-US" w:eastAsia="en-GB"/>
        </w:rPr>
      </w:pPr>
    </w:p>
    <w:p w14:paraId="484022B0" w14:textId="031D5C15" w:rsidR="00AD3CF4" w:rsidRPr="00C3630C" w:rsidRDefault="0018756F" w:rsidP="00F06BBE">
      <w:pPr>
        <w:jc w:val="both"/>
        <w:rPr>
          <w:rFonts w:ascii="Calibri" w:eastAsia="Calibri" w:hAnsi="Calibri" w:cs="Calibri"/>
          <w:b/>
          <w:color w:val="01B1D7"/>
          <w:sz w:val="28"/>
          <w:szCs w:val="28"/>
          <w:lang w:val="el-GR"/>
        </w:rPr>
      </w:pPr>
      <w:r w:rsidRPr="00C3630C">
        <w:rPr>
          <w:rFonts w:ascii="Calibri" w:eastAsia="Calibri" w:hAnsi="Calibri" w:cs="Calibri"/>
          <w:b/>
          <w:color w:val="01B1D7"/>
          <w:sz w:val="28"/>
          <w:szCs w:val="28"/>
          <w:lang w:val="el-GR"/>
        </w:rPr>
        <w:t>ΗΠΑ</w:t>
      </w:r>
    </w:p>
    <w:p w14:paraId="0BC24FC7" w14:textId="0D329DE9" w:rsidR="000C4AF5" w:rsidRPr="00F35C10" w:rsidRDefault="005A19CA" w:rsidP="00F06BBE">
      <w:pPr>
        <w:jc w:val="both"/>
        <w:rPr>
          <w:rFonts w:ascii="Calibri" w:eastAsia="Calibri" w:hAnsi="Calibri" w:cs="Calibri"/>
          <w:b/>
          <w:color w:val="01B1D7"/>
          <w:sz w:val="28"/>
          <w:szCs w:val="28"/>
          <w:lang w:val="el-GR"/>
        </w:rPr>
      </w:pPr>
      <w:r w:rsidRPr="00C3630C">
        <w:rPr>
          <w:rFonts w:ascii="Calibri Light" w:eastAsiaTheme="minorEastAsia" w:hAnsi="Calibri Light" w:cs="Arial"/>
          <w:color w:val="21286C"/>
          <w:sz w:val="21"/>
          <w:szCs w:val="20"/>
          <w:lang w:val="el-GR" w:bidi="el-GR"/>
        </w:rPr>
        <w:t xml:space="preserve">Το τρίτο τρίμηνο του 2025 ο Όμιλος κατέγραψε </w:t>
      </w:r>
      <w:r w:rsidR="00F56F70" w:rsidRPr="00C3630C">
        <w:rPr>
          <w:rFonts w:ascii="Calibri Light" w:eastAsiaTheme="minorEastAsia" w:hAnsi="Calibri Light" w:cs="Arial"/>
          <w:color w:val="21286C"/>
          <w:sz w:val="21"/>
          <w:szCs w:val="20"/>
          <w:lang w:val="el-GR" w:bidi="el-GR"/>
        </w:rPr>
        <w:t>ισχυρ</w:t>
      </w:r>
      <w:r w:rsidR="00FF419E" w:rsidRPr="00C3630C">
        <w:rPr>
          <w:rFonts w:ascii="Calibri Light" w:eastAsiaTheme="minorEastAsia" w:hAnsi="Calibri Light" w:cs="Arial"/>
          <w:color w:val="21286C"/>
          <w:sz w:val="21"/>
          <w:szCs w:val="20"/>
          <w:lang w:val="el-GR" w:bidi="el-GR"/>
        </w:rPr>
        <w:t>ά αποτελέσματα</w:t>
      </w:r>
      <w:r w:rsidRPr="00C3630C">
        <w:rPr>
          <w:rFonts w:ascii="Calibri Light" w:eastAsiaTheme="minorEastAsia" w:hAnsi="Calibri Light" w:cs="Arial"/>
          <w:color w:val="21286C"/>
          <w:sz w:val="21"/>
          <w:szCs w:val="20"/>
          <w:lang w:val="el-GR" w:bidi="el-GR"/>
        </w:rPr>
        <w:t>, χάρη στ</w:t>
      </w:r>
      <w:r w:rsidR="00833803">
        <w:rPr>
          <w:rFonts w:ascii="Calibri Light" w:eastAsiaTheme="minorEastAsia" w:hAnsi="Calibri Light" w:cs="Arial"/>
          <w:color w:val="21286C"/>
          <w:sz w:val="21"/>
          <w:szCs w:val="20"/>
          <w:lang w:val="el-GR" w:bidi="el-GR"/>
        </w:rPr>
        <w:t>α</w:t>
      </w:r>
      <w:r w:rsidRPr="00C3630C">
        <w:rPr>
          <w:rFonts w:ascii="Calibri Light" w:eastAsiaTheme="minorEastAsia" w:hAnsi="Calibri Light" w:cs="Arial"/>
          <w:color w:val="21286C"/>
          <w:sz w:val="21"/>
          <w:szCs w:val="20"/>
          <w:lang w:val="el-GR" w:bidi="el-GR"/>
        </w:rPr>
        <w:t xml:space="preserve"> </w:t>
      </w:r>
      <w:r w:rsidR="00506451" w:rsidRPr="00C3630C">
        <w:rPr>
          <w:rFonts w:ascii="Calibri Light" w:hAnsi="Calibri Light"/>
          <w:color w:val="21286C"/>
          <w:sz w:val="21"/>
          <w:szCs w:val="20"/>
          <w:lang w:val="el-GR"/>
        </w:rPr>
        <w:t>βελτι</w:t>
      </w:r>
      <w:r w:rsidR="00833803">
        <w:rPr>
          <w:rFonts w:ascii="Calibri Light" w:hAnsi="Calibri Light"/>
          <w:color w:val="21286C"/>
          <w:sz w:val="21"/>
          <w:szCs w:val="20"/>
          <w:lang w:val="el-GR"/>
        </w:rPr>
        <w:t>ωμένα</w:t>
      </w:r>
      <w:r w:rsidR="00506451" w:rsidRPr="00C3630C">
        <w:rPr>
          <w:rFonts w:ascii="Calibri Light" w:hAnsi="Calibri Light"/>
          <w:color w:val="21286C"/>
          <w:sz w:val="21"/>
          <w:szCs w:val="20"/>
          <w:lang w:val="el-GR"/>
        </w:rPr>
        <w:t xml:space="preserve"> </w:t>
      </w:r>
      <w:r w:rsidRPr="00C3630C">
        <w:rPr>
          <w:rFonts w:ascii="Calibri Light" w:eastAsiaTheme="minorEastAsia" w:hAnsi="Calibri Light" w:cs="Arial"/>
          <w:color w:val="21286C"/>
          <w:sz w:val="21"/>
          <w:szCs w:val="20"/>
          <w:lang w:val="el-GR" w:bidi="el-GR"/>
        </w:rPr>
        <w:t xml:space="preserve">επίπεδα αποδοτικότητας </w:t>
      </w:r>
      <w:r w:rsidR="00833803">
        <w:rPr>
          <w:rFonts w:ascii="Calibri Light" w:eastAsiaTheme="minorEastAsia" w:hAnsi="Calibri Light" w:cs="Arial"/>
          <w:color w:val="21286C"/>
          <w:sz w:val="21"/>
          <w:szCs w:val="20"/>
          <w:lang w:val="el-GR" w:bidi="el-GR"/>
        </w:rPr>
        <w:t>ως αποτέλεσμα των</w:t>
      </w:r>
      <w:r w:rsidRPr="00C3630C">
        <w:rPr>
          <w:rFonts w:ascii="Calibri Light" w:eastAsiaTheme="minorEastAsia" w:hAnsi="Calibri Light" w:cs="Arial"/>
          <w:color w:val="21286C"/>
          <w:sz w:val="21"/>
          <w:szCs w:val="20"/>
          <w:lang w:val="el-GR" w:bidi="el-GR"/>
        </w:rPr>
        <w:t xml:space="preserve"> </w:t>
      </w:r>
      <w:r w:rsidR="009C12D5">
        <w:rPr>
          <w:rFonts w:ascii="Calibri Light" w:eastAsiaTheme="minorEastAsia" w:hAnsi="Calibri Light" w:cs="Arial"/>
          <w:color w:val="21286C"/>
          <w:sz w:val="21"/>
          <w:szCs w:val="20"/>
          <w:lang w:val="el-GR" w:bidi="el-GR"/>
        </w:rPr>
        <w:t>πρόσφατ</w:t>
      </w:r>
      <w:r w:rsidR="00833803">
        <w:rPr>
          <w:rFonts w:ascii="Calibri Light" w:eastAsiaTheme="minorEastAsia" w:hAnsi="Calibri Light" w:cs="Arial"/>
          <w:color w:val="21286C"/>
          <w:sz w:val="21"/>
          <w:szCs w:val="20"/>
          <w:lang w:val="el-GR" w:bidi="el-GR"/>
        </w:rPr>
        <w:t>ων</w:t>
      </w:r>
      <w:r w:rsidR="009C12D5">
        <w:rPr>
          <w:rFonts w:ascii="Calibri Light" w:eastAsiaTheme="minorEastAsia" w:hAnsi="Calibri Light" w:cs="Arial"/>
          <w:color w:val="21286C"/>
          <w:sz w:val="21"/>
          <w:szCs w:val="20"/>
          <w:lang w:val="el-GR" w:bidi="el-GR"/>
        </w:rPr>
        <w:t xml:space="preserve"> </w:t>
      </w:r>
      <w:proofErr w:type="spellStart"/>
      <w:r w:rsidRPr="00C3630C">
        <w:rPr>
          <w:rFonts w:ascii="Calibri Light" w:eastAsiaTheme="minorEastAsia" w:hAnsi="Calibri Light" w:cs="Arial"/>
          <w:color w:val="21286C"/>
          <w:sz w:val="21"/>
          <w:szCs w:val="20"/>
          <w:lang w:val="el-GR" w:bidi="el-GR"/>
        </w:rPr>
        <w:t>στοχευμέν</w:t>
      </w:r>
      <w:r w:rsidR="00833803">
        <w:rPr>
          <w:rFonts w:ascii="Calibri Light" w:eastAsiaTheme="minorEastAsia" w:hAnsi="Calibri Light" w:cs="Arial"/>
          <w:color w:val="21286C"/>
          <w:sz w:val="21"/>
          <w:szCs w:val="20"/>
          <w:lang w:val="el-GR" w:bidi="el-GR"/>
        </w:rPr>
        <w:t>ων</w:t>
      </w:r>
      <w:proofErr w:type="spellEnd"/>
      <w:r w:rsidRPr="00C3630C">
        <w:rPr>
          <w:rFonts w:ascii="Calibri Light" w:eastAsiaTheme="minorEastAsia" w:hAnsi="Calibri Light" w:cs="Arial"/>
          <w:color w:val="21286C"/>
          <w:sz w:val="21"/>
          <w:szCs w:val="20"/>
          <w:lang w:val="el-GR" w:bidi="el-GR"/>
        </w:rPr>
        <w:t xml:space="preserve"> επενδύσε</w:t>
      </w:r>
      <w:r w:rsidR="00833803">
        <w:rPr>
          <w:rFonts w:ascii="Calibri Light" w:eastAsiaTheme="minorEastAsia" w:hAnsi="Calibri Light" w:cs="Arial"/>
          <w:color w:val="21286C"/>
          <w:sz w:val="21"/>
          <w:szCs w:val="20"/>
          <w:lang w:val="el-GR" w:bidi="el-GR"/>
        </w:rPr>
        <w:t>ων</w:t>
      </w:r>
      <w:r w:rsidRPr="00C3630C">
        <w:rPr>
          <w:rFonts w:ascii="Calibri Light" w:eastAsiaTheme="minorEastAsia" w:hAnsi="Calibri Light" w:cs="Arial"/>
          <w:color w:val="21286C"/>
          <w:sz w:val="21"/>
          <w:szCs w:val="20"/>
          <w:lang w:val="el-GR" w:bidi="el-GR"/>
        </w:rPr>
        <w:t xml:space="preserve"> των τελευταίων </w:t>
      </w:r>
      <w:r w:rsidR="00FF419E" w:rsidRPr="00C3630C">
        <w:rPr>
          <w:rFonts w:ascii="Calibri Light" w:eastAsiaTheme="minorEastAsia" w:hAnsi="Calibri Light" w:cs="Arial"/>
          <w:color w:val="21286C"/>
          <w:sz w:val="21"/>
          <w:szCs w:val="20"/>
          <w:lang w:val="el-GR" w:bidi="el-GR"/>
        </w:rPr>
        <w:t>ετών</w:t>
      </w:r>
      <w:r w:rsidRPr="00C3630C">
        <w:rPr>
          <w:rFonts w:ascii="Calibri Light" w:eastAsiaTheme="minorEastAsia" w:hAnsi="Calibri Light" w:cs="Arial"/>
          <w:color w:val="21286C"/>
          <w:sz w:val="21"/>
          <w:szCs w:val="20"/>
          <w:lang w:val="el-GR" w:bidi="el-GR"/>
        </w:rPr>
        <w:t>. Οι όγκοι πωλήσεων τσιμέντου, έτοιμου σκυροδέματος, αδρανών υλικών και ιπτάμενης τέφρας αυξήθηκαν το τρίτο τρίμηνο του έτους, χάρη</w:t>
      </w:r>
      <w:r w:rsidR="00284CAF">
        <w:rPr>
          <w:rFonts w:ascii="Calibri Light" w:eastAsiaTheme="minorEastAsia" w:hAnsi="Calibri Light" w:cs="Arial"/>
          <w:color w:val="21286C"/>
          <w:sz w:val="21"/>
          <w:szCs w:val="20"/>
          <w:lang w:val="el-GR" w:bidi="el-GR"/>
        </w:rPr>
        <w:t xml:space="preserve"> στη </w:t>
      </w:r>
      <w:r w:rsidR="005839C5">
        <w:rPr>
          <w:rFonts w:ascii="Calibri Light" w:eastAsiaTheme="minorEastAsia" w:hAnsi="Calibri Light" w:cs="Arial"/>
          <w:color w:val="21286C"/>
          <w:sz w:val="21"/>
          <w:szCs w:val="20"/>
          <w:lang w:val="el-GR" w:bidi="el-GR"/>
        </w:rPr>
        <w:t xml:space="preserve">σταθερή ζήτηση σε έργα υποδομών και ιδιωτικών εμπορικών ακινήτων </w:t>
      </w:r>
      <w:r w:rsidR="006B38C9">
        <w:rPr>
          <w:rFonts w:ascii="Calibri Light" w:eastAsiaTheme="minorEastAsia" w:hAnsi="Calibri Light" w:cs="Arial"/>
          <w:color w:val="21286C"/>
          <w:sz w:val="21"/>
          <w:szCs w:val="20"/>
          <w:lang w:val="el-GR" w:bidi="el-GR"/>
        </w:rPr>
        <w:t xml:space="preserve">καθώς </w:t>
      </w:r>
      <w:r w:rsidRPr="00C3630C">
        <w:rPr>
          <w:rFonts w:ascii="Calibri Light" w:eastAsiaTheme="minorEastAsia" w:hAnsi="Calibri Light" w:cs="Arial"/>
          <w:color w:val="21286C"/>
          <w:sz w:val="21"/>
          <w:szCs w:val="20"/>
          <w:lang w:val="el-GR" w:bidi="el-GR"/>
        </w:rPr>
        <w:t>και στις ευνοϊκ</w:t>
      </w:r>
      <w:r w:rsidR="006B38C9">
        <w:rPr>
          <w:rFonts w:ascii="Calibri Light" w:eastAsiaTheme="minorEastAsia" w:hAnsi="Calibri Light" w:cs="Arial"/>
          <w:color w:val="21286C"/>
          <w:sz w:val="21"/>
          <w:szCs w:val="20"/>
          <w:lang w:val="el-GR" w:bidi="el-GR"/>
        </w:rPr>
        <w:t>ότερες</w:t>
      </w:r>
      <w:r w:rsidR="008F539B" w:rsidRPr="008F539B">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 xml:space="preserve">καιρικές συνθήκες που επικράτησαν </w:t>
      </w:r>
      <w:r w:rsidR="00FF2A60">
        <w:rPr>
          <w:rFonts w:ascii="Calibri Light" w:eastAsiaTheme="minorEastAsia" w:hAnsi="Calibri Light" w:cs="Arial"/>
          <w:color w:val="21286C"/>
          <w:sz w:val="21"/>
          <w:szCs w:val="20"/>
          <w:lang w:val="el-GR" w:bidi="el-GR"/>
        </w:rPr>
        <w:t>σε σύγκριση με την αντίστοιχη περίοδο πέρυσι. Όπως αναμενόταν</w:t>
      </w:r>
      <w:r w:rsidR="00C1420E">
        <w:rPr>
          <w:rFonts w:ascii="Calibri Light" w:eastAsiaTheme="minorEastAsia" w:hAnsi="Calibri Light" w:cs="Arial"/>
          <w:color w:val="21286C"/>
          <w:sz w:val="21"/>
          <w:szCs w:val="20"/>
          <w:lang w:val="el-GR" w:bidi="el-GR"/>
        </w:rPr>
        <w:t xml:space="preserve">, η δραστηριότητα στον κλάδο κατοικίας παρέμεινε υποτονική. </w:t>
      </w:r>
      <w:r w:rsidRPr="00C3630C">
        <w:rPr>
          <w:rFonts w:ascii="Calibri Light" w:eastAsiaTheme="minorEastAsia" w:hAnsi="Calibri Light" w:cs="Arial"/>
          <w:color w:val="21286C"/>
          <w:sz w:val="21"/>
          <w:szCs w:val="20"/>
          <w:lang w:val="el-GR" w:bidi="el-GR"/>
        </w:rPr>
        <w:t xml:space="preserve">Στη Φλόριντα, οι </w:t>
      </w:r>
      <w:r w:rsidR="00F324FF" w:rsidRPr="00C3630C">
        <w:rPr>
          <w:rFonts w:ascii="Calibri Light" w:eastAsiaTheme="minorEastAsia" w:hAnsi="Calibri Light" w:cs="Arial"/>
          <w:color w:val="21286C"/>
          <w:sz w:val="21"/>
          <w:szCs w:val="20"/>
          <w:lang w:val="el-GR" w:bidi="el-GR"/>
        </w:rPr>
        <w:t>ισχυρές</w:t>
      </w:r>
      <w:r w:rsidRPr="00C3630C">
        <w:rPr>
          <w:rFonts w:ascii="Calibri Light" w:eastAsiaTheme="minorEastAsia" w:hAnsi="Calibri Light" w:cs="Arial"/>
          <w:color w:val="21286C"/>
          <w:sz w:val="21"/>
          <w:szCs w:val="20"/>
          <w:lang w:val="el-GR" w:bidi="el-GR"/>
        </w:rPr>
        <w:t xml:space="preserve"> επιδόσεις στην αγορά αδρανών υλικών αντιστάθμισαν την επιβράδυνση του κλάδου κατοικίας, ενώ στις Μεσοατλαντικές Πολιτείες οι αυξημένοι όγκοι πωλήσεων τσιμέντου και έτοιμου σκυροδέματος συνέβαλαν στην επίτευξη </w:t>
      </w:r>
      <w:r w:rsidR="00462CCD">
        <w:rPr>
          <w:rFonts w:ascii="Calibri Light" w:eastAsiaTheme="minorEastAsia" w:hAnsi="Calibri Light" w:cs="Arial"/>
          <w:color w:val="21286C"/>
          <w:sz w:val="21"/>
          <w:szCs w:val="20"/>
          <w:lang w:val="el-GR" w:bidi="el-GR"/>
        </w:rPr>
        <w:t>αυξημένων εσόδων</w:t>
      </w:r>
      <w:r w:rsidR="00F17AFA">
        <w:rPr>
          <w:rFonts w:ascii="Calibri Light" w:eastAsiaTheme="minorEastAsia" w:hAnsi="Calibri Light" w:cs="Arial"/>
          <w:color w:val="21286C"/>
          <w:sz w:val="21"/>
          <w:szCs w:val="20"/>
          <w:lang w:val="el-GR" w:bidi="el-GR"/>
        </w:rPr>
        <w:t xml:space="preserve"> σε σύγκριση </w:t>
      </w:r>
      <w:r w:rsidR="005C1B1E">
        <w:rPr>
          <w:rFonts w:ascii="Calibri Light" w:eastAsiaTheme="minorEastAsia" w:hAnsi="Calibri Light" w:cs="Arial"/>
          <w:color w:val="21286C"/>
          <w:sz w:val="21"/>
          <w:szCs w:val="20"/>
          <w:lang w:val="el-GR" w:bidi="el-GR"/>
        </w:rPr>
        <w:t xml:space="preserve">με το </w:t>
      </w:r>
      <w:r w:rsidR="003C485D">
        <w:rPr>
          <w:rFonts w:ascii="Calibri Light" w:eastAsiaTheme="minorEastAsia" w:hAnsi="Calibri Light" w:cs="Arial"/>
          <w:color w:val="21286C"/>
          <w:sz w:val="21"/>
          <w:szCs w:val="20"/>
          <w:lang w:val="el-GR" w:bidi="el-GR"/>
        </w:rPr>
        <w:t>ασθενές</w:t>
      </w:r>
      <w:r w:rsidR="005C1B1E">
        <w:rPr>
          <w:rFonts w:ascii="Calibri Light" w:eastAsiaTheme="minorEastAsia" w:hAnsi="Calibri Light" w:cs="Arial"/>
          <w:color w:val="21286C"/>
          <w:sz w:val="21"/>
          <w:szCs w:val="20"/>
          <w:lang w:val="el-GR" w:bidi="el-GR"/>
        </w:rPr>
        <w:t xml:space="preserve"> αντίστοιχο τρίμηνο του προηγούμενου έτους</w:t>
      </w:r>
      <w:r w:rsidRPr="00C3630C">
        <w:rPr>
          <w:rFonts w:ascii="Calibri Light" w:eastAsiaTheme="minorEastAsia" w:hAnsi="Calibri Light" w:cs="Arial"/>
          <w:color w:val="21286C"/>
          <w:sz w:val="21"/>
          <w:szCs w:val="20"/>
          <w:lang w:val="el-GR" w:bidi="el-GR"/>
        </w:rPr>
        <w:t xml:space="preserve">. </w:t>
      </w:r>
      <w:r w:rsidR="00146337">
        <w:rPr>
          <w:rFonts w:ascii="Calibri Light" w:eastAsiaTheme="minorEastAsia" w:hAnsi="Calibri Light" w:cs="Arial"/>
          <w:color w:val="21286C"/>
          <w:sz w:val="21"/>
          <w:szCs w:val="20"/>
          <w:lang w:val="el-GR" w:bidi="el-GR"/>
        </w:rPr>
        <w:t>Η</w:t>
      </w:r>
      <w:r w:rsidRPr="00C3630C">
        <w:rPr>
          <w:rFonts w:ascii="Calibri Light" w:eastAsiaTheme="minorEastAsia" w:hAnsi="Calibri Light" w:cs="Arial"/>
          <w:color w:val="21286C"/>
          <w:sz w:val="21"/>
          <w:szCs w:val="20"/>
          <w:lang w:val="el-GR" w:bidi="el-GR"/>
        </w:rPr>
        <w:t xml:space="preserve"> </w:t>
      </w:r>
      <w:r w:rsidR="004F4478">
        <w:rPr>
          <w:rFonts w:ascii="Calibri Light" w:eastAsiaTheme="minorEastAsia" w:hAnsi="Calibri Light" w:cs="Arial"/>
          <w:color w:val="21286C"/>
          <w:sz w:val="21"/>
          <w:szCs w:val="20"/>
          <w:lang w:val="el-GR" w:bidi="el-GR"/>
        </w:rPr>
        <w:t>συνετή διαχείριση</w:t>
      </w:r>
      <w:r w:rsidRPr="00C3630C">
        <w:rPr>
          <w:rFonts w:ascii="Calibri Light" w:eastAsiaTheme="minorEastAsia" w:hAnsi="Calibri Light" w:cs="Arial"/>
          <w:color w:val="21286C"/>
          <w:sz w:val="21"/>
          <w:szCs w:val="20"/>
          <w:lang w:val="el-GR" w:bidi="el-GR"/>
        </w:rPr>
        <w:t xml:space="preserve"> του κόστους και η </w:t>
      </w:r>
      <w:r w:rsidR="00146337">
        <w:rPr>
          <w:rFonts w:ascii="Calibri Light" w:eastAsiaTheme="minorEastAsia" w:hAnsi="Calibri Light" w:cs="Arial"/>
          <w:color w:val="21286C"/>
          <w:sz w:val="21"/>
          <w:szCs w:val="20"/>
          <w:lang w:val="el-GR" w:bidi="el-GR"/>
        </w:rPr>
        <w:t>ανθεκτικότητα</w:t>
      </w:r>
      <w:r w:rsidRPr="00C3630C">
        <w:rPr>
          <w:rFonts w:ascii="Calibri Light" w:eastAsiaTheme="minorEastAsia" w:hAnsi="Calibri Light" w:cs="Arial"/>
          <w:color w:val="21286C"/>
          <w:sz w:val="21"/>
          <w:szCs w:val="20"/>
          <w:lang w:val="el-GR" w:bidi="el-GR"/>
        </w:rPr>
        <w:t xml:space="preserve"> των τιμών, σε συνδυασμό με</w:t>
      </w:r>
      <w:r w:rsidR="00CE4A51">
        <w:rPr>
          <w:rFonts w:ascii="Calibri Light" w:eastAsiaTheme="minorEastAsia" w:hAnsi="Calibri Light" w:cs="Arial"/>
          <w:color w:val="21286C"/>
          <w:sz w:val="21"/>
          <w:szCs w:val="20"/>
          <w:lang w:val="el-GR" w:bidi="el-GR"/>
        </w:rPr>
        <w:t xml:space="preserve"> τη βελτίωση των όγκων πωλήσεων,</w:t>
      </w:r>
      <w:r w:rsidRPr="00C3630C">
        <w:rPr>
          <w:rFonts w:ascii="Calibri Light" w:eastAsiaTheme="minorEastAsia" w:hAnsi="Calibri Light" w:cs="Arial"/>
          <w:color w:val="21286C"/>
          <w:sz w:val="21"/>
          <w:szCs w:val="20"/>
          <w:lang w:val="el-GR" w:bidi="el-GR"/>
        </w:rPr>
        <w:t xml:space="preserve"> </w:t>
      </w:r>
      <w:r w:rsidR="00C06ADB" w:rsidRPr="00C3630C">
        <w:rPr>
          <w:rFonts w:ascii="Calibri Light" w:eastAsiaTheme="minorEastAsia" w:hAnsi="Calibri Light" w:cs="Arial"/>
          <w:color w:val="21286C"/>
          <w:sz w:val="21"/>
          <w:szCs w:val="20"/>
          <w:lang w:val="el-GR" w:bidi="el-GR"/>
        </w:rPr>
        <w:t xml:space="preserve">ενίσχυσαν </w:t>
      </w:r>
      <w:r w:rsidRPr="00C3630C">
        <w:rPr>
          <w:rFonts w:ascii="Calibri Light" w:eastAsiaTheme="minorEastAsia" w:hAnsi="Calibri Light" w:cs="Arial"/>
          <w:color w:val="21286C"/>
          <w:sz w:val="21"/>
          <w:szCs w:val="20"/>
          <w:lang w:val="el-GR" w:bidi="el-GR"/>
        </w:rPr>
        <w:t xml:space="preserve">τις ισχυρές επιδόσεις του Ομίλου κατά το τρίμηνο. Η δραστηριότητα </w:t>
      </w:r>
      <w:r w:rsidR="00C06ADB" w:rsidRPr="00C3630C">
        <w:rPr>
          <w:rFonts w:ascii="Calibri Light" w:eastAsiaTheme="minorEastAsia" w:hAnsi="Calibri Light" w:cs="Arial"/>
          <w:color w:val="21286C"/>
          <w:sz w:val="21"/>
          <w:szCs w:val="20"/>
          <w:lang w:val="el-GR" w:bidi="el-GR"/>
        </w:rPr>
        <w:t xml:space="preserve">στο τομέα των υποδομών </w:t>
      </w:r>
      <w:r w:rsidRPr="00C3630C">
        <w:rPr>
          <w:rFonts w:ascii="Calibri Light" w:eastAsiaTheme="minorEastAsia" w:hAnsi="Calibri Light" w:cs="Arial"/>
          <w:color w:val="21286C"/>
          <w:sz w:val="21"/>
          <w:szCs w:val="20"/>
          <w:lang w:val="el-GR" w:bidi="el-GR"/>
        </w:rPr>
        <w:t xml:space="preserve">παρέμεινε αυξημένη, χάρη στη συνέχιση των επενδύσεων σε ομοσπονδιακό και σε πολιτειακό επίπεδο. Οι βασικοί δείκτες για την κατασκευή αυτοκινητοδρόμων και γεφυρών διατηρούνται σε ιστορικά υψηλά επίπεδα, υπογραμμίζοντας την ανθεκτικότητα του </w:t>
      </w:r>
      <w:r w:rsidR="005964F0" w:rsidRPr="00C3630C">
        <w:rPr>
          <w:rFonts w:ascii="Calibri Light" w:eastAsiaTheme="minorEastAsia" w:hAnsi="Calibri Light" w:cs="Arial"/>
          <w:color w:val="21286C"/>
          <w:sz w:val="21"/>
          <w:szCs w:val="20"/>
          <w:lang w:val="el-GR" w:bidi="el-GR"/>
        </w:rPr>
        <w:t>συγκεκριμένου</w:t>
      </w:r>
      <w:r w:rsidR="00D42F09" w:rsidRPr="00C3630C">
        <w:rPr>
          <w:rFonts w:ascii="Calibri Light" w:eastAsiaTheme="minorEastAsia" w:hAnsi="Calibri Light" w:cs="Arial"/>
          <w:color w:val="21286C"/>
          <w:sz w:val="21"/>
          <w:szCs w:val="20"/>
          <w:lang w:val="el-GR" w:bidi="el-GR"/>
        </w:rPr>
        <w:t xml:space="preserve"> κλάδου</w:t>
      </w:r>
      <w:r w:rsidRPr="00C3630C">
        <w:rPr>
          <w:rFonts w:ascii="Calibri Light" w:eastAsiaTheme="minorEastAsia" w:hAnsi="Calibri Light" w:cs="Arial"/>
          <w:color w:val="21286C"/>
          <w:sz w:val="21"/>
          <w:szCs w:val="20"/>
          <w:lang w:val="el-GR" w:bidi="el-GR"/>
        </w:rPr>
        <w:t xml:space="preserve">. </w:t>
      </w:r>
      <w:r w:rsidR="0090125B">
        <w:rPr>
          <w:rFonts w:ascii="Calibri Light" w:eastAsiaTheme="minorEastAsia" w:hAnsi="Calibri Light" w:cs="Arial"/>
          <w:color w:val="21286C"/>
          <w:sz w:val="21"/>
          <w:szCs w:val="20"/>
          <w:lang w:val="el-GR" w:bidi="el-GR"/>
        </w:rPr>
        <w:t>Η</w:t>
      </w:r>
      <w:r w:rsidRPr="00C3630C">
        <w:rPr>
          <w:rFonts w:ascii="Calibri Light" w:eastAsiaTheme="minorEastAsia" w:hAnsi="Calibri Light" w:cs="Arial"/>
          <w:color w:val="21286C"/>
          <w:sz w:val="21"/>
          <w:szCs w:val="20"/>
          <w:lang w:val="el-GR" w:bidi="el-GR"/>
        </w:rPr>
        <w:t xml:space="preserve"> κατασκευή κέντρων δεδομένων</w:t>
      </w:r>
      <w:r w:rsidR="003A6C8B">
        <w:rPr>
          <w:rFonts w:ascii="Calibri Light" w:eastAsiaTheme="minorEastAsia" w:hAnsi="Calibri Light" w:cs="Arial"/>
          <w:color w:val="21286C"/>
          <w:sz w:val="21"/>
          <w:szCs w:val="20"/>
          <w:lang w:val="el-GR" w:bidi="el-GR"/>
        </w:rPr>
        <w:t xml:space="preserve"> </w:t>
      </w:r>
      <w:r w:rsidR="00B02697">
        <w:rPr>
          <w:rFonts w:ascii="Calibri Light" w:eastAsiaTheme="minorEastAsia" w:hAnsi="Calibri Light" w:cs="Arial"/>
          <w:color w:val="21286C"/>
          <w:sz w:val="21"/>
          <w:szCs w:val="20"/>
          <w:lang w:val="el-GR" w:bidi="el-GR"/>
        </w:rPr>
        <w:t>(</w:t>
      </w:r>
      <w:r w:rsidR="00B02697">
        <w:rPr>
          <w:rFonts w:ascii="Calibri Light" w:eastAsiaTheme="minorEastAsia" w:hAnsi="Calibri Light" w:cs="Arial"/>
          <w:color w:val="21286C"/>
          <w:sz w:val="21"/>
          <w:szCs w:val="20"/>
          <w:lang w:bidi="el-GR"/>
        </w:rPr>
        <w:t>data</w:t>
      </w:r>
      <w:r w:rsidR="00B02697" w:rsidRPr="002F067B">
        <w:rPr>
          <w:rFonts w:ascii="Calibri Light" w:eastAsiaTheme="minorEastAsia" w:hAnsi="Calibri Light" w:cs="Arial"/>
          <w:color w:val="21286C"/>
          <w:sz w:val="21"/>
          <w:szCs w:val="20"/>
          <w:lang w:val="el-GR" w:bidi="el-GR"/>
        </w:rPr>
        <w:t xml:space="preserve"> </w:t>
      </w:r>
      <w:r w:rsidR="00B02697">
        <w:rPr>
          <w:rFonts w:ascii="Calibri Light" w:eastAsiaTheme="minorEastAsia" w:hAnsi="Calibri Light" w:cs="Arial"/>
          <w:color w:val="21286C"/>
          <w:sz w:val="21"/>
          <w:szCs w:val="20"/>
          <w:lang w:bidi="el-GR"/>
        </w:rPr>
        <w:t>center</w:t>
      </w:r>
      <w:r w:rsidR="00B02697" w:rsidRPr="002F067B">
        <w:rPr>
          <w:rFonts w:ascii="Calibri Light" w:eastAsiaTheme="minorEastAsia" w:hAnsi="Calibri Light" w:cs="Arial"/>
          <w:color w:val="21286C"/>
          <w:sz w:val="21"/>
          <w:szCs w:val="20"/>
          <w:lang w:val="el-GR" w:bidi="el-GR"/>
        </w:rPr>
        <w:t>)</w:t>
      </w:r>
      <w:r w:rsidRPr="00C3630C">
        <w:rPr>
          <w:rFonts w:ascii="Calibri Light" w:eastAsiaTheme="minorEastAsia" w:hAnsi="Calibri Light" w:cs="Arial"/>
          <w:color w:val="21286C"/>
          <w:sz w:val="21"/>
          <w:szCs w:val="20"/>
          <w:lang w:val="el-GR" w:bidi="el-GR"/>
        </w:rPr>
        <w:t xml:space="preserve"> διατήρησε τη δυναμική της</w:t>
      </w:r>
      <w:r w:rsidR="0090125B">
        <w:rPr>
          <w:rFonts w:ascii="Calibri Light" w:eastAsiaTheme="minorEastAsia" w:hAnsi="Calibri Light" w:cs="Arial"/>
          <w:color w:val="21286C"/>
          <w:sz w:val="21"/>
          <w:szCs w:val="20"/>
          <w:lang w:val="el-GR" w:bidi="el-GR"/>
        </w:rPr>
        <w:t xml:space="preserve"> σ</w:t>
      </w:r>
      <w:r w:rsidRPr="00C3630C">
        <w:rPr>
          <w:rFonts w:ascii="Calibri Light" w:eastAsiaTheme="minorEastAsia" w:hAnsi="Calibri Light" w:cs="Arial"/>
          <w:color w:val="21286C"/>
          <w:sz w:val="21"/>
          <w:szCs w:val="20"/>
          <w:lang w:val="el-GR" w:bidi="el-GR"/>
        </w:rPr>
        <w:t xml:space="preserve">τον </w:t>
      </w:r>
      <w:r w:rsidR="00D42F09" w:rsidRPr="00C3630C">
        <w:rPr>
          <w:rFonts w:ascii="Calibri Light" w:eastAsiaTheme="minorEastAsia" w:hAnsi="Calibri Light" w:cs="Arial"/>
          <w:color w:val="21286C"/>
          <w:sz w:val="21"/>
          <w:szCs w:val="20"/>
          <w:lang w:val="el-GR" w:bidi="el-GR"/>
        </w:rPr>
        <w:t xml:space="preserve">τομέα </w:t>
      </w:r>
      <w:r w:rsidRPr="00C3630C">
        <w:rPr>
          <w:rFonts w:ascii="Calibri Light" w:eastAsiaTheme="minorEastAsia" w:hAnsi="Calibri Light" w:cs="Arial"/>
          <w:color w:val="21286C"/>
          <w:sz w:val="21"/>
          <w:szCs w:val="20"/>
          <w:lang w:val="el-GR" w:bidi="el-GR"/>
        </w:rPr>
        <w:t xml:space="preserve">των </w:t>
      </w:r>
      <w:r w:rsidR="00CE43E5">
        <w:rPr>
          <w:rFonts w:ascii="Calibri Light" w:eastAsiaTheme="minorEastAsia" w:hAnsi="Calibri Light" w:cs="Arial"/>
          <w:color w:val="21286C"/>
          <w:sz w:val="21"/>
          <w:szCs w:val="20"/>
          <w:lang w:val="el-GR" w:bidi="el-GR"/>
        </w:rPr>
        <w:t xml:space="preserve">ιδιωτικών </w:t>
      </w:r>
      <w:r w:rsidRPr="00C3630C">
        <w:rPr>
          <w:rFonts w:ascii="Calibri Light" w:eastAsiaTheme="minorEastAsia" w:hAnsi="Calibri Light" w:cs="Arial"/>
          <w:color w:val="21286C"/>
          <w:sz w:val="21"/>
          <w:szCs w:val="20"/>
          <w:lang w:val="el-GR" w:bidi="el-GR"/>
        </w:rPr>
        <w:t>εμπορικών ακινήτων,</w:t>
      </w:r>
      <w:r w:rsidRPr="00C3630C" w:rsidDel="00B47030">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 xml:space="preserve">ενώ η μετακίνηση πληθυσμού </w:t>
      </w:r>
      <w:r w:rsidR="00710042" w:rsidRPr="00C3630C">
        <w:rPr>
          <w:rFonts w:ascii="Calibri Light" w:eastAsiaTheme="minorEastAsia" w:hAnsi="Calibri Light" w:cs="Arial"/>
          <w:color w:val="21286C"/>
          <w:sz w:val="21"/>
          <w:szCs w:val="20"/>
          <w:lang w:val="el-GR" w:bidi="el-GR"/>
        </w:rPr>
        <w:t>προς</w:t>
      </w:r>
      <w:r w:rsidRPr="00C3630C">
        <w:rPr>
          <w:rFonts w:ascii="Calibri Light" w:eastAsiaTheme="minorEastAsia" w:hAnsi="Calibri Light" w:cs="Arial"/>
          <w:color w:val="21286C"/>
          <w:sz w:val="21"/>
          <w:szCs w:val="20"/>
          <w:lang w:val="el-GR" w:bidi="el-GR"/>
        </w:rPr>
        <w:t xml:space="preserve"> προαστιακές περιοχές και ορισμένες τάσεις</w:t>
      </w:r>
      <w:r w:rsidR="00816A8D" w:rsidRPr="002F067B">
        <w:rPr>
          <w:rFonts w:ascii="Calibri Light" w:eastAsiaTheme="minorEastAsia" w:hAnsi="Calibri Light" w:cs="Arial"/>
          <w:color w:val="21286C"/>
          <w:sz w:val="21"/>
          <w:szCs w:val="20"/>
          <w:lang w:val="el-GR" w:bidi="el-GR"/>
        </w:rPr>
        <w:t>,</w:t>
      </w:r>
      <w:r w:rsidRPr="00C3630C">
        <w:rPr>
          <w:rFonts w:ascii="Calibri Light" w:eastAsiaTheme="minorEastAsia" w:hAnsi="Calibri Light" w:cs="Arial"/>
          <w:color w:val="21286C"/>
          <w:sz w:val="21"/>
          <w:szCs w:val="20"/>
          <w:lang w:val="el-GR" w:bidi="el-GR"/>
        </w:rPr>
        <w:t xml:space="preserve"> όπως ο επαναπατρισμός επιχειρήσεων</w:t>
      </w:r>
      <w:r w:rsidR="00816A8D" w:rsidRPr="002F067B">
        <w:rPr>
          <w:rFonts w:ascii="Calibri Light" w:eastAsiaTheme="minorEastAsia" w:hAnsi="Calibri Light" w:cs="Arial"/>
          <w:color w:val="21286C"/>
          <w:sz w:val="21"/>
          <w:szCs w:val="20"/>
          <w:lang w:val="el-GR" w:bidi="el-GR"/>
        </w:rPr>
        <w:t>,</w:t>
      </w:r>
      <w:r w:rsidRPr="00C3630C">
        <w:rPr>
          <w:rFonts w:ascii="Calibri Light" w:eastAsiaTheme="minorEastAsia" w:hAnsi="Calibri Light" w:cs="Arial"/>
          <w:color w:val="21286C"/>
          <w:sz w:val="21"/>
          <w:szCs w:val="20"/>
          <w:lang w:val="el-GR" w:bidi="el-GR"/>
        </w:rPr>
        <w:t xml:space="preserve"> ενίσχυσαν τη </w:t>
      </w:r>
      <w:r w:rsidR="0033544D">
        <w:rPr>
          <w:rFonts w:ascii="Calibri Light" w:eastAsiaTheme="minorEastAsia" w:hAnsi="Calibri Light" w:cs="Arial"/>
          <w:color w:val="21286C"/>
          <w:sz w:val="21"/>
          <w:szCs w:val="20"/>
          <w:lang w:val="el-GR" w:bidi="el-GR"/>
        </w:rPr>
        <w:t>ζήτηση</w:t>
      </w:r>
      <w:r w:rsidRPr="00C3630C">
        <w:rPr>
          <w:rFonts w:ascii="Calibri Light" w:eastAsiaTheme="minorEastAsia" w:hAnsi="Calibri Light" w:cs="Arial"/>
          <w:color w:val="21286C"/>
          <w:sz w:val="21"/>
          <w:szCs w:val="20"/>
          <w:lang w:val="el-GR" w:bidi="el-GR"/>
        </w:rPr>
        <w:t xml:space="preserve"> των </w:t>
      </w:r>
      <w:r w:rsidR="003C4567" w:rsidRPr="00C3630C">
        <w:rPr>
          <w:rFonts w:ascii="Calibri Light" w:eastAsiaTheme="minorEastAsia" w:hAnsi="Calibri Light" w:cs="Arial"/>
          <w:color w:val="21286C"/>
          <w:sz w:val="21"/>
          <w:szCs w:val="20"/>
          <w:lang w:val="el-GR" w:bidi="el-GR"/>
        </w:rPr>
        <w:t xml:space="preserve">ευρύτερων </w:t>
      </w:r>
      <w:r w:rsidRPr="00C3630C">
        <w:rPr>
          <w:rFonts w:ascii="Calibri Light" w:eastAsiaTheme="minorEastAsia" w:hAnsi="Calibri Light" w:cs="Arial"/>
          <w:color w:val="21286C"/>
          <w:sz w:val="21"/>
          <w:szCs w:val="20"/>
          <w:lang w:val="el-GR" w:bidi="el-GR"/>
        </w:rPr>
        <w:t>κατηγοριών του κλάδου</w:t>
      </w:r>
      <w:r w:rsidR="003C4567"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 xml:space="preserve">Αξιοποιώντας τις εξελισσόμενες συνθήκες στις αγορές, η </w:t>
      </w:r>
      <w:r w:rsidRPr="00C3630C">
        <w:rPr>
          <w:rFonts w:ascii="Calibri Light" w:eastAsiaTheme="minorEastAsia" w:hAnsi="Calibri Light" w:cs="Arial"/>
          <w:color w:val="21286C"/>
          <w:sz w:val="21"/>
          <w:szCs w:val="20"/>
          <w:lang w:bidi="el-GR"/>
        </w:rPr>
        <w:t>Titan</w:t>
      </w:r>
      <w:r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bidi="el-GR"/>
        </w:rPr>
        <w:t>America</w:t>
      </w:r>
      <w:r w:rsidRPr="00C3630C">
        <w:rPr>
          <w:rFonts w:ascii="Calibri Light" w:eastAsiaTheme="minorEastAsia" w:hAnsi="Calibri Light" w:cs="Arial"/>
          <w:color w:val="21286C"/>
          <w:sz w:val="21"/>
          <w:szCs w:val="20"/>
          <w:lang w:val="el-GR" w:bidi="el-GR"/>
        </w:rPr>
        <w:t xml:space="preserve"> έλαβε τον Σεπτέμβριο πιστοποίηση για περισσότερους από 40 νέους τύπους προϊόντων</w:t>
      </w:r>
      <w:r w:rsidR="000B0E89" w:rsidRPr="002F067B">
        <w:rPr>
          <w:rFonts w:ascii="Calibri Light" w:eastAsiaTheme="minorEastAsia" w:hAnsi="Calibri Light" w:cs="Arial"/>
          <w:color w:val="21286C"/>
          <w:sz w:val="21"/>
          <w:szCs w:val="20"/>
          <w:lang w:val="el-GR" w:bidi="el-GR"/>
        </w:rPr>
        <w:t xml:space="preserve"> </w:t>
      </w:r>
      <w:r w:rsidR="009D1AE9">
        <w:rPr>
          <w:rFonts w:ascii="Calibri Light" w:eastAsiaTheme="minorEastAsia" w:hAnsi="Calibri Light" w:cs="Arial"/>
          <w:color w:val="21286C"/>
          <w:sz w:val="21"/>
          <w:szCs w:val="20"/>
          <w:lang w:val="el-GR" w:bidi="el-GR"/>
        </w:rPr>
        <w:t>προκατασκευασμένου σκυροδέματος</w:t>
      </w:r>
      <w:r w:rsidR="009D1AE9"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 xml:space="preserve">στη Φλόριντα. Πρόκειται για ένα σημαντικό βήμα που επιτρέπει στην εταιρία να επεκτείνει τις λύσεις προκατασκευασμένων προϊόντων πέρα από τους τσιμεντόλιθους </w:t>
      </w:r>
      <w:r w:rsidRPr="00E73520">
        <w:rPr>
          <w:rFonts w:ascii="Calibri Light" w:eastAsiaTheme="minorEastAsia" w:hAnsi="Calibri Light" w:cs="Arial"/>
          <w:color w:val="21286C"/>
          <w:sz w:val="21"/>
          <w:szCs w:val="20"/>
          <w:lang w:val="el-GR" w:bidi="el-GR"/>
        </w:rPr>
        <w:t xml:space="preserve">και να εισέλθει στον κλάδο </w:t>
      </w:r>
      <w:r w:rsidR="00E73520">
        <w:rPr>
          <w:rFonts w:ascii="Calibri Light" w:eastAsiaTheme="minorEastAsia" w:hAnsi="Calibri Light" w:cs="Arial"/>
          <w:color w:val="21286C"/>
          <w:sz w:val="21"/>
          <w:szCs w:val="20"/>
          <w:lang w:val="el-GR" w:bidi="el-GR"/>
        </w:rPr>
        <w:t xml:space="preserve">νέων </w:t>
      </w:r>
      <w:r w:rsidRPr="00E73520">
        <w:rPr>
          <w:rFonts w:ascii="Calibri Light" w:eastAsiaTheme="minorEastAsia" w:hAnsi="Calibri Light" w:cs="Arial"/>
          <w:color w:val="21286C"/>
          <w:sz w:val="21"/>
          <w:szCs w:val="20"/>
          <w:lang w:val="el-GR" w:bidi="el-GR"/>
        </w:rPr>
        <w:t xml:space="preserve">προκατασκευασμένων </w:t>
      </w:r>
      <w:r w:rsidR="00E73520">
        <w:rPr>
          <w:rFonts w:ascii="Calibri Light" w:eastAsiaTheme="minorEastAsia" w:hAnsi="Calibri Light" w:cs="Arial"/>
          <w:color w:val="21286C"/>
          <w:sz w:val="21"/>
          <w:szCs w:val="20"/>
          <w:lang w:val="el-GR" w:bidi="el-GR"/>
        </w:rPr>
        <w:t>προϊόντων.</w:t>
      </w:r>
      <w:r w:rsidRPr="00C3630C">
        <w:rPr>
          <w:rFonts w:ascii="Calibri Light" w:eastAsiaTheme="minorEastAsia" w:hAnsi="Calibri Light" w:cs="Arial"/>
          <w:color w:val="21286C"/>
          <w:sz w:val="21"/>
          <w:szCs w:val="20"/>
          <w:lang w:val="el-GR" w:bidi="el-GR"/>
        </w:rPr>
        <w:t xml:space="preserve"> Οι πωλήσεις εννεαμήνου της </w:t>
      </w:r>
      <w:r w:rsidRPr="00C3630C">
        <w:rPr>
          <w:rFonts w:ascii="Calibri Light" w:eastAsiaTheme="minorEastAsia" w:hAnsi="Calibri Light" w:cs="Arial"/>
          <w:color w:val="21286C"/>
          <w:sz w:val="21"/>
          <w:szCs w:val="20"/>
          <w:lang w:bidi="el-GR"/>
        </w:rPr>
        <w:t>Titan</w:t>
      </w:r>
      <w:r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bidi="el-GR"/>
        </w:rPr>
        <w:t>America</w:t>
      </w:r>
      <w:r w:rsidRPr="00C3630C">
        <w:rPr>
          <w:rFonts w:ascii="Calibri Light" w:eastAsiaTheme="minorEastAsia" w:hAnsi="Calibri Light" w:cs="Arial"/>
          <w:color w:val="21286C"/>
          <w:sz w:val="21"/>
          <w:szCs w:val="20"/>
          <w:lang w:val="el-GR" w:bidi="el-GR"/>
        </w:rPr>
        <w:t xml:space="preserve"> αυξήθηκαν κατά </w:t>
      </w:r>
      <w:r w:rsidR="00BE1B40" w:rsidRPr="00C3630C">
        <w:rPr>
          <w:rFonts w:ascii="Calibri Light" w:eastAsiaTheme="minorEastAsia" w:hAnsi="Calibri Light" w:cs="Arial"/>
          <w:color w:val="21286C"/>
          <w:sz w:val="21"/>
          <w:szCs w:val="20"/>
          <w:lang w:val="el-GR" w:bidi="el-GR"/>
        </w:rPr>
        <w:t>1,1</w:t>
      </w:r>
      <w:r w:rsidRPr="00C3630C">
        <w:rPr>
          <w:rFonts w:ascii="Calibri Light" w:eastAsiaTheme="minorEastAsia" w:hAnsi="Calibri Light" w:cs="Arial"/>
          <w:color w:val="21286C"/>
          <w:sz w:val="21"/>
          <w:szCs w:val="20"/>
          <w:lang w:val="el-GR" w:bidi="el-GR"/>
        </w:rPr>
        <w:t xml:space="preserve">% σε </w:t>
      </w:r>
      <w:r w:rsidR="00BE1B40" w:rsidRPr="00C3630C">
        <w:rPr>
          <w:rFonts w:ascii="Calibri Light" w:eastAsiaTheme="minorEastAsia" w:hAnsi="Calibri Light" w:cs="Arial"/>
          <w:color w:val="21286C"/>
          <w:sz w:val="21"/>
          <w:szCs w:val="20"/>
          <w:lang w:val="el-GR" w:bidi="el-GR"/>
        </w:rPr>
        <w:t>1.264</w:t>
      </w:r>
      <w:r w:rsidRPr="00C3630C">
        <w:rPr>
          <w:rFonts w:ascii="Calibri Light" w:eastAsiaTheme="minorEastAsia" w:hAnsi="Calibri Light" w:cs="Arial"/>
          <w:color w:val="21286C"/>
          <w:sz w:val="21"/>
          <w:szCs w:val="20"/>
          <w:lang w:val="el-GR" w:bidi="el-GR"/>
        </w:rPr>
        <w:t xml:space="preserve"> εκ. </w:t>
      </w:r>
      <w:r w:rsidRPr="00C3630C">
        <w:rPr>
          <w:rFonts w:ascii="Calibri Light" w:eastAsiaTheme="minorEastAsia" w:hAnsi="Calibri Light" w:cs="Arial"/>
          <w:color w:val="21286C"/>
          <w:sz w:val="21"/>
          <w:szCs w:val="20"/>
          <w:lang w:val="el-GR" w:bidi="el-GR"/>
        </w:rPr>
        <w:lastRenderedPageBreak/>
        <w:t xml:space="preserve">δολάρια </w:t>
      </w:r>
      <w:r w:rsidR="00186A6D" w:rsidRPr="00C3630C">
        <w:rPr>
          <w:rFonts w:ascii="Calibri Light" w:eastAsiaTheme="minorEastAsia" w:hAnsi="Calibri Light" w:cs="Arial"/>
          <w:color w:val="21286C"/>
          <w:sz w:val="21"/>
          <w:szCs w:val="20"/>
          <w:lang w:val="el-GR" w:bidi="el-GR"/>
        </w:rPr>
        <w:t>ενώ</w:t>
      </w:r>
      <w:r w:rsidRPr="00C3630C">
        <w:rPr>
          <w:rFonts w:ascii="Calibri Light" w:eastAsiaTheme="minorEastAsia" w:hAnsi="Calibri Light" w:cs="Arial"/>
          <w:color w:val="21286C"/>
          <w:sz w:val="21"/>
          <w:szCs w:val="20"/>
          <w:lang w:val="el-GR" w:bidi="el-GR"/>
        </w:rPr>
        <w:t xml:space="preserve"> τα κέρδη </w:t>
      </w:r>
      <w:r w:rsidRPr="00C3630C">
        <w:rPr>
          <w:rFonts w:ascii="Calibri Light" w:eastAsiaTheme="minorEastAsia" w:hAnsi="Calibri Light" w:cs="Arial"/>
          <w:color w:val="21286C"/>
          <w:sz w:val="21"/>
          <w:szCs w:val="20"/>
          <w:lang w:bidi="el-GR"/>
        </w:rPr>
        <w:t>EBITDA</w:t>
      </w:r>
      <w:r w:rsidRPr="00C3630C">
        <w:rPr>
          <w:rFonts w:ascii="Calibri Light" w:eastAsiaTheme="minorEastAsia" w:hAnsi="Calibri Light" w:cs="Arial"/>
          <w:color w:val="21286C"/>
          <w:sz w:val="21"/>
          <w:szCs w:val="20"/>
          <w:lang w:val="el-GR" w:bidi="el-GR"/>
        </w:rPr>
        <w:t xml:space="preserve"> κατέγραψαν άνοδο </w:t>
      </w:r>
      <w:r w:rsidR="00BE1B40" w:rsidRPr="00C3630C">
        <w:rPr>
          <w:rFonts w:ascii="Calibri Light" w:eastAsiaTheme="minorEastAsia" w:hAnsi="Calibri Light" w:cs="Arial"/>
          <w:color w:val="21286C"/>
          <w:sz w:val="21"/>
          <w:szCs w:val="20"/>
          <w:lang w:val="el-GR" w:bidi="el-GR"/>
        </w:rPr>
        <w:t>7,6</w:t>
      </w:r>
      <w:r w:rsidRPr="00C3630C">
        <w:rPr>
          <w:rFonts w:ascii="Calibri Light" w:eastAsiaTheme="minorEastAsia" w:hAnsi="Calibri Light" w:cs="Arial"/>
          <w:color w:val="21286C"/>
          <w:sz w:val="21"/>
          <w:szCs w:val="20"/>
          <w:lang w:val="el-GR" w:bidi="el-GR"/>
        </w:rPr>
        <w:t xml:space="preserve">% και </w:t>
      </w:r>
      <w:r w:rsidR="00186A6D" w:rsidRPr="00C3630C">
        <w:rPr>
          <w:rFonts w:ascii="Calibri Light" w:eastAsiaTheme="minorEastAsia" w:hAnsi="Calibri Light" w:cs="Arial"/>
          <w:color w:val="21286C"/>
          <w:sz w:val="21"/>
          <w:szCs w:val="20"/>
          <w:lang w:val="el-GR" w:bidi="el-GR"/>
        </w:rPr>
        <w:t xml:space="preserve">ανήλθαν </w:t>
      </w:r>
      <w:r w:rsidRPr="00C3630C">
        <w:rPr>
          <w:rFonts w:ascii="Calibri Light" w:eastAsiaTheme="minorEastAsia" w:hAnsi="Calibri Light" w:cs="Arial"/>
          <w:color w:val="21286C"/>
          <w:sz w:val="21"/>
          <w:szCs w:val="20"/>
          <w:lang w:val="el-GR" w:bidi="el-GR"/>
        </w:rPr>
        <w:t xml:space="preserve">σε </w:t>
      </w:r>
      <w:r w:rsidR="003C33D2" w:rsidRPr="00C3630C">
        <w:rPr>
          <w:rFonts w:ascii="Calibri Light" w:eastAsiaTheme="minorEastAsia" w:hAnsi="Calibri Light" w:cs="Arial"/>
          <w:color w:val="21286C"/>
          <w:sz w:val="21"/>
          <w:szCs w:val="20"/>
          <w:lang w:val="el-GR" w:bidi="el-GR"/>
        </w:rPr>
        <w:t>290,1</w:t>
      </w:r>
      <w:r w:rsidRPr="00C3630C">
        <w:rPr>
          <w:rFonts w:ascii="Calibri Light" w:eastAsiaTheme="minorEastAsia" w:hAnsi="Calibri Light" w:cs="Arial"/>
          <w:color w:val="21286C"/>
          <w:sz w:val="21"/>
          <w:szCs w:val="20"/>
          <w:lang w:val="el-GR" w:bidi="el-GR"/>
        </w:rPr>
        <w:t xml:space="preserve"> εκ. δολάρια. Σε ευρώ, οι πωλήσεις στις ΗΠΑ έφτασαν τα €</w:t>
      </w:r>
      <w:r w:rsidR="003C33D2" w:rsidRPr="00C3630C">
        <w:rPr>
          <w:rFonts w:ascii="Calibri Light" w:eastAsiaTheme="minorEastAsia" w:hAnsi="Calibri Light" w:cs="Arial"/>
          <w:color w:val="21286C"/>
          <w:sz w:val="21"/>
          <w:szCs w:val="20"/>
          <w:lang w:val="el-GR" w:bidi="el-GR"/>
        </w:rPr>
        <w:t>1.129</w:t>
      </w:r>
      <w:r w:rsidRPr="00C3630C">
        <w:rPr>
          <w:rFonts w:ascii="Calibri Light" w:eastAsiaTheme="minorEastAsia" w:hAnsi="Calibri Light" w:cs="Arial"/>
          <w:color w:val="21286C"/>
          <w:sz w:val="21"/>
          <w:szCs w:val="20"/>
          <w:lang w:val="el-GR" w:bidi="el-GR"/>
        </w:rPr>
        <w:t xml:space="preserve"> εκ. και τα κέρδη </w:t>
      </w:r>
      <w:r w:rsidRPr="00C3630C">
        <w:rPr>
          <w:rFonts w:ascii="Calibri Light" w:eastAsiaTheme="minorEastAsia" w:hAnsi="Calibri Light" w:cs="Arial"/>
          <w:color w:val="21286C"/>
          <w:sz w:val="21"/>
          <w:szCs w:val="20"/>
          <w:lang w:bidi="el-GR"/>
        </w:rPr>
        <w:t>EBITDA</w:t>
      </w:r>
      <w:r w:rsidRPr="00C3630C">
        <w:rPr>
          <w:rFonts w:ascii="Calibri Light" w:eastAsiaTheme="minorEastAsia" w:hAnsi="Calibri Light" w:cs="Arial"/>
          <w:color w:val="21286C"/>
          <w:sz w:val="21"/>
          <w:szCs w:val="20"/>
          <w:lang w:val="el-GR" w:bidi="el-GR"/>
        </w:rPr>
        <w:t xml:space="preserve"> αυξήθηκαν κατά </w:t>
      </w:r>
      <w:r w:rsidR="003C33D2" w:rsidRPr="00C3630C">
        <w:rPr>
          <w:rFonts w:ascii="Calibri Light" w:eastAsiaTheme="minorEastAsia" w:hAnsi="Calibri Light" w:cs="Arial"/>
          <w:color w:val="21286C"/>
          <w:sz w:val="21"/>
          <w:szCs w:val="20"/>
          <w:lang w:val="el-GR" w:bidi="el-GR"/>
        </w:rPr>
        <w:t>3,6</w:t>
      </w:r>
      <w:r w:rsidRPr="00C3630C">
        <w:rPr>
          <w:rFonts w:ascii="Calibri Light" w:eastAsiaTheme="minorEastAsia" w:hAnsi="Calibri Light" w:cs="Arial"/>
          <w:color w:val="21286C"/>
          <w:sz w:val="21"/>
          <w:szCs w:val="20"/>
          <w:lang w:val="el-GR" w:bidi="el-GR"/>
        </w:rPr>
        <w:t xml:space="preserve">% </w:t>
      </w:r>
      <w:r w:rsidR="00671E6D" w:rsidRPr="00C3630C">
        <w:rPr>
          <w:rFonts w:ascii="Calibri Light" w:eastAsiaTheme="minorEastAsia" w:hAnsi="Calibri Light" w:cs="Arial"/>
          <w:color w:val="21286C"/>
          <w:sz w:val="21"/>
          <w:szCs w:val="20"/>
          <w:lang w:val="el-GR" w:bidi="el-GR"/>
        </w:rPr>
        <w:t>φτάνοντας τα</w:t>
      </w:r>
      <w:r w:rsidRPr="00C3630C">
        <w:rPr>
          <w:rFonts w:ascii="Calibri Light" w:eastAsiaTheme="minorEastAsia" w:hAnsi="Calibri Light" w:cs="Arial"/>
          <w:color w:val="21286C"/>
          <w:sz w:val="21"/>
          <w:szCs w:val="20"/>
          <w:lang w:val="el-GR" w:bidi="el-GR"/>
        </w:rPr>
        <w:t xml:space="preserve"> €</w:t>
      </w:r>
      <w:r w:rsidR="003C33D2" w:rsidRPr="00C3630C">
        <w:rPr>
          <w:rFonts w:ascii="Calibri Light" w:eastAsiaTheme="minorEastAsia" w:hAnsi="Calibri Light" w:cs="Arial"/>
          <w:color w:val="21286C"/>
          <w:sz w:val="21"/>
          <w:szCs w:val="20"/>
          <w:lang w:val="el-GR" w:bidi="el-GR"/>
        </w:rPr>
        <w:t>257,5</w:t>
      </w:r>
      <w:r w:rsidRPr="00C3630C">
        <w:rPr>
          <w:rFonts w:ascii="Calibri Light" w:eastAsiaTheme="minorEastAsia" w:hAnsi="Calibri Light" w:cs="Arial"/>
          <w:color w:val="21286C"/>
          <w:sz w:val="21"/>
          <w:szCs w:val="20"/>
          <w:lang w:val="el-GR" w:bidi="el-GR"/>
        </w:rPr>
        <w:t xml:space="preserve"> εκ.</w:t>
      </w:r>
    </w:p>
    <w:p w14:paraId="67314737" w14:textId="77777777" w:rsidR="006D57D8" w:rsidRPr="00D75B8D" w:rsidRDefault="006D57D8" w:rsidP="00F06BBE">
      <w:pPr>
        <w:jc w:val="both"/>
        <w:rPr>
          <w:rFonts w:ascii="Calibri" w:eastAsia="Calibri" w:hAnsi="Calibri" w:cs="Calibri"/>
          <w:b/>
          <w:color w:val="01B1D7"/>
          <w:sz w:val="28"/>
          <w:szCs w:val="28"/>
          <w:lang w:val="el-GR"/>
        </w:rPr>
      </w:pPr>
    </w:p>
    <w:p w14:paraId="07DEF3FF" w14:textId="545F4D9C" w:rsidR="00FF6CFB" w:rsidRPr="00C3630C" w:rsidRDefault="0018756F" w:rsidP="00F06BBE">
      <w:pPr>
        <w:jc w:val="both"/>
        <w:rPr>
          <w:rFonts w:ascii="Calibri" w:eastAsia="Calibri" w:hAnsi="Calibri" w:cs="Calibri"/>
          <w:b/>
          <w:color w:val="01B1D7"/>
          <w:sz w:val="28"/>
          <w:szCs w:val="28"/>
          <w:lang w:val="el-GR"/>
        </w:rPr>
      </w:pPr>
      <w:r w:rsidRPr="00C3630C">
        <w:rPr>
          <w:rFonts w:ascii="Calibri" w:eastAsia="Calibri" w:hAnsi="Calibri" w:cs="Calibri"/>
          <w:b/>
          <w:color w:val="01B1D7"/>
          <w:sz w:val="28"/>
          <w:szCs w:val="28"/>
          <w:lang w:val="el-GR"/>
        </w:rPr>
        <w:t>Ελλάδα &amp; Δυτική Ευρώπη</w:t>
      </w:r>
    </w:p>
    <w:p w14:paraId="16809E09" w14:textId="69E09D3A" w:rsidR="00DF4ADE" w:rsidRPr="00D75B8D" w:rsidRDefault="00DF4ADE" w:rsidP="00DF4ADE">
      <w:pPr>
        <w:jc w:val="both"/>
        <w:rPr>
          <w:rFonts w:ascii="Calibri Light" w:eastAsiaTheme="minorEastAsia" w:hAnsi="Calibri Light" w:cs="Arial"/>
          <w:color w:val="21286C"/>
          <w:sz w:val="21"/>
          <w:szCs w:val="20"/>
          <w:lang w:val="el-GR" w:bidi="el-GR"/>
        </w:rPr>
      </w:pPr>
      <w:r w:rsidRPr="00C3630C">
        <w:rPr>
          <w:rFonts w:ascii="Calibri Light" w:eastAsiaTheme="minorEastAsia" w:hAnsi="Calibri Light" w:cs="Arial"/>
          <w:color w:val="21286C"/>
          <w:sz w:val="21"/>
          <w:szCs w:val="20"/>
          <w:lang w:val="el-GR" w:bidi="el-GR"/>
        </w:rPr>
        <w:t xml:space="preserve">Η εγχώρια αγορά της Ελλάδας </w:t>
      </w:r>
      <w:r w:rsidR="00AC6171" w:rsidRPr="00C3630C">
        <w:rPr>
          <w:rFonts w:ascii="Calibri Light" w:eastAsiaTheme="minorEastAsia" w:hAnsi="Calibri Light" w:cs="Arial"/>
          <w:color w:val="21286C"/>
          <w:sz w:val="21"/>
          <w:szCs w:val="20"/>
          <w:lang w:val="el-GR" w:bidi="el-GR"/>
        </w:rPr>
        <w:t xml:space="preserve">συνέχισε να καταγράφει </w:t>
      </w:r>
      <w:r w:rsidR="009908B0" w:rsidRPr="00C3630C">
        <w:rPr>
          <w:rFonts w:ascii="Calibri Light" w:eastAsiaTheme="minorEastAsia" w:hAnsi="Calibri Light" w:cs="Arial"/>
          <w:color w:val="21286C"/>
          <w:sz w:val="21"/>
          <w:szCs w:val="20"/>
          <w:lang w:val="el-GR" w:bidi="el-GR"/>
        </w:rPr>
        <w:t>υψηλές</w:t>
      </w:r>
      <w:r w:rsidRPr="00C3630C">
        <w:rPr>
          <w:rFonts w:ascii="Calibri Light" w:eastAsiaTheme="minorEastAsia" w:hAnsi="Calibri Light" w:cs="Arial"/>
          <w:color w:val="21286C"/>
          <w:sz w:val="21"/>
          <w:szCs w:val="20"/>
          <w:lang w:val="el-GR" w:bidi="el-GR"/>
        </w:rPr>
        <w:t xml:space="preserve"> επιδόσεις, διατηρώντας τη θετική δυναμική που χαρακτήρισε</w:t>
      </w:r>
      <w:r w:rsidR="009908B0" w:rsidRPr="00C3630C">
        <w:rPr>
          <w:rFonts w:ascii="Calibri Light" w:eastAsiaTheme="minorEastAsia" w:hAnsi="Calibri Light" w:cs="Arial"/>
          <w:color w:val="21286C"/>
          <w:sz w:val="21"/>
          <w:szCs w:val="20"/>
          <w:lang w:val="el-GR" w:bidi="el-GR"/>
        </w:rPr>
        <w:t xml:space="preserve"> το </w:t>
      </w:r>
      <w:r w:rsidR="00E3419D">
        <w:rPr>
          <w:rFonts w:ascii="Calibri Light" w:eastAsiaTheme="minorEastAsia" w:hAnsi="Calibri Light" w:cs="Arial"/>
          <w:color w:val="21286C"/>
          <w:sz w:val="21"/>
          <w:szCs w:val="20"/>
          <w:lang w:val="el-GR" w:bidi="el-GR"/>
        </w:rPr>
        <w:t xml:space="preserve">πρώτο μισό </w:t>
      </w:r>
      <w:r w:rsidR="009908B0" w:rsidRPr="00C3630C">
        <w:rPr>
          <w:rFonts w:ascii="Calibri Light" w:eastAsiaTheme="minorEastAsia" w:hAnsi="Calibri Light" w:cs="Arial"/>
          <w:color w:val="21286C"/>
          <w:sz w:val="21"/>
          <w:szCs w:val="20"/>
          <w:lang w:val="el-GR" w:bidi="el-GR"/>
        </w:rPr>
        <w:t xml:space="preserve">του έτους. </w:t>
      </w:r>
      <w:r w:rsidRPr="00C3630C">
        <w:rPr>
          <w:rFonts w:ascii="Calibri Light" w:eastAsiaTheme="minorEastAsia" w:hAnsi="Calibri Light" w:cs="Arial"/>
          <w:color w:val="21286C"/>
          <w:sz w:val="21"/>
          <w:szCs w:val="20"/>
          <w:lang w:val="el-GR" w:bidi="el-GR"/>
        </w:rPr>
        <w:t>Η κατανάλωση τσιμέντου αυξήθηκε κατά περίπου 10%</w:t>
      </w:r>
      <w:r w:rsidR="00FA1764" w:rsidRPr="00C3630C">
        <w:rPr>
          <w:rFonts w:ascii="Calibri Light" w:eastAsiaTheme="minorEastAsia" w:hAnsi="Calibri Light" w:cs="Arial"/>
          <w:color w:val="21286C"/>
          <w:sz w:val="21"/>
          <w:szCs w:val="20"/>
          <w:lang w:val="el-GR" w:bidi="el-GR"/>
        </w:rPr>
        <w:t xml:space="preserve">, με τις </w:t>
      </w:r>
      <w:r w:rsidRPr="00C3630C">
        <w:rPr>
          <w:rFonts w:ascii="Calibri Light" w:eastAsiaTheme="minorEastAsia" w:hAnsi="Calibri Light" w:cs="Arial"/>
          <w:color w:val="21286C"/>
          <w:sz w:val="21"/>
          <w:szCs w:val="20"/>
          <w:lang w:val="el-GR" w:bidi="el-GR"/>
        </w:rPr>
        <w:t xml:space="preserve">πωλήσεις του Ομίλου </w:t>
      </w:r>
      <w:r w:rsidR="00FA1764" w:rsidRPr="00C3630C">
        <w:rPr>
          <w:rFonts w:ascii="Calibri Light" w:eastAsiaTheme="minorEastAsia" w:hAnsi="Calibri Light" w:cs="Arial"/>
          <w:color w:val="21286C"/>
          <w:sz w:val="21"/>
          <w:szCs w:val="20"/>
          <w:lang w:val="el-GR" w:bidi="el-GR"/>
        </w:rPr>
        <w:t xml:space="preserve">να υπερβαίνουν τα επίπεδα </w:t>
      </w:r>
      <w:r w:rsidRPr="00C3630C">
        <w:rPr>
          <w:rFonts w:ascii="Calibri Light" w:eastAsiaTheme="minorEastAsia" w:hAnsi="Calibri Light" w:cs="Arial"/>
          <w:color w:val="21286C"/>
          <w:sz w:val="21"/>
          <w:szCs w:val="20"/>
          <w:lang w:val="el-GR" w:bidi="el-GR"/>
        </w:rPr>
        <w:t xml:space="preserve">της αγοράς. </w:t>
      </w:r>
      <w:r w:rsidR="00CA11D0" w:rsidRPr="00C3630C">
        <w:rPr>
          <w:rFonts w:ascii="Calibri Light" w:eastAsiaTheme="minorEastAsia" w:hAnsi="Calibri Light" w:cs="Arial"/>
          <w:color w:val="21286C"/>
          <w:sz w:val="21"/>
          <w:szCs w:val="20"/>
          <w:lang w:val="el-GR" w:bidi="el-GR"/>
        </w:rPr>
        <w:t xml:space="preserve">Αυξημένοι όγκοι εγχώριων πωλήσεων καταγράφηκαν σε όλες </w:t>
      </w:r>
      <w:r w:rsidRPr="00C3630C">
        <w:rPr>
          <w:rFonts w:ascii="Calibri Light" w:eastAsiaTheme="minorEastAsia" w:hAnsi="Calibri Light" w:cs="Arial"/>
          <w:color w:val="21286C"/>
          <w:sz w:val="21"/>
          <w:szCs w:val="20"/>
          <w:lang w:val="el-GR" w:bidi="el-GR"/>
        </w:rPr>
        <w:t>τις κατηγορίες προϊόντων</w:t>
      </w:r>
      <w:r w:rsidR="00B41879" w:rsidRPr="00C3630C">
        <w:rPr>
          <w:rFonts w:ascii="Calibri Light" w:eastAsiaTheme="minorEastAsia" w:hAnsi="Calibri Light" w:cs="Arial"/>
          <w:color w:val="21286C"/>
          <w:sz w:val="21"/>
          <w:szCs w:val="20"/>
          <w:lang w:val="el-GR" w:bidi="el-GR"/>
        </w:rPr>
        <w:t>, μ</w:t>
      </w:r>
      <w:r w:rsidRPr="00C3630C">
        <w:rPr>
          <w:rFonts w:ascii="Calibri Light" w:eastAsiaTheme="minorEastAsia" w:hAnsi="Calibri Light" w:cs="Arial"/>
          <w:color w:val="21286C"/>
          <w:sz w:val="21"/>
          <w:szCs w:val="20"/>
          <w:lang w:val="el-GR" w:bidi="el-GR"/>
        </w:rPr>
        <w:t xml:space="preserve">ε αξιοσημείωτη άνοδο στο έτοιμο σκυρόδεμα, γεγονός που αντικατοπτρίζει τον υψηλό βαθμό καθετοποίησης του Τιτάνα και τη στρατηγική επιλογή του Ομίλου να είναι </w:t>
      </w:r>
      <w:proofErr w:type="spellStart"/>
      <w:r w:rsidRPr="00C3630C">
        <w:rPr>
          <w:rFonts w:ascii="Calibri Light" w:eastAsiaTheme="minorEastAsia" w:hAnsi="Calibri Light" w:cs="Arial"/>
          <w:color w:val="21286C"/>
          <w:sz w:val="21"/>
          <w:szCs w:val="20"/>
          <w:lang w:val="el-GR" w:bidi="el-GR"/>
        </w:rPr>
        <w:t>πάροχος</w:t>
      </w:r>
      <w:proofErr w:type="spellEnd"/>
      <w:r w:rsidRPr="00C3630C">
        <w:rPr>
          <w:rFonts w:ascii="Calibri Light" w:eastAsiaTheme="minorEastAsia" w:hAnsi="Calibri Light" w:cs="Arial"/>
          <w:color w:val="21286C"/>
          <w:sz w:val="21"/>
          <w:szCs w:val="20"/>
          <w:lang w:val="el-GR" w:bidi="el-GR"/>
        </w:rPr>
        <w:t xml:space="preserve"> ολοκληρωμένων </w:t>
      </w:r>
      <w:r w:rsidR="001E4ADD" w:rsidRPr="00C3630C">
        <w:rPr>
          <w:rFonts w:ascii="Calibri Light" w:eastAsiaTheme="minorEastAsia" w:hAnsi="Calibri Light" w:cs="Arial"/>
          <w:color w:val="21286C"/>
          <w:sz w:val="21"/>
          <w:szCs w:val="20"/>
          <w:lang w:val="el-GR" w:bidi="el-GR"/>
        </w:rPr>
        <w:t>λύσεων, μέσω της</w:t>
      </w:r>
      <w:r w:rsidRPr="00C3630C">
        <w:rPr>
          <w:rFonts w:ascii="Calibri Light" w:eastAsiaTheme="minorEastAsia" w:hAnsi="Calibri Light" w:cs="Arial"/>
          <w:color w:val="21286C"/>
          <w:sz w:val="21"/>
          <w:szCs w:val="20"/>
          <w:lang w:val="el-GR" w:bidi="el-GR"/>
        </w:rPr>
        <w:t xml:space="preserve"> προσθήκη</w:t>
      </w:r>
      <w:r w:rsidR="001E4ADD" w:rsidRPr="00C3630C">
        <w:rPr>
          <w:rFonts w:ascii="Calibri Light" w:eastAsiaTheme="minorEastAsia" w:hAnsi="Calibri Light" w:cs="Arial"/>
          <w:color w:val="21286C"/>
          <w:sz w:val="21"/>
          <w:szCs w:val="20"/>
          <w:lang w:val="el-GR" w:bidi="el-GR"/>
        </w:rPr>
        <w:t>ς</w:t>
      </w:r>
      <w:r w:rsidRPr="00C3630C">
        <w:rPr>
          <w:rFonts w:ascii="Calibri Light" w:eastAsiaTheme="minorEastAsia" w:hAnsi="Calibri Light" w:cs="Arial"/>
          <w:color w:val="21286C"/>
          <w:sz w:val="21"/>
          <w:szCs w:val="20"/>
          <w:lang w:val="el-GR" w:bidi="el-GR"/>
        </w:rPr>
        <w:t xml:space="preserve"> νέων προϊόντων προστιθέμενης αξίας που ανταποκρίνονται στις εξελισσόμενες ανάγκες των πελατών μας. Οι πωλήσεις αδρανών υλικών </w:t>
      </w:r>
      <w:r w:rsidR="007E264B" w:rsidRPr="00C3630C">
        <w:rPr>
          <w:rFonts w:ascii="Calibri Light" w:eastAsiaTheme="minorEastAsia" w:hAnsi="Calibri Light" w:cs="Arial"/>
          <w:color w:val="21286C"/>
          <w:sz w:val="21"/>
          <w:szCs w:val="20"/>
          <w:lang w:val="el-GR" w:bidi="el-GR"/>
        </w:rPr>
        <w:t xml:space="preserve">κατέγραψαν σημαντική αύξηση </w:t>
      </w:r>
      <w:r w:rsidR="007E264B">
        <w:rPr>
          <w:rFonts w:ascii="Calibri Light" w:eastAsiaTheme="minorEastAsia" w:hAnsi="Calibri Light" w:cs="Arial"/>
          <w:color w:val="21286C"/>
          <w:sz w:val="21"/>
          <w:szCs w:val="20"/>
          <w:lang w:val="el-GR" w:bidi="el-GR"/>
        </w:rPr>
        <w:t xml:space="preserve">όπως επίσης </w:t>
      </w:r>
      <w:r w:rsidRPr="00C3630C">
        <w:rPr>
          <w:rFonts w:ascii="Calibri Light" w:eastAsiaTheme="minorEastAsia" w:hAnsi="Calibri Light" w:cs="Arial"/>
          <w:color w:val="21286C"/>
          <w:sz w:val="21"/>
          <w:szCs w:val="20"/>
          <w:lang w:val="el-GR" w:bidi="el-GR"/>
        </w:rPr>
        <w:t xml:space="preserve">και </w:t>
      </w:r>
      <w:r w:rsidR="00F50C88">
        <w:rPr>
          <w:rFonts w:ascii="Calibri Light" w:eastAsiaTheme="minorEastAsia" w:hAnsi="Calibri Light" w:cs="Arial"/>
          <w:color w:val="21286C"/>
          <w:sz w:val="21"/>
          <w:szCs w:val="20"/>
          <w:lang w:val="el-GR" w:bidi="el-GR"/>
        </w:rPr>
        <w:t xml:space="preserve">των </w:t>
      </w:r>
      <w:r w:rsidRPr="00C3630C">
        <w:rPr>
          <w:rFonts w:ascii="Calibri Light" w:eastAsiaTheme="minorEastAsia" w:hAnsi="Calibri Light" w:cs="Arial"/>
          <w:color w:val="21286C"/>
          <w:sz w:val="21"/>
          <w:szCs w:val="20"/>
          <w:lang w:val="el-GR" w:bidi="el-GR"/>
        </w:rPr>
        <w:t xml:space="preserve">κονιαμάτων, χάρη και στην </w:t>
      </w:r>
      <w:r w:rsidRPr="00C3630C" w:rsidDel="001C6B69">
        <w:rPr>
          <w:rFonts w:ascii="Calibri Light" w:eastAsiaTheme="minorEastAsia" w:hAnsi="Calibri Light" w:cs="Arial"/>
          <w:color w:val="21286C"/>
          <w:sz w:val="21"/>
          <w:szCs w:val="20"/>
          <w:lang w:val="el-GR" w:bidi="el-GR"/>
        </w:rPr>
        <w:t xml:space="preserve">εισαγωγή </w:t>
      </w:r>
      <w:r w:rsidRPr="00C3630C">
        <w:rPr>
          <w:rFonts w:ascii="Calibri Light" w:eastAsiaTheme="minorEastAsia" w:hAnsi="Calibri Light" w:cs="Arial"/>
          <w:color w:val="21286C"/>
          <w:sz w:val="21"/>
          <w:szCs w:val="20"/>
          <w:lang w:val="el-GR" w:bidi="el-GR"/>
        </w:rPr>
        <w:t xml:space="preserve">νέων προϊόντων. Οι τιμές διατηρήθηκαν σε </w:t>
      </w:r>
      <w:r w:rsidR="002A144E" w:rsidRPr="00C3630C">
        <w:rPr>
          <w:rFonts w:ascii="Calibri Light" w:eastAsiaTheme="minorEastAsia" w:hAnsi="Calibri Light" w:cs="Arial"/>
          <w:color w:val="21286C"/>
          <w:sz w:val="21"/>
          <w:szCs w:val="20"/>
          <w:lang w:val="el-GR" w:bidi="el-GR"/>
        </w:rPr>
        <w:t>σταθερά</w:t>
      </w:r>
      <w:r w:rsidRPr="00C3630C">
        <w:rPr>
          <w:rFonts w:ascii="Calibri Light" w:eastAsiaTheme="minorEastAsia" w:hAnsi="Calibri Light" w:cs="Arial"/>
          <w:color w:val="21286C"/>
          <w:sz w:val="21"/>
          <w:szCs w:val="20"/>
          <w:lang w:val="el-GR" w:bidi="el-GR"/>
        </w:rPr>
        <w:t xml:space="preserve"> επίπεδα </w:t>
      </w:r>
      <w:r w:rsidR="002A144E" w:rsidRPr="00C3630C">
        <w:rPr>
          <w:rFonts w:ascii="Calibri Light" w:eastAsiaTheme="minorEastAsia" w:hAnsi="Calibri Light" w:cs="Arial"/>
          <w:color w:val="21286C"/>
          <w:sz w:val="21"/>
          <w:szCs w:val="20"/>
          <w:lang w:val="el-GR" w:bidi="el-GR"/>
        </w:rPr>
        <w:t xml:space="preserve">σε </w:t>
      </w:r>
      <w:r w:rsidRPr="00C3630C">
        <w:rPr>
          <w:rFonts w:ascii="Calibri Light" w:eastAsiaTheme="minorEastAsia" w:hAnsi="Calibri Light" w:cs="Arial"/>
          <w:color w:val="21286C"/>
          <w:sz w:val="21"/>
          <w:szCs w:val="20"/>
          <w:lang w:val="el-GR" w:bidi="el-GR"/>
        </w:rPr>
        <w:t xml:space="preserve">όλες τις κατηγορίες προϊόντων, αντισταθμίζοντας τα αυξημένα κόστη </w:t>
      </w:r>
      <w:r w:rsidR="00F50C88">
        <w:rPr>
          <w:rFonts w:ascii="Calibri Light" w:eastAsiaTheme="minorEastAsia" w:hAnsi="Calibri Light" w:cs="Arial"/>
          <w:color w:val="21286C"/>
          <w:sz w:val="21"/>
          <w:szCs w:val="20"/>
          <w:lang w:val="el-GR" w:bidi="el-GR"/>
        </w:rPr>
        <w:t xml:space="preserve">παραγωγής </w:t>
      </w:r>
      <w:r w:rsidR="00CD72DB">
        <w:rPr>
          <w:rFonts w:ascii="Calibri Light" w:eastAsiaTheme="minorEastAsia" w:hAnsi="Calibri Light" w:cs="Arial"/>
          <w:color w:val="21286C"/>
          <w:sz w:val="21"/>
          <w:szCs w:val="20"/>
          <w:lang w:val="el-GR" w:bidi="el-GR"/>
        </w:rPr>
        <w:t>και</w:t>
      </w:r>
      <w:r w:rsidR="00EB0B8C"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 xml:space="preserve">ηλεκτρικής ενέργειας. Τα αποτελέσματα του γεωγραφικού τομέα </w:t>
      </w:r>
      <w:r w:rsidR="00EB11BB">
        <w:rPr>
          <w:rFonts w:ascii="Calibri Light" w:eastAsiaTheme="minorEastAsia" w:hAnsi="Calibri Light" w:cs="Arial"/>
          <w:color w:val="21286C"/>
          <w:sz w:val="21"/>
          <w:szCs w:val="20"/>
          <w:lang w:val="el-GR" w:bidi="el-GR"/>
        </w:rPr>
        <w:t>επηρεάστηκαν αρνητικά</w:t>
      </w:r>
      <w:r w:rsidR="00EB11BB" w:rsidRPr="00C3630C">
        <w:rPr>
          <w:rFonts w:ascii="Calibri Light" w:eastAsiaTheme="minorEastAsia" w:hAnsi="Calibri Light" w:cs="Arial"/>
          <w:color w:val="21286C"/>
          <w:sz w:val="21"/>
          <w:szCs w:val="20"/>
          <w:lang w:val="el-GR" w:bidi="el-GR"/>
        </w:rPr>
        <w:t xml:space="preserve"> </w:t>
      </w:r>
      <w:r w:rsidR="00EB0B8C" w:rsidRPr="00C3630C">
        <w:rPr>
          <w:rFonts w:ascii="Calibri Light" w:eastAsiaTheme="minorEastAsia" w:hAnsi="Calibri Light" w:cs="Arial"/>
          <w:color w:val="21286C"/>
          <w:sz w:val="21"/>
          <w:szCs w:val="20"/>
          <w:lang w:val="el-GR" w:bidi="el-GR"/>
        </w:rPr>
        <w:t xml:space="preserve">από τις μειωμένες </w:t>
      </w:r>
      <w:r w:rsidR="00B2625A" w:rsidRPr="00C3630C">
        <w:rPr>
          <w:rFonts w:ascii="Calibri Light" w:eastAsiaTheme="minorEastAsia" w:hAnsi="Calibri Light" w:cs="Arial"/>
          <w:color w:val="21286C"/>
          <w:sz w:val="21"/>
          <w:szCs w:val="20"/>
          <w:lang w:val="el-GR" w:bidi="el-GR"/>
        </w:rPr>
        <w:t>εξαγωγές</w:t>
      </w:r>
      <w:r w:rsidRPr="00C3630C">
        <w:rPr>
          <w:rFonts w:ascii="Calibri Light" w:eastAsiaTheme="minorEastAsia" w:hAnsi="Calibri Light" w:cs="Arial"/>
          <w:color w:val="21286C"/>
          <w:sz w:val="21"/>
          <w:szCs w:val="20"/>
          <w:lang w:val="el-GR" w:bidi="el-GR"/>
        </w:rPr>
        <w:t xml:space="preserve"> προς τις ΗΠΑ, αν και οι εξαγωγές προς τους σταθμούς εισαγωγών του </w:t>
      </w:r>
      <w:r w:rsidR="00B2625A" w:rsidRPr="00C3630C">
        <w:rPr>
          <w:rFonts w:ascii="Calibri Light" w:eastAsiaTheme="minorEastAsia" w:hAnsi="Calibri Light" w:cs="Arial"/>
          <w:color w:val="21286C"/>
          <w:sz w:val="21"/>
          <w:szCs w:val="20"/>
          <w:lang w:val="el-GR" w:bidi="el-GR"/>
        </w:rPr>
        <w:t>Ομίλου</w:t>
      </w:r>
      <w:r w:rsidRPr="00C3630C">
        <w:rPr>
          <w:rFonts w:ascii="Calibri Light" w:eastAsiaTheme="minorEastAsia" w:hAnsi="Calibri Light" w:cs="Arial"/>
          <w:color w:val="21286C"/>
          <w:sz w:val="21"/>
          <w:szCs w:val="20"/>
          <w:lang w:val="el-GR" w:bidi="el-GR"/>
        </w:rPr>
        <w:t xml:space="preserve"> στη Δυτική Ευρώπη αυξήθηκαν</w:t>
      </w:r>
      <w:r w:rsidR="00B2625A" w:rsidRPr="00C3630C">
        <w:rPr>
          <w:rFonts w:ascii="Calibri Light" w:eastAsiaTheme="minorEastAsia" w:hAnsi="Calibri Light" w:cs="Arial"/>
          <w:color w:val="21286C"/>
          <w:sz w:val="21"/>
          <w:szCs w:val="20"/>
          <w:lang w:val="el-GR" w:bidi="el-GR"/>
        </w:rPr>
        <w:t xml:space="preserve">, με τις </w:t>
      </w:r>
      <w:r w:rsidRPr="00C3630C">
        <w:rPr>
          <w:rFonts w:ascii="Calibri Light" w:eastAsiaTheme="minorEastAsia" w:hAnsi="Calibri Light" w:cs="Arial"/>
          <w:color w:val="21286C"/>
          <w:sz w:val="21"/>
          <w:szCs w:val="20"/>
          <w:lang w:val="el-GR" w:bidi="el-GR"/>
        </w:rPr>
        <w:t xml:space="preserve">τιμές </w:t>
      </w:r>
      <w:r w:rsidR="00A86A3F" w:rsidRPr="00C3630C">
        <w:rPr>
          <w:rFonts w:ascii="Calibri Light" w:eastAsiaTheme="minorEastAsia" w:hAnsi="Calibri Light" w:cs="Arial"/>
          <w:color w:val="21286C"/>
          <w:sz w:val="21"/>
          <w:szCs w:val="20"/>
          <w:lang w:val="el-GR" w:bidi="el-GR"/>
        </w:rPr>
        <w:t xml:space="preserve">να παραμένουν </w:t>
      </w:r>
      <w:r w:rsidRPr="00C3630C">
        <w:rPr>
          <w:rFonts w:ascii="Calibri Light" w:eastAsiaTheme="minorEastAsia" w:hAnsi="Calibri Light" w:cs="Arial"/>
          <w:color w:val="21286C"/>
          <w:sz w:val="21"/>
          <w:szCs w:val="20"/>
          <w:lang w:val="el-GR" w:bidi="el-GR"/>
        </w:rPr>
        <w:t xml:space="preserve">σταθερές. Η ανάπτυξη της εγχώριας αγοράς εξακολουθεί να ενισχύεται από τα πολυάριθμα </w:t>
      </w:r>
      <w:r w:rsidR="00AF083F" w:rsidRPr="00C3630C">
        <w:rPr>
          <w:rFonts w:ascii="Calibri Light" w:eastAsiaTheme="minorEastAsia" w:hAnsi="Calibri Light" w:cs="Arial"/>
          <w:color w:val="21286C"/>
          <w:sz w:val="21"/>
          <w:szCs w:val="20"/>
          <w:lang w:val="el-GR" w:bidi="el-GR"/>
        </w:rPr>
        <w:t xml:space="preserve">έργα υποδομών </w:t>
      </w:r>
      <w:r w:rsidRPr="00C3630C">
        <w:rPr>
          <w:rFonts w:ascii="Calibri Light" w:eastAsiaTheme="minorEastAsia" w:hAnsi="Calibri Light" w:cs="Arial"/>
          <w:color w:val="21286C"/>
          <w:sz w:val="21"/>
          <w:szCs w:val="20"/>
          <w:lang w:val="el-GR" w:bidi="el-GR"/>
        </w:rPr>
        <w:t xml:space="preserve">μεγάλης κλίμακας, </w:t>
      </w:r>
      <w:r w:rsidR="00AF083F" w:rsidRPr="00C3630C">
        <w:rPr>
          <w:rFonts w:ascii="Calibri Light" w:eastAsiaTheme="minorEastAsia" w:hAnsi="Calibri Light" w:cs="Arial"/>
          <w:color w:val="21286C"/>
          <w:sz w:val="21"/>
          <w:szCs w:val="20"/>
          <w:lang w:val="el-GR" w:bidi="el-GR"/>
        </w:rPr>
        <w:t xml:space="preserve">τομέας </w:t>
      </w:r>
      <w:r w:rsidRPr="00C3630C">
        <w:rPr>
          <w:rFonts w:ascii="Calibri Light" w:eastAsiaTheme="minorEastAsia" w:hAnsi="Calibri Light" w:cs="Arial"/>
          <w:color w:val="21286C"/>
          <w:sz w:val="21"/>
          <w:szCs w:val="20"/>
          <w:lang w:val="el-GR" w:bidi="el-GR"/>
        </w:rPr>
        <w:t xml:space="preserve">στον οποίο ο Όμιλος έχει καθιερωθεί ως προτιμώμενος προμηθευτής. </w:t>
      </w:r>
      <w:r w:rsidR="00AF083F" w:rsidRPr="00C3630C">
        <w:rPr>
          <w:rFonts w:ascii="Calibri Light" w:eastAsiaTheme="minorEastAsia" w:hAnsi="Calibri Light" w:cs="Arial"/>
          <w:color w:val="21286C"/>
          <w:sz w:val="21"/>
          <w:szCs w:val="20"/>
          <w:lang w:val="el-GR" w:bidi="el-GR"/>
        </w:rPr>
        <w:t>Μεταξύ αυτών των έργων συμπεριλαμβάνονται</w:t>
      </w:r>
      <w:r w:rsidR="00735638"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 xml:space="preserve">ο ανισόπεδος κόμβος </w:t>
      </w:r>
      <w:r w:rsidR="009C661C">
        <w:rPr>
          <w:rFonts w:ascii="Calibri Light" w:eastAsiaTheme="minorEastAsia" w:hAnsi="Calibri Light" w:cs="Arial"/>
          <w:color w:val="21286C"/>
          <w:sz w:val="21"/>
          <w:szCs w:val="20"/>
          <w:lang w:val="el-GR" w:bidi="el-GR"/>
        </w:rPr>
        <w:t>«</w:t>
      </w:r>
      <w:r w:rsidR="00260885">
        <w:rPr>
          <w:rFonts w:ascii="Calibri Light" w:eastAsiaTheme="minorEastAsia" w:hAnsi="Calibri Light" w:cs="Arial"/>
          <w:color w:val="21286C"/>
          <w:sz w:val="21"/>
          <w:szCs w:val="20"/>
          <w:lang w:bidi="el-GR"/>
        </w:rPr>
        <w:t>Flyover</w:t>
      </w:r>
      <w:r w:rsidR="009C661C">
        <w:rPr>
          <w:rFonts w:ascii="Calibri Light" w:eastAsiaTheme="minorEastAsia" w:hAnsi="Calibri Light" w:cs="Arial"/>
          <w:color w:val="21286C"/>
          <w:sz w:val="21"/>
          <w:szCs w:val="20"/>
          <w:lang w:val="el-GR" w:bidi="el-GR"/>
        </w:rPr>
        <w:t>»</w:t>
      </w:r>
      <w:r w:rsidR="00260885" w:rsidRPr="00260885">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στη Θεσσαλονίκη, τα κατασκευαστικά έργα σε ορυχείο χαλκού-χρυσού –</w:t>
      </w:r>
      <w:r w:rsidR="00104B42">
        <w:rPr>
          <w:rFonts w:ascii="Calibri Light" w:eastAsiaTheme="minorEastAsia" w:hAnsi="Calibri Light" w:cs="Arial"/>
          <w:color w:val="21286C"/>
          <w:sz w:val="21"/>
          <w:szCs w:val="20"/>
          <w:lang w:val="el-GR" w:bidi="el-GR"/>
        </w:rPr>
        <w:t>όπου</w:t>
      </w:r>
      <w:r w:rsidRPr="00C3630C">
        <w:rPr>
          <w:rFonts w:ascii="Calibri Light" w:eastAsiaTheme="minorEastAsia" w:hAnsi="Calibri Light" w:cs="Arial"/>
          <w:color w:val="21286C"/>
          <w:sz w:val="21"/>
          <w:szCs w:val="20"/>
          <w:lang w:val="el-GR" w:bidi="el-GR"/>
        </w:rPr>
        <w:t xml:space="preserve"> εγκαταστάθηκε μια νέα μονάδα έτοιμου σκυροδέματος– </w:t>
      </w:r>
      <w:r w:rsidR="00534C8F" w:rsidRPr="00C3630C">
        <w:rPr>
          <w:rFonts w:ascii="Calibri Light" w:eastAsiaTheme="minorEastAsia" w:hAnsi="Calibri Light" w:cs="Arial"/>
          <w:color w:val="21286C"/>
          <w:sz w:val="21"/>
          <w:szCs w:val="20"/>
          <w:lang w:val="el-GR" w:bidi="el-GR"/>
        </w:rPr>
        <w:t xml:space="preserve">καθώς </w:t>
      </w:r>
      <w:r w:rsidRPr="00C3630C">
        <w:rPr>
          <w:rFonts w:ascii="Calibri Light" w:eastAsiaTheme="minorEastAsia" w:hAnsi="Calibri Light" w:cs="Arial"/>
          <w:color w:val="21286C"/>
          <w:sz w:val="21"/>
          <w:szCs w:val="20"/>
          <w:lang w:val="el-GR" w:bidi="el-GR"/>
        </w:rPr>
        <w:t xml:space="preserve">και οι συνεχιζόμενες εργασίες αστικής ανάπτυξης </w:t>
      </w:r>
      <w:r w:rsidR="00196512" w:rsidRPr="00C3630C">
        <w:rPr>
          <w:rFonts w:ascii="Calibri Light" w:eastAsiaTheme="minorEastAsia" w:hAnsi="Calibri Light" w:cs="Arial"/>
          <w:color w:val="21286C"/>
          <w:sz w:val="21"/>
          <w:szCs w:val="20"/>
          <w:lang w:val="el-GR" w:bidi="el-GR"/>
        </w:rPr>
        <w:t xml:space="preserve">στο </w:t>
      </w:r>
      <w:r w:rsidRPr="00C3630C">
        <w:rPr>
          <w:rFonts w:ascii="Calibri Light" w:eastAsiaTheme="minorEastAsia" w:hAnsi="Calibri Light" w:cs="Arial"/>
          <w:color w:val="21286C"/>
          <w:sz w:val="21"/>
          <w:szCs w:val="20"/>
          <w:lang w:val="el-GR" w:bidi="el-GR"/>
        </w:rPr>
        <w:t>έργο The Ellinikon. Κατά τη διάρκεια του τριμήνου, ο Όμιλος έθεσε επίσης σε λειτουργία μια υπερσύγχρονη μονάδα σκυροδέματος στην Καλαμάτα</w:t>
      </w:r>
      <w:r w:rsidR="00104B42">
        <w:rPr>
          <w:rFonts w:ascii="Calibri Light" w:eastAsiaTheme="minorEastAsia" w:hAnsi="Calibri Light" w:cs="Arial"/>
          <w:color w:val="21286C"/>
          <w:sz w:val="21"/>
          <w:szCs w:val="20"/>
          <w:lang w:val="el-GR" w:bidi="el-GR"/>
        </w:rPr>
        <w:t>,</w:t>
      </w:r>
      <w:r w:rsidR="00DD5C27" w:rsidRPr="00C3630C">
        <w:rPr>
          <w:lang w:val="el-GR"/>
        </w:rPr>
        <w:t xml:space="preserve"> </w:t>
      </w:r>
      <w:r w:rsidR="00DD5C27" w:rsidRPr="00C3630C">
        <w:rPr>
          <w:rFonts w:ascii="Calibri Light" w:eastAsiaTheme="minorEastAsia" w:hAnsi="Calibri Light" w:cs="Arial"/>
          <w:color w:val="21286C"/>
          <w:sz w:val="21"/>
          <w:szCs w:val="20"/>
          <w:lang w:val="el-GR" w:bidi="el-GR"/>
        </w:rPr>
        <w:t>η οποία εξαγοράστηκε το 2024 και εκσυγχρονίστηκε πλήρως</w:t>
      </w:r>
      <w:r w:rsidRPr="00C3630C">
        <w:rPr>
          <w:rFonts w:ascii="Calibri Light" w:eastAsiaTheme="minorEastAsia" w:hAnsi="Calibri Light" w:cs="Arial"/>
          <w:color w:val="21286C"/>
          <w:sz w:val="21"/>
          <w:szCs w:val="20"/>
          <w:lang w:val="el-GR" w:bidi="el-GR"/>
        </w:rPr>
        <w:t xml:space="preserve">. </w:t>
      </w:r>
      <w:r w:rsidR="009A6112" w:rsidRPr="00C3630C">
        <w:rPr>
          <w:rFonts w:ascii="Calibri Light" w:eastAsiaTheme="minorEastAsia" w:hAnsi="Calibri Light" w:cs="Arial"/>
          <w:color w:val="21286C"/>
          <w:sz w:val="21"/>
          <w:szCs w:val="20"/>
          <w:lang w:val="el-GR" w:bidi="el-GR"/>
        </w:rPr>
        <w:t xml:space="preserve">Το έργο </w:t>
      </w:r>
      <w:r w:rsidR="00DD5C27" w:rsidRPr="00C3630C">
        <w:rPr>
          <w:rFonts w:ascii="Calibri Light" w:eastAsiaTheme="minorEastAsia" w:hAnsi="Calibri Light" w:cs="Arial"/>
          <w:color w:val="21286C"/>
          <w:sz w:val="21"/>
          <w:szCs w:val="20"/>
          <w:lang w:val="el-GR" w:bidi="el-GR"/>
        </w:rPr>
        <w:t xml:space="preserve">αυτό </w:t>
      </w:r>
      <w:r w:rsidR="009A6112" w:rsidRPr="00C3630C">
        <w:rPr>
          <w:rFonts w:ascii="Calibri Light" w:eastAsiaTheme="minorEastAsia" w:hAnsi="Calibri Light" w:cs="Arial"/>
          <w:color w:val="21286C"/>
          <w:sz w:val="21"/>
          <w:szCs w:val="20"/>
          <w:lang w:val="el-GR" w:bidi="el-GR"/>
        </w:rPr>
        <w:t xml:space="preserve">ευθυγραμμίζεται με την αναπτυξιακή στρατηγική του Τιτάνα, η οποία εστιάζει στην </w:t>
      </w:r>
      <w:r w:rsidR="00763513" w:rsidRPr="00C3630C">
        <w:rPr>
          <w:rFonts w:ascii="Calibri Light" w:eastAsiaTheme="minorEastAsia" w:hAnsi="Calibri Light" w:cs="Arial"/>
          <w:color w:val="21286C"/>
          <w:sz w:val="21"/>
          <w:szCs w:val="20"/>
          <w:lang w:val="el-GR" w:bidi="el-GR"/>
        </w:rPr>
        <w:t xml:space="preserve">ενίσχυση </w:t>
      </w:r>
      <w:r w:rsidR="009A6112" w:rsidRPr="00C3630C">
        <w:rPr>
          <w:rFonts w:ascii="Calibri Light" w:eastAsiaTheme="minorEastAsia" w:hAnsi="Calibri Light" w:cs="Arial"/>
          <w:color w:val="21286C"/>
          <w:sz w:val="21"/>
          <w:szCs w:val="20"/>
          <w:lang w:val="el-GR" w:bidi="el-GR"/>
        </w:rPr>
        <w:t xml:space="preserve">του κλάδου έτοιμου σκυροδέματος σε περιοχές υψηλής </w:t>
      </w:r>
      <w:r w:rsidR="00D57D0B" w:rsidRPr="00C3630C">
        <w:rPr>
          <w:rFonts w:ascii="Calibri Light" w:eastAsiaTheme="minorEastAsia" w:hAnsi="Calibri Light" w:cs="Arial"/>
          <w:color w:val="21286C"/>
          <w:sz w:val="21"/>
          <w:szCs w:val="20"/>
          <w:lang w:val="el-GR" w:bidi="el-GR"/>
        </w:rPr>
        <w:t>δυναμικής</w:t>
      </w:r>
      <w:r w:rsidR="009A6112" w:rsidRPr="00C3630C">
        <w:rPr>
          <w:rFonts w:ascii="Calibri Light" w:eastAsiaTheme="minorEastAsia" w:hAnsi="Calibri Light" w:cs="Arial"/>
          <w:color w:val="21286C"/>
          <w:sz w:val="21"/>
          <w:szCs w:val="20"/>
          <w:lang w:val="el-GR" w:bidi="el-GR"/>
        </w:rPr>
        <w:t xml:space="preserve">. Με τρεις εξαγορές </w:t>
      </w:r>
      <w:r w:rsidR="00D57D0B" w:rsidRPr="00C3630C">
        <w:rPr>
          <w:rFonts w:ascii="Calibri Light" w:eastAsiaTheme="minorEastAsia" w:hAnsi="Calibri Light" w:cs="Arial"/>
          <w:color w:val="21286C"/>
          <w:sz w:val="21"/>
          <w:szCs w:val="20"/>
          <w:lang w:val="el-GR" w:bidi="el-GR"/>
        </w:rPr>
        <w:t xml:space="preserve">στον τομέα </w:t>
      </w:r>
      <w:r w:rsidR="009A6112" w:rsidRPr="00C3630C">
        <w:rPr>
          <w:rFonts w:ascii="Calibri Light" w:eastAsiaTheme="minorEastAsia" w:hAnsi="Calibri Light" w:cs="Arial"/>
          <w:color w:val="21286C"/>
          <w:sz w:val="21"/>
          <w:szCs w:val="20"/>
          <w:lang w:val="el-GR" w:bidi="el-GR"/>
        </w:rPr>
        <w:t xml:space="preserve">των αδρανών υλικών και του έτοιμου σκυροδέματος να έχουν ολοκληρωθεί </w:t>
      </w:r>
      <w:r w:rsidR="004C3BC2" w:rsidRPr="00C3630C">
        <w:rPr>
          <w:rFonts w:ascii="Calibri Light" w:eastAsiaTheme="minorEastAsia" w:hAnsi="Calibri Light" w:cs="Arial"/>
          <w:color w:val="21286C"/>
          <w:sz w:val="21"/>
          <w:szCs w:val="20"/>
          <w:lang w:val="el-GR" w:bidi="el-GR"/>
        </w:rPr>
        <w:t>από την αρχή του έτους</w:t>
      </w:r>
      <w:r w:rsidR="009A6112" w:rsidRPr="00C3630C">
        <w:rPr>
          <w:rFonts w:ascii="Calibri Light" w:eastAsiaTheme="minorEastAsia" w:hAnsi="Calibri Light" w:cs="Arial"/>
          <w:color w:val="21286C"/>
          <w:sz w:val="21"/>
          <w:szCs w:val="20"/>
          <w:lang w:val="el-GR" w:bidi="el-GR"/>
        </w:rPr>
        <w:t xml:space="preserve">, ο Όμιλος επιβεβαιώνει τη συνεπή και δυναμική επενδυτική του στρατηγική στην αγορά. </w:t>
      </w:r>
      <w:r w:rsidRPr="00C3630C">
        <w:rPr>
          <w:rFonts w:ascii="Calibri Light" w:eastAsiaTheme="minorEastAsia" w:hAnsi="Calibri Light" w:cs="Arial"/>
          <w:color w:val="21286C"/>
          <w:sz w:val="21"/>
          <w:szCs w:val="20"/>
          <w:lang w:val="el-GR" w:bidi="el-GR"/>
        </w:rPr>
        <w:t xml:space="preserve">Οι συνολικές πωλήσεις στον συγκεκριμένο γεωγραφικό τομέα κατά το εννεάμηνο 2025 αυξήθηκαν κατά </w:t>
      </w:r>
      <w:r w:rsidR="002F75BC" w:rsidRPr="00C3630C">
        <w:rPr>
          <w:rFonts w:ascii="Calibri Light" w:eastAsiaTheme="minorEastAsia" w:hAnsi="Calibri Light" w:cs="Arial"/>
          <w:color w:val="21286C"/>
          <w:sz w:val="21"/>
          <w:szCs w:val="20"/>
          <w:lang w:val="el-GR" w:bidi="el-GR"/>
        </w:rPr>
        <w:t>14,7</w:t>
      </w:r>
      <w:r w:rsidRPr="00C3630C">
        <w:rPr>
          <w:rFonts w:ascii="Calibri Light" w:eastAsiaTheme="minorEastAsia" w:hAnsi="Calibri Light" w:cs="Arial"/>
          <w:color w:val="21286C"/>
          <w:sz w:val="21"/>
          <w:szCs w:val="20"/>
          <w:lang w:val="el-GR" w:bidi="el-GR"/>
        </w:rPr>
        <w:t>% σε €</w:t>
      </w:r>
      <w:r w:rsidR="002F75BC" w:rsidRPr="00C3630C">
        <w:rPr>
          <w:rFonts w:ascii="Calibri Light" w:eastAsiaTheme="minorEastAsia" w:hAnsi="Calibri Light" w:cs="Arial"/>
          <w:color w:val="21286C"/>
          <w:sz w:val="21"/>
          <w:szCs w:val="20"/>
          <w:lang w:val="el-GR" w:bidi="el-GR"/>
        </w:rPr>
        <w:t>384,8</w:t>
      </w:r>
      <w:r w:rsidRPr="00C3630C">
        <w:rPr>
          <w:rFonts w:ascii="Calibri Light" w:eastAsiaTheme="minorEastAsia" w:hAnsi="Calibri Light" w:cs="Arial"/>
          <w:color w:val="21286C"/>
          <w:sz w:val="21"/>
          <w:szCs w:val="20"/>
          <w:lang w:val="el-GR" w:bidi="el-GR"/>
        </w:rPr>
        <w:t xml:space="preserve"> εκ., ενώ τα κέρδη EBITDA αυξήθηκαν κατά </w:t>
      </w:r>
      <w:r w:rsidR="002F75BC" w:rsidRPr="00C3630C">
        <w:rPr>
          <w:rFonts w:ascii="Calibri Light" w:eastAsiaTheme="minorEastAsia" w:hAnsi="Calibri Light" w:cs="Arial"/>
          <w:color w:val="21286C"/>
          <w:sz w:val="21"/>
          <w:szCs w:val="20"/>
          <w:lang w:val="el-GR" w:bidi="el-GR"/>
        </w:rPr>
        <w:t>19,</w:t>
      </w:r>
      <w:r w:rsidR="00180CB4">
        <w:rPr>
          <w:rFonts w:ascii="Calibri Light" w:eastAsiaTheme="minorEastAsia" w:hAnsi="Calibri Light" w:cs="Arial"/>
          <w:color w:val="21286C"/>
          <w:sz w:val="21"/>
          <w:szCs w:val="20"/>
          <w:lang w:val="el-GR" w:bidi="el-GR"/>
        </w:rPr>
        <w:t>1</w:t>
      </w:r>
      <w:r w:rsidRPr="00C3630C">
        <w:rPr>
          <w:rFonts w:ascii="Calibri Light" w:eastAsiaTheme="minorEastAsia" w:hAnsi="Calibri Light" w:cs="Arial"/>
          <w:color w:val="21286C"/>
          <w:sz w:val="21"/>
          <w:szCs w:val="20"/>
          <w:lang w:val="el-GR" w:bidi="el-GR"/>
        </w:rPr>
        <w:t xml:space="preserve">% και </w:t>
      </w:r>
      <w:r w:rsidR="00D94D10" w:rsidRPr="00C3630C">
        <w:rPr>
          <w:rFonts w:ascii="Calibri Light" w:eastAsiaTheme="minorEastAsia" w:hAnsi="Calibri Light" w:cs="Arial"/>
          <w:color w:val="21286C"/>
          <w:sz w:val="21"/>
          <w:szCs w:val="20"/>
          <w:lang w:val="el-GR" w:bidi="el-GR"/>
        </w:rPr>
        <w:t>ανήλθαν</w:t>
      </w:r>
      <w:r w:rsidRPr="00C3630C">
        <w:rPr>
          <w:rFonts w:ascii="Calibri Light" w:eastAsiaTheme="minorEastAsia" w:hAnsi="Calibri Light" w:cs="Arial"/>
          <w:color w:val="21286C"/>
          <w:sz w:val="21"/>
          <w:szCs w:val="20"/>
          <w:lang w:val="el-GR" w:bidi="el-GR"/>
        </w:rPr>
        <w:t xml:space="preserve"> σε €</w:t>
      </w:r>
      <w:r w:rsidR="002F75BC" w:rsidRPr="00C3630C">
        <w:rPr>
          <w:rFonts w:ascii="Calibri Light" w:eastAsiaTheme="minorEastAsia" w:hAnsi="Calibri Light" w:cs="Arial"/>
          <w:color w:val="21286C"/>
          <w:sz w:val="21"/>
          <w:szCs w:val="20"/>
          <w:lang w:val="el-GR" w:bidi="el-GR"/>
        </w:rPr>
        <w:t>56,6</w:t>
      </w:r>
      <w:r w:rsidRPr="00C3630C">
        <w:rPr>
          <w:rFonts w:ascii="Calibri Light" w:eastAsiaTheme="minorEastAsia" w:hAnsi="Calibri Light" w:cs="Arial"/>
          <w:color w:val="21286C"/>
          <w:sz w:val="21"/>
          <w:szCs w:val="20"/>
          <w:lang w:val="el-GR" w:bidi="el-GR"/>
        </w:rPr>
        <w:t xml:space="preserve"> εκ., έναντι €</w:t>
      </w:r>
      <w:r w:rsidR="002F75BC" w:rsidRPr="00C3630C">
        <w:rPr>
          <w:rFonts w:ascii="Calibri Light" w:eastAsiaTheme="minorEastAsia" w:hAnsi="Calibri Light" w:cs="Arial"/>
          <w:color w:val="21286C"/>
          <w:sz w:val="21"/>
          <w:szCs w:val="20"/>
          <w:lang w:val="el-GR" w:bidi="el-GR"/>
        </w:rPr>
        <w:t>47,5</w:t>
      </w:r>
      <w:r w:rsidRPr="00C3630C">
        <w:rPr>
          <w:rFonts w:ascii="Calibri Light" w:eastAsiaTheme="minorEastAsia" w:hAnsi="Calibri Light" w:cs="Arial"/>
          <w:color w:val="21286C"/>
          <w:sz w:val="21"/>
          <w:szCs w:val="20"/>
          <w:lang w:val="el-GR" w:bidi="el-GR"/>
        </w:rPr>
        <w:t xml:space="preserve"> εκ. πέρυσι.</w:t>
      </w:r>
    </w:p>
    <w:p w14:paraId="76917EF8" w14:textId="77777777" w:rsidR="006D57D8" w:rsidRPr="00D75B8D" w:rsidRDefault="006D57D8" w:rsidP="00DF4ADE">
      <w:pPr>
        <w:jc w:val="both"/>
        <w:rPr>
          <w:rFonts w:ascii="Calibri Light" w:eastAsiaTheme="minorEastAsia" w:hAnsi="Calibri Light" w:cs="Arial"/>
          <w:color w:val="21286C"/>
          <w:sz w:val="21"/>
          <w:szCs w:val="20"/>
          <w:lang w:val="el-GR" w:bidi="el-GR"/>
        </w:rPr>
      </w:pPr>
    </w:p>
    <w:p w14:paraId="33D28226" w14:textId="77777777" w:rsidR="00EB2D9D" w:rsidRPr="00C3630C" w:rsidRDefault="00EB2D9D" w:rsidP="00F06BBE">
      <w:pPr>
        <w:jc w:val="both"/>
        <w:rPr>
          <w:rFonts w:ascii="Calibri Light" w:eastAsiaTheme="minorEastAsia" w:hAnsi="Calibri Light" w:cs="Arial"/>
          <w:color w:val="21286C"/>
          <w:sz w:val="12"/>
          <w:szCs w:val="10"/>
          <w:lang w:val="el-GR"/>
        </w:rPr>
      </w:pPr>
    </w:p>
    <w:p w14:paraId="22FEDE71" w14:textId="77777777" w:rsidR="00481B42" w:rsidRPr="00C3630C" w:rsidRDefault="00481B42" w:rsidP="00F06BBE">
      <w:pPr>
        <w:jc w:val="both"/>
        <w:rPr>
          <w:rFonts w:ascii="Calibri" w:eastAsia="Calibri" w:hAnsi="Calibri" w:cs="Calibri"/>
          <w:b/>
          <w:color w:val="01B1D7"/>
          <w:sz w:val="28"/>
          <w:szCs w:val="28"/>
          <w:lang w:val="el-GR"/>
        </w:rPr>
      </w:pPr>
      <w:r w:rsidRPr="00C3630C">
        <w:rPr>
          <w:rFonts w:ascii="Calibri" w:eastAsia="Calibri" w:hAnsi="Calibri" w:cs="Calibri"/>
          <w:b/>
          <w:color w:val="01B1D7"/>
          <w:sz w:val="28"/>
          <w:szCs w:val="28"/>
          <w:lang w:val="el-GR"/>
        </w:rPr>
        <w:t>Νοτιοανατολική Ευρώπη</w:t>
      </w:r>
    </w:p>
    <w:p w14:paraId="6FB905B3" w14:textId="1AF475E3" w:rsidR="003D01BF" w:rsidRPr="00C3630C" w:rsidRDefault="003D01BF" w:rsidP="003D01BF">
      <w:pPr>
        <w:jc w:val="both"/>
        <w:rPr>
          <w:rFonts w:ascii="Calibri Light" w:eastAsiaTheme="minorEastAsia" w:hAnsi="Calibri Light" w:cs="Arial"/>
          <w:b/>
          <w:bCs/>
          <w:color w:val="21286C"/>
          <w:sz w:val="21"/>
          <w:szCs w:val="20"/>
          <w:lang w:val="el-GR" w:bidi="el-GR"/>
        </w:rPr>
      </w:pPr>
      <w:r w:rsidRPr="00C3630C">
        <w:rPr>
          <w:rFonts w:ascii="Calibri Light" w:eastAsiaTheme="minorEastAsia" w:hAnsi="Calibri Light" w:cs="Arial"/>
          <w:color w:val="21286C"/>
          <w:sz w:val="21"/>
          <w:szCs w:val="20"/>
          <w:lang w:val="el-GR" w:bidi="el-GR"/>
        </w:rPr>
        <w:t xml:space="preserve">Οι συνθήκες της αγοράς </w:t>
      </w:r>
      <w:r w:rsidR="00BA0B9E" w:rsidRPr="00C3630C">
        <w:rPr>
          <w:rFonts w:ascii="Calibri Light" w:eastAsiaTheme="minorEastAsia" w:hAnsi="Calibri Light" w:cs="Arial"/>
          <w:color w:val="21286C"/>
          <w:sz w:val="21"/>
          <w:szCs w:val="20"/>
          <w:lang w:val="el-GR" w:bidi="el-GR"/>
        </w:rPr>
        <w:t xml:space="preserve">στις </w:t>
      </w:r>
      <w:r w:rsidR="00F86191" w:rsidRPr="00C3630C">
        <w:rPr>
          <w:rFonts w:ascii="Calibri Light" w:eastAsiaTheme="minorEastAsia" w:hAnsi="Calibri Light" w:cs="Arial"/>
          <w:color w:val="21286C"/>
          <w:sz w:val="21"/>
          <w:szCs w:val="20"/>
          <w:lang w:val="el-GR" w:bidi="el-GR"/>
        </w:rPr>
        <w:t>χώρες</w:t>
      </w:r>
      <w:r w:rsidRPr="00C3630C">
        <w:rPr>
          <w:rFonts w:ascii="Calibri Light" w:eastAsiaTheme="minorEastAsia" w:hAnsi="Calibri Light" w:cs="Arial"/>
          <w:color w:val="21286C"/>
          <w:sz w:val="21"/>
          <w:szCs w:val="20"/>
          <w:lang w:val="el-GR" w:bidi="el-GR"/>
        </w:rPr>
        <w:t xml:space="preserve"> της Νοτιοανατολικής Ευρώπης παρέμειναν γενικά σταθερές καθ' όλη τη διάρκεια του έτους. Μετά τους εξαιρετικά αυξημένους όγκους πωλήσεων τους πρώτους μήνες του 2024, οι οποίοι </w:t>
      </w:r>
      <w:r w:rsidR="00C368F7" w:rsidRPr="00C3630C">
        <w:rPr>
          <w:rFonts w:ascii="Calibri Light" w:eastAsiaTheme="minorEastAsia" w:hAnsi="Calibri Light" w:cs="Arial"/>
          <w:color w:val="21286C"/>
          <w:sz w:val="21"/>
          <w:szCs w:val="20"/>
          <w:lang w:val="el-GR" w:bidi="el-GR"/>
        </w:rPr>
        <w:t>δημιούργησα</w:t>
      </w:r>
      <w:r w:rsidR="00B47030">
        <w:rPr>
          <w:rFonts w:ascii="Calibri Light" w:eastAsiaTheme="minorEastAsia" w:hAnsi="Calibri Light" w:cs="Arial"/>
          <w:color w:val="21286C"/>
          <w:sz w:val="21"/>
          <w:szCs w:val="20"/>
          <w:lang w:val="el-GR" w:bidi="el-GR"/>
        </w:rPr>
        <w:t>ν</w:t>
      </w:r>
      <w:r w:rsidR="00C368F7" w:rsidRPr="00C3630C">
        <w:rPr>
          <w:rFonts w:ascii="Calibri Light" w:eastAsiaTheme="minorEastAsia" w:hAnsi="Calibri Light" w:cs="Arial"/>
          <w:color w:val="21286C"/>
          <w:sz w:val="21"/>
          <w:szCs w:val="20"/>
          <w:lang w:val="el-GR" w:bidi="el-GR"/>
        </w:rPr>
        <w:t xml:space="preserve"> υψηλή βάση σύγκρισης</w:t>
      </w:r>
      <w:r w:rsidR="00463DC3"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 xml:space="preserve">η </w:t>
      </w:r>
      <w:r w:rsidRPr="007644DE">
        <w:rPr>
          <w:rFonts w:ascii="Calibri Light" w:eastAsiaTheme="minorEastAsia" w:hAnsi="Calibri Light" w:cs="Arial"/>
          <w:color w:val="21286C"/>
          <w:sz w:val="21"/>
          <w:szCs w:val="20"/>
          <w:lang w:val="el-GR" w:bidi="el-GR"/>
        </w:rPr>
        <w:t xml:space="preserve">δραστηριότητα στην αγορά έχει </w:t>
      </w:r>
      <w:r w:rsidR="002A196B" w:rsidRPr="007644DE">
        <w:rPr>
          <w:rFonts w:ascii="Calibri Light" w:eastAsiaTheme="minorEastAsia" w:hAnsi="Calibri Light" w:cs="Arial"/>
          <w:color w:val="21286C"/>
          <w:sz w:val="21"/>
          <w:szCs w:val="20"/>
          <w:lang w:val="el-GR" w:bidi="el-GR"/>
        </w:rPr>
        <w:t>ομαλοποιηθεί</w:t>
      </w:r>
      <w:r w:rsidRPr="007644DE">
        <w:rPr>
          <w:rFonts w:ascii="Calibri Light" w:eastAsiaTheme="minorEastAsia" w:hAnsi="Calibri Light" w:cs="Arial"/>
          <w:color w:val="21286C"/>
          <w:sz w:val="21"/>
          <w:szCs w:val="20"/>
          <w:lang w:val="el-GR" w:bidi="el-GR"/>
        </w:rPr>
        <w:t xml:space="preserve">. </w:t>
      </w:r>
      <w:r w:rsidR="00463DC3" w:rsidRPr="007644DE">
        <w:rPr>
          <w:rFonts w:ascii="Calibri Light" w:eastAsiaTheme="minorEastAsia" w:hAnsi="Calibri Light" w:cs="Arial"/>
          <w:color w:val="21286C"/>
          <w:sz w:val="21"/>
          <w:szCs w:val="20"/>
          <w:lang w:val="el-GR" w:bidi="el-GR"/>
        </w:rPr>
        <w:t>Η</w:t>
      </w:r>
      <w:r w:rsidRPr="007644DE">
        <w:rPr>
          <w:rFonts w:ascii="Calibri Light" w:eastAsiaTheme="minorEastAsia" w:hAnsi="Calibri Light" w:cs="Arial"/>
          <w:color w:val="21286C"/>
          <w:sz w:val="21"/>
          <w:szCs w:val="20"/>
          <w:lang w:val="el-GR" w:bidi="el-GR"/>
        </w:rPr>
        <w:t xml:space="preserve"> </w:t>
      </w:r>
      <w:r w:rsidR="0008606C" w:rsidRPr="007644DE">
        <w:rPr>
          <w:rFonts w:ascii="Calibri Light" w:eastAsiaTheme="minorEastAsia" w:hAnsi="Calibri Light" w:cs="Arial"/>
          <w:color w:val="21286C"/>
          <w:sz w:val="21"/>
          <w:szCs w:val="20"/>
          <w:lang w:val="el-GR" w:bidi="el-GR"/>
        </w:rPr>
        <w:t xml:space="preserve">εξέλιξη </w:t>
      </w:r>
      <w:r w:rsidR="00463DC3" w:rsidRPr="007644DE">
        <w:rPr>
          <w:rFonts w:ascii="Calibri Light" w:eastAsiaTheme="minorEastAsia" w:hAnsi="Calibri Light" w:cs="Arial"/>
          <w:color w:val="21286C"/>
          <w:sz w:val="21"/>
          <w:szCs w:val="20"/>
          <w:lang w:val="el-GR" w:bidi="el-GR"/>
        </w:rPr>
        <w:t>αυτή</w:t>
      </w:r>
      <w:r w:rsidRPr="007644DE">
        <w:rPr>
          <w:rFonts w:ascii="Calibri Light" w:eastAsiaTheme="minorEastAsia" w:hAnsi="Calibri Light" w:cs="Arial"/>
          <w:color w:val="21286C"/>
          <w:sz w:val="21"/>
          <w:szCs w:val="20"/>
          <w:lang w:val="el-GR" w:bidi="el-GR"/>
        </w:rPr>
        <w:t xml:space="preserve"> </w:t>
      </w:r>
      <w:proofErr w:type="spellStart"/>
      <w:r w:rsidRPr="007644DE">
        <w:rPr>
          <w:rFonts w:ascii="Calibri Light" w:eastAsiaTheme="minorEastAsia" w:hAnsi="Calibri Light" w:cs="Arial"/>
          <w:color w:val="21286C"/>
          <w:sz w:val="21"/>
          <w:szCs w:val="20"/>
          <w:lang w:val="el-GR" w:bidi="el-GR"/>
        </w:rPr>
        <w:t>συνέπεσε</w:t>
      </w:r>
      <w:proofErr w:type="spellEnd"/>
      <w:r w:rsidRPr="007644DE">
        <w:rPr>
          <w:rFonts w:ascii="Calibri Light" w:eastAsiaTheme="minorEastAsia" w:hAnsi="Calibri Light" w:cs="Arial"/>
          <w:color w:val="21286C"/>
          <w:sz w:val="21"/>
          <w:szCs w:val="20"/>
          <w:lang w:val="el-GR" w:bidi="el-GR"/>
        </w:rPr>
        <w:t xml:space="preserve"> με </w:t>
      </w:r>
      <w:r w:rsidR="003011CA" w:rsidRPr="007644DE">
        <w:rPr>
          <w:rFonts w:ascii="Calibri Light" w:eastAsiaTheme="minorEastAsia" w:hAnsi="Calibri Light" w:cs="Arial"/>
          <w:color w:val="21286C"/>
          <w:sz w:val="21"/>
          <w:szCs w:val="20"/>
          <w:lang w:val="el-GR" w:bidi="el-GR"/>
        </w:rPr>
        <w:t>την ενίσχυση του α</w:t>
      </w:r>
      <w:r w:rsidRPr="007644DE">
        <w:rPr>
          <w:rFonts w:ascii="Calibri Light" w:eastAsiaTheme="minorEastAsia" w:hAnsi="Calibri Light" w:cs="Arial"/>
          <w:color w:val="21286C"/>
          <w:sz w:val="21"/>
          <w:szCs w:val="20"/>
          <w:lang w:val="el-GR" w:bidi="el-GR"/>
        </w:rPr>
        <w:t>νταγωνισμ</w:t>
      </w:r>
      <w:r w:rsidR="003011CA" w:rsidRPr="007644DE">
        <w:rPr>
          <w:rFonts w:ascii="Calibri Light" w:eastAsiaTheme="minorEastAsia" w:hAnsi="Calibri Light" w:cs="Arial"/>
          <w:color w:val="21286C"/>
          <w:sz w:val="21"/>
          <w:szCs w:val="20"/>
          <w:lang w:val="el-GR" w:bidi="el-GR"/>
        </w:rPr>
        <w:t>ού</w:t>
      </w:r>
      <w:r w:rsidRPr="007644DE">
        <w:rPr>
          <w:rFonts w:ascii="Calibri Light" w:eastAsiaTheme="minorEastAsia" w:hAnsi="Calibri Light" w:cs="Arial"/>
          <w:color w:val="21286C"/>
          <w:sz w:val="21"/>
          <w:szCs w:val="20"/>
          <w:lang w:val="el-GR" w:bidi="el-GR"/>
        </w:rPr>
        <w:t xml:space="preserve"> </w:t>
      </w:r>
      <w:r w:rsidR="003011CA" w:rsidRPr="007644DE">
        <w:rPr>
          <w:rFonts w:ascii="Calibri Light" w:eastAsiaTheme="minorEastAsia" w:hAnsi="Calibri Light" w:cs="Arial"/>
          <w:color w:val="21286C"/>
          <w:sz w:val="21"/>
          <w:szCs w:val="20"/>
          <w:lang w:val="el-GR" w:bidi="el-GR"/>
        </w:rPr>
        <w:t xml:space="preserve">από </w:t>
      </w:r>
      <w:r w:rsidR="00AF18E8" w:rsidRPr="007644DE">
        <w:rPr>
          <w:rFonts w:ascii="Calibri Light" w:eastAsiaTheme="minorEastAsia" w:hAnsi="Calibri Light" w:cs="Arial"/>
          <w:color w:val="21286C"/>
          <w:sz w:val="21"/>
          <w:szCs w:val="20"/>
          <w:lang w:val="el-GR" w:bidi="el-GR"/>
        </w:rPr>
        <w:t>αυξημένες εισαγωγές</w:t>
      </w:r>
      <w:r w:rsidR="004B10AD" w:rsidRPr="007644DE">
        <w:rPr>
          <w:rFonts w:ascii="Calibri Light" w:eastAsiaTheme="minorEastAsia" w:hAnsi="Calibri Light" w:cs="Arial"/>
          <w:color w:val="21286C"/>
          <w:sz w:val="21"/>
          <w:szCs w:val="20"/>
          <w:lang w:val="el-GR" w:bidi="el-GR"/>
        </w:rPr>
        <w:t xml:space="preserve"> σε</w:t>
      </w:r>
      <w:r w:rsidRPr="007644DE">
        <w:rPr>
          <w:rFonts w:ascii="Calibri Light" w:eastAsiaTheme="minorEastAsia" w:hAnsi="Calibri Light" w:cs="Arial"/>
          <w:color w:val="21286C"/>
          <w:sz w:val="21"/>
          <w:szCs w:val="20"/>
          <w:lang w:val="el-GR" w:bidi="el-GR"/>
        </w:rPr>
        <w:t xml:space="preserve"> ορισμένες χώρες,</w:t>
      </w:r>
      <w:r w:rsidR="003F12B7" w:rsidRPr="007644DE">
        <w:rPr>
          <w:rFonts w:ascii="Calibri Light" w:eastAsiaTheme="minorEastAsia" w:hAnsi="Calibri Light" w:cs="Arial"/>
          <w:color w:val="21286C"/>
          <w:sz w:val="21"/>
          <w:szCs w:val="20"/>
          <w:lang w:val="el-GR" w:bidi="el-GR"/>
        </w:rPr>
        <w:t xml:space="preserve"> γεγονός που άσκησε </w:t>
      </w:r>
      <w:r w:rsidRPr="007644DE">
        <w:rPr>
          <w:rFonts w:ascii="Calibri Light" w:eastAsiaTheme="minorEastAsia" w:hAnsi="Calibri Light" w:cs="Arial"/>
          <w:color w:val="21286C"/>
          <w:sz w:val="21"/>
          <w:szCs w:val="20"/>
          <w:lang w:val="el-GR" w:bidi="el-GR"/>
        </w:rPr>
        <w:t xml:space="preserve">πίεση στις τιμές. Παρ' όλα αυτά, ο Όμιλος κατέγραψε αύξηση του όγκου πωλήσεων στις περισσότερες αγορές κατά τη διάρκεια του τριμήνου και διατήρησε τα </w:t>
      </w:r>
      <w:r w:rsidR="003E7873">
        <w:rPr>
          <w:rFonts w:ascii="Calibri Light" w:eastAsiaTheme="minorEastAsia" w:hAnsi="Calibri Light" w:cs="Arial"/>
          <w:color w:val="21286C"/>
          <w:sz w:val="21"/>
          <w:szCs w:val="20"/>
          <w:lang w:val="el-GR" w:bidi="el-GR"/>
        </w:rPr>
        <w:t>υψηλά</w:t>
      </w:r>
      <w:r w:rsidR="00782DE9" w:rsidRPr="007644DE">
        <w:rPr>
          <w:rFonts w:ascii="Calibri Light" w:eastAsiaTheme="minorEastAsia" w:hAnsi="Calibri Light" w:cs="Arial"/>
          <w:color w:val="21286C"/>
          <w:sz w:val="21"/>
          <w:szCs w:val="20"/>
          <w:lang w:val="el-GR" w:bidi="el-GR"/>
        </w:rPr>
        <w:t xml:space="preserve"> </w:t>
      </w:r>
      <w:r w:rsidRPr="007644DE">
        <w:rPr>
          <w:rFonts w:ascii="Calibri Light" w:eastAsiaTheme="minorEastAsia" w:hAnsi="Calibri Light" w:cs="Arial"/>
          <w:color w:val="21286C"/>
          <w:sz w:val="21"/>
          <w:szCs w:val="20"/>
          <w:lang w:val="el-GR" w:bidi="el-GR"/>
        </w:rPr>
        <w:t xml:space="preserve">περιθώρια </w:t>
      </w:r>
      <w:r w:rsidR="007A2A95" w:rsidRPr="007644DE">
        <w:rPr>
          <w:rFonts w:ascii="Calibri Light" w:eastAsiaTheme="minorEastAsia" w:hAnsi="Calibri Light" w:cs="Arial"/>
          <w:color w:val="21286C"/>
          <w:sz w:val="21"/>
          <w:szCs w:val="20"/>
          <w:lang w:val="el-GR" w:bidi="el-GR"/>
        </w:rPr>
        <w:t xml:space="preserve">κερδοφορίας </w:t>
      </w:r>
      <w:r w:rsidR="00782DE9" w:rsidRPr="007644DE">
        <w:rPr>
          <w:rFonts w:ascii="Calibri Light" w:eastAsiaTheme="minorEastAsia" w:hAnsi="Calibri Light" w:cs="Arial"/>
          <w:color w:val="21286C"/>
          <w:sz w:val="21"/>
          <w:szCs w:val="20"/>
          <w:lang w:val="el-GR" w:bidi="el-GR"/>
        </w:rPr>
        <w:t>του</w:t>
      </w:r>
      <w:r w:rsidRPr="007644DE">
        <w:rPr>
          <w:rFonts w:ascii="Calibri Light" w:eastAsiaTheme="minorEastAsia" w:hAnsi="Calibri Light" w:cs="Arial"/>
          <w:color w:val="21286C"/>
          <w:sz w:val="21"/>
          <w:szCs w:val="20"/>
          <w:lang w:val="el-GR" w:bidi="el-GR"/>
        </w:rPr>
        <w:t xml:space="preserve">, </w:t>
      </w:r>
      <w:r w:rsidR="00B801AD" w:rsidRPr="007644DE">
        <w:rPr>
          <w:rFonts w:ascii="Calibri Light" w:eastAsiaTheme="minorEastAsia" w:hAnsi="Calibri Light" w:cs="Arial"/>
          <w:color w:val="21286C"/>
          <w:sz w:val="21"/>
          <w:szCs w:val="20"/>
          <w:lang w:val="el-GR" w:bidi="el-GR"/>
        </w:rPr>
        <w:t>χάρη στις</w:t>
      </w:r>
      <w:r w:rsidRPr="007644DE">
        <w:rPr>
          <w:rFonts w:ascii="Calibri Light" w:eastAsiaTheme="minorEastAsia" w:hAnsi="Calibri Light" w:cs="Arial"/>
          <w:color w:val="21286C"/>
          <w:sz w:val="21"/>
          <w:szCs w:val="20"/>
          <w:lang w:val="el-GR" w:bidi="el-GR"/>
        </w:rPr>
        <w:t xml:space="preserve"> συνεχιζόμενες πρωτοβουλίες για βελτιστοποίηση του κόστους και μείωση του αποτυπώματος άνθρακα, οι οποίες </w:t>
      </w:r>
      <w:r w:rsidR="005015EA" w:rsidRPr="007644DE">
        <w:rPr>
          <w:rFonts w:ascii="Calibri Light" w:eastAsiaTheme="minorEastAsia" w:hAnsi="Calibri Light" w:cs="Arial"/>
          <w:color w:val="21286C"/>
          <w:sz w:val="21"/>
          <w:szCs w:val="20"/>
          <w:lang w:val="el-GR" w:bidi="el-GR"/>
        </w:rPr>
        <w:t xml:space="preserve">συνεχίζουν να αποδίδουν λειτουργικά </w:t>
      </w:r>
      <w:r w:rsidRPr="007644DE">
        <w:rPr>
          <w:rFonts w:ascii="Calibri Light" w:eastAsiaTheme="minorEastAsia" w:hAnsi="Calibri Light" w:cs="Arial"/>
          <w:color w:val="21286C"/>
          <w:sz w:val="21"/>
          <w:szCs w:val="20"/>
          <w:lang w:val="el-GR" w:bidi="el-GR"/>
        </w:rPr>
        <w:t xml:space="preserve">οφέλη. Η Βουλγαρία </w:t>
      </w:r>
      <w:r w:rsidR="007319E3" w:rsidRPr="007644DE">
        <w:rPr>
          <w:rFonts w:ascii="Calibri Light" w:eastAsiaTheme="minorEastAsia" w:hAnsi="Calibri Light" w:cs="Arial"/>
          <w:color w:val="21286C"/>
          <w:sz w:val="21"/>
          <w:szCs w:val="20"/>
          <w:lang w:val="el-GR" w:bidi="el-GR"/>
        </w:rPr>
        <w:t xml:space="preserve">συνέχισε </w:t>
      </w:r>
      <w:r w:rsidRPr="007644DE">
        <w:rPr>
          <w:rFonts w:ascii="Calibri Light" w:eastAsiaTheme="minorEastAsia" w:hAnsi="Calibri Light" w:cs="Arial"/>
          <w:color w:val="21286C"/>
          <w:sz w:val="21"/>
          <w:szCs w:val="20"/>
          <w:lang w:val="el-GR" w:bidi="el-GR"/>
        </w:rPr>
        <w:t>να διακρίνεται</w:t>
      </w:r>
      <w:r w:rsidRPr="00C3630C">
        <w:rPr>
          <w:rFonts w:ascii="Calibri Light" w:eastAsiaTheme="minorEastAsia" w:hAnsi="Calibri Light" w:cs="Arial"/>
          <w:color w:val="21286C"/>
          <w:sz w:val="21"/>
          <w:szCs w:val="20"/>
          <w:lang w:val="el-GR" w:bidi="el-GR"/>
        </w:rPr>
        <w:t xml:space="preserve"> για τις επιδόσεις της στην αξιοποίηση εναλλακτικών καυσίμων, επιτυγχάνοντας ποσοστό θερμικής υποκατάστασης </w:t>
      </w:r>
      <w:r w:rsidR="00B22A5D" w:rsidRPr="00C3630C">
        <w:rPr>
          <w:rFonts w:ascii="Calibri Light" w:eastAsiaTheme="minorEastAsia" w:hAnsi="Calibri Light" w:cs="Arial"/>
          <w:color w:val="21286C"/>
          <w:sz w:val="21"/>
          <w:szCs w:val="20"/>
          <w:lang w:val="el-GR" w:bidi="el-GR"/>
        </w:rPr>
        <w:t xml:space="preserve">65% για </w:t>
      </w:r>
      <w:r w:rsidRPr="00C3630C">
        <w:rPr>
          <w:rFonts w:ascii="Calibri Light" w:eastAsiaTheme="minorEastAsia" w:hAnsi="Calibri Light" w:cs="Arial"/>
          <w:color w:val="21286C"/>
          <w:sz w:val="21"/>
          <w:szCs w:val="20"/>
          <w:lang w:val="el-GR" w:bidi="el-GR"/>
        </w:rPr>
        <w:t xml:space="preserve">τέσσερις συνεχόμενους μήνες, ενώ η </w:t>
      </w:r>
      <w:r w:rsidRPr="00260874">
        <w:rPr>
          <w:rFonts w:ascii="Calibri Light" w:eastAsiaTheme="minorEastAsia" w:hAnsi="Calibri Light" w:cs="Arial"/>
          <w:color w:val="21286C"/>
          <w:sz w:val="21"/>
          <w:szCs w:val="20"/>
          <w:lang w:val="el-GR" w:bidi="el-GR"/>
        </w:rPr>
        <w:t>φωτοβολταϊκή μονάδα</w:t>
      </w:r>
      <w:r w:rsidRPr="00C3630C">
        <w:rPr>
          <w:rFonts w:ascii="Calibri Light" w:eastAsiaTheme="minorEastAsia" w:hAnsi="Calibri Light" w:cs="Arial"/>
          <w:color w:val="21286C"/>
          <w:sz w:val="21"/>
          <w:szCs w:val="20"/>
          <w:lang w:val="el-GR" w:bidi="el-GR"/>
        </w:rPr>
        <w:t xml:space="preserve"> </w:t>
      </w:r>
      <w:r w:rsidR="00B22A5D" w:rsidRPr="00C3630C">
        <w:rPr>
          <w:rFonts w:ascii="Calibri Light" w:eastAsiaTheme="minorEastAsia" w:hAnsi="Calibri Light" w:cs="Arial"/>
          <w:color w:val="21286C"/>
          <w:sz w:val="21"/>
          <w:szCs w:val="20"/>
          <w:lang w:val="el-GR" w:bidi="el-GR"/>
        </w:rPr>
        <w:t xml:space="preserve">ισχύος </w:t>
      </w:r>
      <w:r w:rsidRPr="00C3630C">
        <w:rPr>
          <w:rFonts w:ascii="Calibri Light" w:eastAsiaTheme="minorEastAsia" w:hAnsi="Calibri Light" w:cs="Arial"/>
          <w:color w:val="21286C"/>
          <w:sz w:val="21"/>
          <w:szCs w:val="20"/>
          <w:lang w:val="el-GR" w:bidi="el-GR"/>
        </w:rPr>
        <w:t xml:space="preserve">5MW κάλυψε περίπου το 13% των ενεργειακών αναγκών της εταιρίας. Συνολικά, τα θεμελιώδη μεγέθη του γεωγραφικού τομέα παραμένουν ισχυρά </w:t>
      </w:r>
      <w:r w:rsidR="009C661C">
        <w:rPr>
          <w:rFonts w:ascii="Calibri Light" w:eastAsiaTheme="minorEastAsia" w:hAnsi="Calibri Light" w:cs="Arial"/>
          <w:color w:val="21286C"/>
          <w:sz w:val="21"/>
          <w:szCs w:val="20"/>
          <w:lang w:val="el-GR" w:bidi="el-GR"/>
        </w:rPr>
        <w:t>χάρη στη</w:t>
      </w:r>
      <w:r w:rsidRPr="00C3630C">
        <w:rPr>
          <w:rFonts w:ascii="Calibri Light" w:eastAsiaTheme="minorEastAsia" w:hAnsi="Calibri Light" w:cs="Arial"/>
          <w:color w:val="21286C"/>
          <w:sz w:val="21"/>
          <w:szCs w:val="20"/>
          <w:lang w:val="el-GR" w:bidi="el-GR"/>
        </w:rPr>
        <w:t xml:space="preserve"> συνεχιζόμενη κατασκευαστική δραστηριότητα σε έργα υποδομών και στον κλάδο κατοικίας, καθώς και </w:t>
      </w:r>
      <w:r w:rsidR="00541097">
        <w:rPr>
          <w:rFonts w:ascii="Calibri Light" w:eastAsiaTheme="minorEastAsia" w:hAnsi="Calibri Light" w:cs="Arial"/>
          <w:color w:val="21286C"/>
          <w:sz w:val="21"/>
          <w:szCs w:val="20"/>
          <w:lang w:val="el-GR" w:bidi="el-GR"/>
        </w:rPr>
        <w:t>σ</w:t>
      </w:r>
      <w:r w:rsidRPr="00C3630C">
        <w:rPr>
          <w:rFonts w:ascii="Calibri Light" w:eastAsiaTheme="minorEastAsia" w:hAnsi="Calibri Light" w:cs="Arial"/>
          <w:color w:val="21286C"/>
          <w:sz w:val="21"/>
          <w:szCs w:val="20"/>
          <w:lang w:val="el-GR" w:bidi="el-GR"/>
        </w:rPr>
        <w:t>την υλοποίηση διασυνοριακών έργων μεταφορών</w:t>
      </w:r>
      <w:r w:rsidR="003E5DE6" w:rsidRPr="00C3630C">
        <w:rPr>
          <w:rFonts w:ascii="Calibri Light" w:eastAsiaTheme="minorEastAsia" w:hAnsi="Calibri Light" w:cs="Arial"/>
          <w:color w:val="21286C"/>
          <w:sz w:val="21"/>
          <w:szCs w:val="20"/>
          <w:lang w:val="el-GR" w:bidi="el-GR"/>
        </w:rPr>
        <w:t xml:space="preserve"> μεγάλης κλίμακας</w:t>
      </w:r>
      <w:r w:rsidRPr="00C3630C">
        <w:rPr>
          <w:rFonts w:ascii="Calibri Light" w:eastAsiaTheme="minorEastAsia" w:hAnsi="Calibri Light" w:cs="Arial"/>
          <w:color w:val="21286C"/>
          <w:sz w:val="21"/>
          <w:szCs w:val="20"/>
          <w:lang w:val="el-GR" w:bidi="el-GR"/>
        </w:rPr>
        <w:t xml:space="preserve">. Αντικατοπτρίζοντας τη μακροπρόθεσμη αναπτυξιακή δυναμική </w:t>
      </w:r>
      <w:r w:rsidR="003E5DE6" w:rsidRPr="00C3630C">
        <w:rPr>
          <w:rFonts w:ascii="Calibri Light" w:eastAsiaTheme="minorEastAsia" w:hAnsi="Calibri Light" w:cs="Arial"/>
          <w:color w:val="21286C"/>
          <w:sz w:val="21"/>
          <w:szCs w:val="20"/>
          <w:lang w:val="el-GR" w:bidi="el-GR"/>
        </w:rPr>
        <w:t xml:space="preserve">της περιοχής, </w:t>
      </w:r>
      <w:r w:rsidRPr="00C3630C">
        <w:rPr>
          <w:rFonts w:ascii="Calibri Light" w:eastAsiaTheme="minorEastAsia" w:hAnsi="Calibri Light" w:cs="Arial"/>
          <w:color w:val="21286C"/>
          <w:sz w:val="21"/>
          <w:szCs w:val="20"/>
          <w:lang w:val="el-GR" w:bidi="el-GR"/>
        </w:rPr>
        <w:t xml:space="preserve">ο Όμιλος ΤΙΤΑΝ προέβη στη σύσταση κοινοπραξίας με την εταιρία δομικών υλικών </w:t>
      </w:r>
      <w:proofErr w:type="spellStart"/>
      <w:r w:rsidRPr="00C3630C">
        <w:rPr>
          <w:rFonts w:ascii="Calibri Light" w:eastAsiaTheme="minorEastAsia" w:hAnsi="Calibri Light" w:cs="Arial"/>
          <w:color w:val="21286C"/>
          <w:sz w:val="21"/>
          <w:szCs w:val="20"/>
          <w:lang w:val="el-GR" w:bidi="el-GR"/>
        </w:rPr>
        <w:t>Molins</w:t>
      </w:r>
      <w:proofErr w:type="spellEnd"/>
      <w:r w:rsidRPr="00C3630C">
        <w:rPr>
          <w:rFonts w:ascii="Calibri Light" w:eastAsiaTheme="minorEastAsia" w:hAnsi="Calibri Light" w:cs="Arial"/>
          <w:color w:val="21286C"/>
          <w:sz w:val="21"/>
          <w:szCs w:val="20"/>
          <w:lang w:val="el-GR" w:bidi="el-GR"/>
        </w:rPr>
        <w:t xml:space="preserve"> </w:t>
      </w:r>
      <w:r w:rsidR="00B26763">
        <w:rPr>
          <w:rFonts w:ascii="Calibri Light" w:eastAsiaTheme="minorEastAsia" w:hAnsi="Calibri Light" w:cs="Arial"/>
          <w:color w:val="21286C"/>
          <w:sz w:val="21"/>
          <w:szCs w:val="20"/>
          <w:lang w:val="el-GR" w:bidi="el-GR"/>
        </w:rPr>
        <w:t>όπως αναφέρθηκε προηγουμένως.</w:t>
      </w:r>
      <w:r w:rsidRPr="00C3630C">
        <w:rPr>
          <w:rFonts w:ascii="Calibri Light" w:eastAsiaTheme="minorEastAsia" w:hAnsi="Calibri Light" w:cs="Arial"/>
          <w:color w:val="21286C"/>
          <w:sz w:val="21"/>
          <w:szCs w:val="20"/>
          <w:lang w:val="el-GR" w:bidi="el-GR"/>
        </w:rPr>
        <w:t xml:space="preserve"> </w:t>
      </w:r>
      <w:r w:rsidR="004A071D" w:rsidRPr="00C3630C">
        <w:rPr>
          <w:rFonts w:ascii="Calibri Light" w:eastAsiaTheme="minorEastAsia" w:hAnsi="Calibri Light" w:cs="Arial"/>
          <w:color w:val="21286C"/>
          <w:sz w:val="21"/>
          <w:szCs w:val="20"/>
          <w:lang w:val="el-GR" w:bidi="el-GR"/>
        </w:rPr>
        <w:t>Η</w:t>
      </w:r>
      <w:r w:rsidRPr="00C3630C">
        <w:rPr>
          <w:rFonts w:ascii="Calibri Light" w:eastAsiaTheme="minorEastAsia" w:hAnsi="Calibri Light" w:cs="Arial"/>
          <w:color w:val="21286C"/>
          <w:sz w:val="21"/>
          <w:szCs w:val="20"/>
          <w:lang w:val="el-GR" w:bidi="el-GR"/>
        </w:rPr>
        <w:t xml:space="preserve"> κίνηση </w:t>
      </w:r>
      <w:r w:rsidR="004A071D" w:rsidRPr="00C3630C">
        <w:rPr>
          <w:rFonts w:ascii="Calibri Light" w:eastAsiaTheme="minorEastAsia" w:hAnsi="Calibri Light" w:cs="Arial"/>
          <w:color w:val="21286C"/>
          <w:sz w:val="21"/>
          <w:szCs w:val="20"/>
          <w:lang w:val="el-GR" w:bidi="el-GR"/>
        </w:rPr>
        <w:t xml:space="preserve">αυτή </w:t>
      </w:r>
      <w:r w:rsidRPr="00C3630C">
        <w:rPr>
          <w:rFonts w:ascii="Calibri Light" w:eastAsiaTheme="minorEastAsia" w:hAnsi="Calibri Light" w:cs="Arial"/>
          <w:color w:val="21286C"/>
          <w:sz w:val="21"/>
          <w:szCs w:val="20"/>
          <w:lang w:val="el-GR" w:bidi="el-GR"/>
        </w:rPr>
        <w:t>αποτελεί σημαντικό βήμα για την επέκταση του γεωγραφικού αποτυπώματος του Ομίλου στον ταχέως αναπτυσσόμενο κατασκευαστικό κλάδο της Νοτιοανατολικής Ευρώπης και διευρύνει τη σειρά προϊόντων που διαθέτει ο ΤΙΤΑΝ με την προσθήκη δομικών λύσε</w:t>
      </w:r>
      <w:r w:rsidR="00F06249" w:rsidRPr="00C3630C">
        <w:rPr>
          <w:rFonts w:ascii="Calibri Light" w:eastAsiaTheme="minorEastAsia" w:hAnsi="Calibri Light" w:cs="Arial"/>
          <w:color w:val="21286C"/>
          <w:sz w:val="21"/>
          <w:szCs w:val="20"/>
          <w:lang w:val="el-GR" w:bidi="el-GR"/>
        </w:rPr>
        <w:t>ων προστιθέμενης</w:t>
      </w:r>
      <w:r w:rsidRPr="00C3630C">
        <w:rPr>
          <w:rFonts w:ascii="Calibri Light" w:eastAsiaTheme="minorEastAsia" w:hAnsi="Calibri Light" w:cs="Arial"/>
          <w:color w:val="21286C"/>
          <w:sz w:val="21"/>
          <w:szCs w:val="20"/>
          <w:lang w:val="el-GR" w:bidi="el-GR"/>
        </w:rPr>
        <w:t xml:space="preserve"> αξίας. Οι πωλήσεις του γεωγραφικού τομέα κατά το εννεάμηνο του 2025 διαμορφώθηκαν σε €</w:t>
      </w:r>
      <w:r w:rsidR="00400797" w:rsidRPr="00C3630C">
        <w:rPr>
          <w:rFonts w:ascii="Calibri Light" w:eastAsiaTheme="minorEastAsia" w:hAnsi="Calibri Light" w:cs="Arial"/>
          <w:color w:val="21286C"/>
          <w:sz w:val="21"/>
          <w:szCs w:val="20"/>
          <w:lang w:val="el-GR" w:bidi="el-GR"/>
        </w:rPr>
        <w:t>313,1</w:t>
      </w:r>
      <w:r w:rsidRPr="00C3630C">
        <w:rPr>
          <w:rFonts w:ascii="Calibri Light" w:eastAsiaTheme="minorEastAsia" w:hAnsi="Calibri Light" w:cs="Arial"/>
          <w:color w:val="21286C"/>
          <w:sz w:val="21"/>
          <w:szCs w:val="20"/>
          <w:lang w:val="el-GR" w:bidi="el-GR"/>
        </w:rPr>
        <w:t xml:space="preserve"> εκ. έναντι €</w:t>
      </w:r>
      <w:r w:rsidR="00400797" w:rsidRPr="00C3630C">
        <w:rPr>
          <w:rFonts w:ascii="Calibri Light" w:eastAsiaTheme="minorEastAsia" w:hAnsi="Calibri Light" w:cs="Arial"/>
          <w:color w:val="21286C"/>
          <w:sz w:val="21"/>
          <w:szCs w:val="20"/>
          <w:lang w:val="el-GR" w:bidi="el-GR"/>
        </w:rPr>
        <w:t>315,3</w:t>
      </w:r>
      <w:r w:rsidRPr="00C3630C">
        <w:rPr>
          <w:rFonts w:ascii="Calibri Light" w:eastAsiaTheme="minorEastAsia" w:hAnsi="Calibri Light" w:cs="Arial"/>
          <w:color w:val="21286C"/>
          <w:sz w:val="21"/>
          <w:szCs w:val="20"/>
          <w:lang w:val="el-GR" w:bidi="el-GR"/>
        </w:rPr>
        <w:t xml:space="preserve"> εκ. την αντίστοιχη περίοδο το 2024, ενώ τα κέρδη EBITDA </w:t>
      </w:r>
      <w:r w:rsidR="002D68BC" w:rsidRPr="00C3630C">
        <w:rPr>
          <w:rFonts w:ascii="Calibri Light" w:eastAsiaTheme="minorEastAsia" w:hAnsi="Calibri Light" w:cs="Arial"/>
          <w:color w:val="21286C"/>
          <w:sz w:val="21"/>
          <w:szCs w:val="20"/>
          <w:lang w:val="el-GR" w:bidi="el-GR"/>
        </w:rPr>
        <w:t xml:space="preserve">ανήλθαν </w:t>
      </w:r>
      <w:r w:rsidRPr="00C3630C">
        <w:rPr>
          <w:rFonts w:ascii="Calibri Light" w:eastAsiaTheme="minorEastAsia" w:hAnsi="Calibri Light" w:cs="Arial"/>
          <w:color w:val="21286C"/>
          <w:sz w:val="21"/>
          <w:szCs w:val="20"/>
          <w:lang w:val="el-GR" w:bidi="el-GR"/>
        </w:rPr>
        <w:t>σε €</w:t>
      </w:r>
      <w:r w:rsidR="00174A65" w:rsidRPr="00C3630C">
        <w:rPr>
          <w:rFonts w:ascii="Calibri Light" w:eastAsiaTheme="minorEastAsia" w:hAnsi="Calibri Light" w:cs="Arial"/>
          <w:color w:val="21286C"/>
          <w:sz w:val="21"/>
          <w:szCs w:val="20"/>
          <w:lang w:val="el-GR" w:bidi="el-GR"/>
        </w:rPr>
        <w:t>114,5</w:t>
      </w:r>
      <w:r w:rsidRPr="00C3630C">
        <w:rPr>
          <w:rFonts w:ascii="Calibri Light" w:eastAsiaTheme="minorEastAsia" w:hAnsi="Calibri Light" w:cs="Arial"/>
          <w:color w:val="21286C"/>
          <w:sz w:val="21"/>
          <w:szCs w:val="20"/>
          <w:lang w:val="el-GR" w:bidi="el-GR"/>
        </w:rPr>
        <w:t xml:space="preserve"> εκ.</w:t>
      </w:r>
    </w:p>
    <w:p w14:paraId="5254BD8D" w14:textId="77777777" w:rsidR="00BB49F2" w:rsidRPr="00C3630C" w:rsidRDefault="00BB49F2" w:rsidP="00F06BBE">
      <w:pPr>
        <w:jc w:val="both"/>
        <w:rPr>
          <w:rFonts w:ascii="Calibri" w:hAnsi="Calibri" w:cs="Arial"/>
          <w:b/>
          <w:color w:val="21286C"/>
          <w:sz w:val="14"/>
          <w:szCs w:val="12"/>
          <w:lang w:val="el-GR" w:bidi="el-GR"/>
        </w:rPr>
      </w:pPr>
    </w:p>
    <w:p w14:paraId="378C8793" w14:textId="716937FC" w:rsidR="006C1F62" w:rsidRPr="00C3630C" w:rsidRDefault="006C1F62" w:rsidP="00F06BBE">
      <w:pPr>
        <w:jc w:val="both"/>
        <w:rPr>
          <w:rFonts w:ascii="Calibri" w:eastAsia="Calibri" w:hAnsi="Calibri" w:cs="Calibri"/>
          <w:b/>
          <w:color w:val="01B1D7"/>
          <w:sz w:val="28"/>
          <w:szCs w:val="28"/>
          <w:lang w:val="el-GR"/>
        </w:rPr>
      </w:pPr>
      <w:r w:rsidRPr="00C3630C">
        <w:rPr>
          <w:rFonts w:ascii="Calibri" w:eastAsia="Calibri" w:hAnsi="Calibri" w:cs="Calibri"/>
          <w:b/>
          <w:color w:val="01B1D7"/>
          <w:sz w:val="28"/>
          <w:szCs w:val="28"/>
          <w:lang w:val="el-GR"/>
        </w:rPr>
        <w:lastRenderedPageBreak/>
        <w:t>Ανατολική Μεσόγειος</w:t>
      </w:r>
    </w:p>
    <w:p w14:paraId="1B31493B" w14:textId="2F5B4A2D" w:rsidR="00C33761" w:rsidRPr="00C3630C" w:rsidRDefault="00E40BA4" w:rsidP="00C33761">
      <w:pPr>
        <w:jc w:val="both"/>
        <w:rPr>
          <w:rFonts w:ascii="Calibri Light" w:eastAsiaTheme="minorEastAsia" w:hAnsi="Calibri Light" w:cs="Arial"/>
          <w:color w:val="21286C"/>
          <w:sz w:val="21"/>
          <w:szCs w:val="20"/>
          <w:lang w:val="el-GR" w:bidi="el-GR"/>
        </w:rPr>
      </w:pPr>
      <w:r w:rsidRPr="00C3630C">
        <w:rPr>
          <w:rFonts w:ascii="Calibri Light" w:eastAsiaTheme="minorEastAsia" w:hAnsi="Calibri Light" w:cs="Arial"/>
          <w:color w:val="21286C"/>
          <w:sz w:val="21"/>
          <w:szCs w:val="20"/>
          <w:lang w:val="el-GR" w:bidi="el-GR"/>
        </w:rPr>
        <w:t xml:space="preserve">Η Αίγυπτος συνέχισε την αναπτυξιακή πορεία </w:t>
      </w:r>
      <w:r w:rsidR="00C13CED">
        <w:rPr>
          <w:rFonts w:ascii="Calibri Light" w:eastAsiaTheme="minorEastAsia" w:hAnsi="Calibri Light" w:cs="Arial"/>
          <w:color w:val="21286C"/>
          <w:sz w:val="21"/>
          <w:szCs w:val="20"/>
          <w:lang w:val="el-GR" w:bidi="el-GR"/>
        </w:rPr>
        <w:t>η οποία</w:t>
      </w:r>
      <w:r w:rsidR="00C13CED" w:rsidRPr="00C3630C">
        <w:rPr>
          <w:rFonts w:ascii="Calibri Light" w:eastAsiaTheme="minorEastAsia" w:hAnsi="Calibri Light" w:cs="Arial"/>
          <w:color w:val="21286C"/>
          <w:sz w:val="21"/>
          <w:szCs w:val="20"/>
          <w:lang w:val="el-GR" w:bidi="el-GR"/>
        </w:rPr>
        <w:t xml:space="preserve"> </w:t>
      </w:r>
      <w:r w:rsidRPr="00C3630C">
        <w:rPr>
          <w:rFonts w:ascii="Calibri Light" w:eastAsiaTheme="minorEastAsia" w:hAnsi="Calibri Light" w:cs="Arial"/>
          <w:color w:val="21286C"/>
          <w:sz w:val="21"/>
          <w:szCs w:val="20"/>
          <w:lang w:val="el-GR" w:bidi="el-GR"/>
        </w:rPr>
        <w:t>ξεκίνησε φέτος</w:t>
      </w:r>
      <w:r w:rsidR="00C33761" w:rsidRPr="00C3630C">
        <w:rPr>
          <w:rFonts w:ascii="Calibri Light" w:eastAsiaTheme="minorEastAsia" w:hAnsi="Calibri Light" w:cs="Arial"/>
          <w:color w:val="21286C"/>
          <w:sz w:val="21"/>
          <w:szCs w:val="20"/>
          <w:lang w:val="el-GR" w:bidi="el-GR"/>
        </w:rPr>
        <w:t xml:space="preserve">, αξιοποιώντας τόσο την </w:t>
      </w:r>
      <w:r w:rsidR="00C13CED">
        <w:rPr>
          <w:rFonts w:ascii="Calibri Light" w:eastAsiaTheme="minorEastAsia" w:hAnsi="Calibri Light" w:cs="Arial"/>
          <w:color w:val="21286C"/>
          <w:sz w:val="21"/>
          <w:szCs w:val="20"/>
          <w:lang w:val="el-GR" w:bidi="el-GR"/>
        </w:rPr>
        <w:t>ισχυρή</w:t>
      </w:r>
      <w:r w:rsidR="00C13CED" w:rsidRPr="00C3630C">
        <w:rPr>
          <w:rFonts w:ascii="Calibri Light" w:eastAsiaTheme="minorEastAsia" w:hAnsi="Calibri Light" w:cs="Arial"/>
          <w:color w:val="21286C"/>
          <w:sz w:val="21"/>
          <w:szCs w:val="20"/>
          <w:lang w:val="el-GR" w:bidi="el-GR"/>
        </w:rPr>
        <w:t xml:space="preserve"> </w:t>
      </w:r>
      <w:r w:rsidR="00C33761" w:rsidRPr="00C3630C">
        <w:rPr>
          <w:rFonts w:ascii="Calibri Light" w:eastAsiaTheme="minorEastAsia" w:hAnsi="Calibri Light" w:cs="Arial"/>
          <w:color w:val="21286C"/>
          <w:sz w:val="21"/>
          <w:szCs w:val="20"/>
          <w:lang w:val="el-GR" w:bidi="el-GR"/>
        </w:rPr>
        <w:t xml:space="preserve">εγχώρια ζήτηση </w:t>
      </w:r>
      <w:r w:rsidR="002B1B25" w:rsidRPr="00C3630C">
        <w:rPr>
          <w:rFonts w:ascii="Calibri Light" w:eastAsiaTheme="minorEastAsia" w:hAnsi="Calibri Light" w:cs="Arial"/>
          <w:color w:val="21286C"/>
          <w:sz w:val="21"/>
          <w:szCs w:val="20"/>
          <w:lang w:val="el-GR" w:bidi="el-GR"/>
        </w:rPr>
        <w:t xml:space="preserve">όσο και τον αυξανόμενο </w:t>
      </w:r>
      <w:r w:rsidR="005D6C9A">
        <w:rPr>
          <w:rFonts w:ascii="Calibri Light" w:eastAsiaTheme="minorEastAsia" w:hAnsi="Calibri Light" w:cs="Arial"/>
          <w:color w:val="21286C"/>
          <w:sz w:val="21"/>
          <w:szCs w:val="20"/>
          <w:lang w:val="el-GR" w:bidi="el-GR"/>
        </w:rPr>
        <w:t xml:space="preserve">εξαγωγικό </w:t>
      </w:r>
      <w:r w:rsidR="002B1B25" w:rsidRPr="00C3630C">
        <w:rPr>
          <w:rFonts w:ascii="Calibri Light" w:eastAsiaTheme="minorEastAsia" w:hAnsi="Calibri Light" w:cs="Arial"/>
          <w:color w:val="21286C"/>
          <w:sz w:val="21"/>
          <w:szCs w:val="20"/>
          <w:lang w:val="el-GR" w:bidi="el-GR"/>
        </w:rPr>
        <w:t xml:space="preserve">ρόλο της χώρας. </w:t>
      </w:r>
      <w:r w:rsidR="00C33761" w:rsidRPr="00C3630C">
        <w:rPr>
          <w:rFonts w:ascii="Calibri Light" w:eastAsiaTheme="minorEastAsia" w:hAnsi="Calibri Light" w:cs="Arial"/>
          <w:color w:val="21286C"/>
          <w:sz w:val="21"/>
          <w:szCs w:val="20"/>
          <w:lang w:val="el-GR" w:bidi="el-GR"/>
        </w:rPr>
        <w:t xml:space="preserve">Οι υψηλότεροι όγκοι εγχώριων πωλήσεων και εξαγωγών, σε συνδυασμό με τα βελτιωμένα επίπεδα τιμών, συνέβαλαν στην επίτευξη </w:t>
      </w:r>
      <w:r w:rsidR="00594DCB" w:rsidRPr="00C3630C">
        <w:rPr>
          <w:rFonts w:ascii="Calibri Light" w:eastAsiaTheme="minorEastAsia" w:hAnsi="Calibri Light" w:cs="Arial"/>
          <w:color w:val="21286C"/>
          <w:sz w:val="21"/>
          <w:szCs w:val="20"/>
          <w:lang w:val="el-GR" w:bidi="el-GR"/>
        </w:rPr>
        <w:t xml:space="preserve">σημαντικά ισχυρότερων </w:t>
      </w:r>
      <w:r w:rsidR="00C33761" w:rsidRPr="00C3630C">
        <w:rPr>
          <w:rFonts w:ascii="Calibri Light" w:eastAsiaTheme="minorEastAsia" w:hAnsi="Calibri Light" w:cs="Arial"/>
          <w:color w:val="21286C"/>
          <w:sz w:val="21"/>
          <w:szCs w:val="20"/>
          <w:lang w:val="el-GR" w:bidi="el-GR"/>
        </w:rPr>
        <w:t xml:space="preserve">επιδόσεων. </w:t>
      </w:r>
      <w:r w:rsidR="007E1F6F" w:rsidRPr="00C3630C">
        <w:rPr>
          <w:rFonts w:ascii="Calibri Light" w:eastAsiaTheme="minorEastAsia" w:hAnsi="Calibri Light" w:cs="Arial"/>
          <w:color w:val="21286C"/>
          <w:sz w:val="21"/>
          <w:szCs w:val="20"/>
          <w:lang w:val="el-GR" w:bidi="el-GR"/>
        </w:rPr>
        <w:t>Οι κατασκευές σ</w:t>
      </w:r>
      <w:r w:rsidR="00C33761" w:rsidRPr="00C3630C">
        <w:rPr>
          <w:rFonts w:ascii="Calibri Light" w:eastAsiaTheme="minorEastAsia" w:hAnsi="Calibri Light" w:cs="Arial"/>
          <w:color w:val="21286C"/>
          <w:sz w:val="21"/>
          <w:szCs w:val="20"/>
          <w:lang w:val="el-GR" w:bidi="el-GR"/>
        </w:rPr>
        <w:t xml:space="preserve">τον κλάδο εμπορικών ακινήτων και </w:t>
      </w:r>
      <w:r w:rsidR="007E1F6F" w:rsidRPr="00C3630C">
        <w:rPr>
          <w:rFonts w:ascii="Calibri Light" w:eastAsiaTheme="minorEastAsia" w:hAnsi="Calibri Light" w:cs="Arial"/>
          <w:color w:val="21286C"/>
          <w:sz w:val="21"/>
          <w:szCs w:val="20"/>
          <w:lang w:val="el-GR" w:bidi="el-GR"/>
        </w:rPr>
        <w:t xml:space="preserve">τουρισμού </w:t>
      </w:r>
      <w:r w:rsidR="00420C52" w:rsidRPr="00C3630C">
        <w:rPr>
          <w:rFonts w:ascii="Calibri Light" w:eastAsiaTheme="minorEastAsia" w:hAnsi="Calibri Light" w:cs="Arial"/>
          <w:color w:val="21286C"/>
          <w:sz w:val="21"/>
          <w:szCs w:val="20"/>
          <w:lang w:val="el-GR" w:bidi="el-GR"/>
        </w:rPr>
        <w:t xml:space="preserve">παραμένουν οι ταχύτερα </w:t>
      </w:r>
      <w:r w:rsidR="00C33761" w:rsidRPr="00C3630C">
        <w:rPr>
          <w:rFonts w:ascii="Calibri Light" w:eastAsiaTheme="minorEastAsia" w:hAnsi="Calibri Light" w:cs="Arial"/>
          <w:color w:val="21286C"/>
          <w:sz w:val="21"/>
          <w:szCs w:val="20"/>
          <w:lang w:val="el-GR" w:bidi="el-GR"/>
        </w:rPr>
        <w:t xml:space="preserve">αναπτυσσόμενοι τομείς, χάρη στις στηριζόμενες </w:t>
      </w:r>
      <w:r w:rsidR="00C931E9">
        <w:rPr>
          <w:rFonts w:ascii="Calibri Light" w:eastAsiaTheme="minorEastAsia" w:hAnsi="Calibri Light" w:cs="Arial"/>
          <w:color w:val="21286C"/>
          <w:sz w:val="21"/>
          <w:szCs w:val="20"/>
          <w:lang w:val="el-GR" w:bidi="el-GR"/>
        </w:rPr>
        <w:t xml:space="preserve">ξένες επενδύσεις </w:t>
      </w:r>
      <w:r w:rsidR="00C33761" w:rsidRPr="00C3630C">
        <w:rPr>
          <w:rFonts w:ascii="Calibri Light" w:eastAsiaTheme="minorEastAsia" w:hAnsi="Calibri Light" w:cs="Arial"/>
          <w:color w:val="21286C"/>
          <w:sz w:val="21"/>
          <w:szCs w:val="20"/>
          <w:lang w:val="el-GR" w:bidi="el-GR"/>
        </w:rPr>
        <w:t xml:space="preserve">από τις χώρες του Κόλπου και </w:t>
      </w:r>
      <w:r w:rsidR="00C33761" w:rsidRPr="00AD6B9A">
        <w:rPr>
          <w:rFonts w:ascii="Calibri Light" w:eastAsiaTheme="minorEastAsia" w:hAnsi="Calibri Light" w:cs="Arial"/>
          <w:color w:val="21286C"/>
          <w:sz w:val="21"/>
          <w:szCs w:val="20"/>
          <w:lang w:val="el-GR" w:bidi="el-GR"/>
        </w:rPr>
        <w:t>τη στρατηγική θέση της Αιγύπτου ως κομβικού σημείου</w:t>
      </w:r>
      <w:r w:rsidR="00C33761" w:rsidRPr="00C3630C">
        <w:rPr>
          <w:rFonts w:ascii="Calibri Light" w:eastAsiaTheme="minorEastAsia" w:hAnsi="Calibri Light" w:cs="Arial"/>
          <w:color w:val="21286C"/>
          <w:sz w:val="21"/>
          <w:szCs w:val="20"/>
          <w:lang w:val="el-GR" w:bidi="el-GR"/>
        </w:rPr>
        <w:t xml:space="preserve"> για τον τουρισμό και τα δίκτυα διανομής. </w:t>
      </w:r>
      <w:r w:rsidR="00742FB0" w:rsidRPr="00C3630C">
        <w:rPr>
          <w:rFonts w:ascii="Calibri Light" w:eastAsiaTheme="minorEastAsia" w:hAnsi="Calibri Light" w:cs="Arial"/>
          <w:color w:val="21286C"/>
          <w:sz w:val="21"/>
          <w:szCs w:val="20"/>
          <w:lang w:val="el-GR" w:bidi="el-GR"/>
        </w:rPr>
        <w:t xml:space="preserve">Μεταξύ των βασικών έργων περιλαμβάνονται η ανάπτυξη του </w:t>
      </w:r>
      <w:r w:rsidR="00742FB0" w:rsidRPr="00AD6B9A">
        <w:rPr>
          <w:rFonts w:ascii="Calibri Light" w:eastAsiaTheme="minorEastAsia" w:hAnsi="Calibri Light" w:cs="Arial"/>
          <w:color w:val="21286C"/>
          <w:sz w:val="21"/>
          <w:szCs w:val="20"/>
          <w:lang w:bidi="el-GR"/>
        </w:rPr>
        <w:t>Ras</w:t>
      </w:r>
      <w:r w:rsidR="00742FB0" w:rsidRPr="00AD6B9A">
        <w:rPr>
          <w:rFonts w:ascii="Calibri Light" w:eastAsiaTheme="minorEastAsia" w:hAnsi="Calibri Light" w:cs="Arial"/>
          <w:color w:val="21286C"/>
          <w:sz w:val="21"/>
          <w:szCs w:val="20"/>
          <w:lang w:val="el-GR" w:bidi="el-GR"/>
        </w:rPr>
        <w:t xml:space="preserve"> </w:t>
      </w:r>
      <w:r w:rsidR="00742FB0" w:rsidRPr="00AD6B9A">
        <w:rPr>
          <w:rFonts w:ascii="Calibri Light" w:eastAsiaTheme="minorEastAsia" w:hAnsi="Calibri Light" w:cs="Arial"/>
          <w:color w:val="21286C"/>
          <w:sz w:val="21"/>
          <w:szCs w:val="20"/>
          <w:lang w:bidi="el-GR"/>
        </w:rPr>
        <w:t>El</w:t>
      </w:r>
      <w:r w:rsidR="00742FB0" w:rsidRPr="00AD6B9A">
        <w:rPr>
          <w:rFonts w:ascii="Calibri Light" w:eastAsiaTheme="minorEastAsia" w:hAnsi="Calibri Light" w:cs="Arial"/>
          <w:color w:val="21286C"/>
          <w:sz w:val="21"/>
          <w:szCs w:val="20"/>
          <w:lang w:val="el-GR" w:bidi="el-GR"/>
        </w:rPr>
        <w:t xml:space="preserve"> </w:t>
      </w:r>
      <w:r w:rsidR="00742FB0" w:rsidRPr="00AD6B9A">
        <w:rPr>
          <w:rFonts w:ascii="Calibri Light" w:eastAsiaTheme="minorEastAsia" w:hAnsi="Calibri Light" w:cs="Arial"/>
          <w:color w:val="21286C"/>
          <w:sz w:val="21"/>
          <w:szCs w:val="20"/>
          <w:lang w:bidi="el-GR"/>
        </w:rPr>
        <w:t>Hekma</w:t>
      </w:r>
      <w:r w:rsidR="00742FB0" w:rsidRPr="00C3630C">
        <w:rPr>
          <w:rFonts w:ascii="Calibri Light" w:eastAsiaTheme="minorEastAsia" w:hAnsi="Calibri Light" w:cs="Arial"/>
          <w:color w:val="21286C"/>
          <w:sz w:val="21"/>
          <w:szCs w:val="20"/>
          <w:lang w:val="el-GR" w:bidi="el-GR"/>
        </w:rPr>
        <w:t xml:space="preserve">, οι εμπορικές περιοχές της Νέας Διοικητικής Πρωτεύουσας και η επέκταση της ξενοδοχειακής δυναμικότητας στις ακτές της Ερυθράς Θάλασσας και της Μεσογείου. </w:t>
      </w:r>
      <w:r w:rsidR="00C33761" w:rsidRPr="00C3630C">
        <w:rPr>
          <w:rFonts w:ascii="Calibri Light" w:eastAsiaTheme="minorEastAsia" w:hAnsi="Calibri Light" w:cs="Arial"/>
          <w:color w:val="21286C"/>
          <w:sz w:val="21"/>
          <w:szCs w:val="20"/>
          <w:lang w:val="el-GR" w:bidi="el-GR"/>
        </w:rPr>
        <w:t xml:space="preserve">Το εργοστάσιο του Ομίλου στην Αλεξάνδρεια, το οποίο </w:t>
      </w:r>
      <w:r w:rsidR="00015F7A">
        <w:rPr>
          <w:rFonts w:ascii="Calibri Light" w:eastAsiaTheme="minorEastAsia" w:hAnsi="Calibri Light" w:cs="Arial"/>
          <w:color w:val="21286C"/>
          <w:sz w:val="21"/>
          <w:szCs w:val="20"/>
          <w:lang w:val="el-GR" w:bidi="el-GR"/>
        </w:rPr>
        <w:t xml:space="preserve">- </w:t>
      </w:r>
      <w:r w:rsidR="00C33761" w:rsidRPr="00C3630C">
        <w:rPr>
          <w:rFonts w:ascii="Calibri Light" w:eastAsiaTheme="minorEastAsia" w:hAnsi="Calibri Light" w:cs="Arial"/>
          <w:color w:val="21286C"/>
          <w:sz w:val="21"/>
          <w:szCs w:val="20"/>
          <w:lang w:val="el-GR" w:bidi="el-GR"/>
        </w:rPr>
        <w:t>εν μέσω αυτής της κατασκευαστικής άνθησης</w:t>
      </w:r>
      <w:r w:rsidR="00015F7A">
        <w:rPr>
          <w:rFonts w:ascii="Calibri Light" w:eastAsiaTheme="minorEastAsia" w:hAnsi="Calibri Light" w:cs="Arial"/>
          <w:color w:val="21286C"/>
          <w:sz w:val="21"/>
          <w:szCs w:val="20"/>
          <w:lang w:val="el-GR" w:bidi="el-GR"/>
        </w:rPr>
        <w:t xml:space="preserve"> -</w:t>
      </w:r>
      <w:r w:rsidR="00C33761" w:rsidRPr="00C3630C">
        <w:rPr>
          <w:rFonts w:ascii="Calibri Light" w:eastAsiaTheme="minorEastAsia" w:hAnsi="Calibri Light" w:cs="Arial"/>
          <w:color w:val="21286C"/>
          <w:sz w:val="21"/>
          <w:szCs w:val="20"/>
          <w:lang w:val="el-GR" w:bidi="el-GR"/>
        </w:rPr>
        <w:t xml:space="preserve"> βρίσκεται σε ιδιαίτερα στρατηγικό σημείο στις βόρειες ακτές, αναδείχθηκε πλέον και σε σημαντικό κέντρο εξαγωγών χάρη στην εγγύτητά του προς το λιμάνι. Ο Όμιλος επενδύει στην επέκταση των αποθηκευτικών του εγκαταστάσεων προκειμένου να ενισχύσει την ευελιξία του, ώστε το εργοστάσιο να </w:t>
      </w:r>
      <w:r w:rsidR="00BB20CB" w:rsidRPr="00C3630C">
        <w:rPr>
          <w:rFonts w:ascii="Calibri Light" w:eastAsiaTheme="minorEastAsia" w:hAnsi="Calibri Light" w:cs="Arial"/>
          <w:color w:val="21286C"/>
          <w:sz w:val="21"/>
          <w:szCs w:val="20"/>
          <w:lang w:val="el-GR" w:bidi="el-GR"/>
        </w:rPr>
        <w:t>εξ</w:t>
      </w:r>
      <w:r w:rsidR="00C33761" w:rsidRPr="00C3630C">
        <w:rPr>
          <w:rFonts w:ascii="Calibri Light" w:eastAsiaTheme="minorEastAsia" w:hAnsi="Calibri Light" w:cs="Arial"/>
          <w:color w:val="21286C"/>
          <w:sz w:val="21"/>
          <w:szCs w:val="20"/>
          <w:lang w:val="el-GR" w:bidi="el-GR"/>
        </w:rPr>
        <w:t>υπηρετεί</w:t>
      </w:r>
      <w:r w:rsidR="00985B08">
        <w:rPr>
          <w:rFonts w:ascii="Calibri Light" w:eastAsiaTheme="minorEastAsia" w:hAnsi="Calibri Light" w:cs="Arial"/>
          <w:color w:val="21286C"/>
          <w:sz w:val="21"/>
          <w:szCs w:val="20"/>
          <w:lang w:val="el-GR" w:bidi="el-GR"/>
        </w:rPr>
        <w:t xml:space="preserve"> πιο</w:t>
      </w:r>
      <w:r w:rsidR="00C33761" w:rsidRPr="00C3630C">
        <w:rPr>
          <w:rFonts w:ascii="Calibri Light" w:eastAsiaTheme="minorEastAsia" w:hAnsi="Calibri Light" w:cs="Arial"/>
          <w:color w:val="21286C"/>
          <w:sz w:val="21"/>
          <w:szCs w:val="20"/>
          <w:lang w:val="el-GR" w:bidi="el-GR"/>
        </w:rPr>
        <w:t xml:space="preserve"> αποτελεσματικά τόσο </w:t>
      </w:r>
      <w:r w:rsidR="00DB4A1E">
        <w:rPr>
          <w:rFonts w:ascii="Calibri Light" w:eastAsiaTheme="minorEastAsia" w:hAnsi="Calibri Light" w:cs="Arial"/>
          <w:color w:val="21286C"/>
          <w:sz w:val="21"/>
          <w:szCs w:val="20"/>
          <w:lang w:val="el-GR" w:bidi="el-GR"/>
        </w:rPr>
        <w:t>την</w:t>
      </w:r>
      <w:r w:rsidR="00C33761" w:rsidRPr="00C3630C">
        <w:rPr>
          <w:rFonts w:ascii="Calibri Light" w:eastAsiaTheme="minorEastAsia" w:hAnsi="Calibri Light" w:cs="Arial"/>
          <w:color w:val="21286C"/>
          <w:sz w:val="21"/>
          <w:szCs w:val="20"/>
          <w:lang w:val="el-GR" w:bidi="el-GR"/>
        </w:rPr>
        <w:t xml:space="preserve"> εγχώρι</w:t>
      </w:r>
      <w:r w:rsidR="004C63C5">
        <w:rPr>
          <w:rFonts w:ascii="Calibri Light" w:eastAsiaTheme="minorEastAsia" w:hAnsi="Calibri Light" w:cs="Arial"/>
          <w:color w:val="21286C"/>
          <w:sz w:val="21"/>
          <w:szCs w:val="20"/>
          <w:lang w:val="el-GR" w:bidi="el-GR"/>
        </w:rPr>
        <w:t>α αγορά</w:t>
      </w:r>
      <w:r w:rsidR="00C33761" w:rsidRPr="00C3630C">
        <w:rPr>
          <w:rFonts w:ascii="Calibri Light" w:eastAsiaTheme="minorEastAsia" w:hAnsi="Calibri Light" w:cs="Arial"/>
          <w:color w:val="21286C"/>
          <w:sz w:val="21"/>
          <w:szCs w:val="20"/>
          <w:lang w:val="el-GR" w:bidi="el-GR"/>
        </w:rPr>
        <w:t xml:space="preserve"> όσο και τις εξαγωγ</w:t>
      </w:r>
      <w:r w:rsidR="004C63C5">
        <w:rPr>
          <w:rFonts w:ascii="Calibri Light" w:eastAsiaTheme="minorEastAsia" w:hAnsi="Calibri Light" w:cs="Arial"/>
          <w:color w:val="21286C"/>
          <w:sz w:val="21"/>
          <w:szCs w:val="20"/>
          <w:lang w:val="el-GR" w:bidi="el-GR"/>
        </w:rPr>
        <w:t>ές</w:t>
      </w:r>
      <w:r w:rsidR="0097295F">
        <w:rPr>
          <w:rFonts w:ascii="Calibri Light" w:eastAsiaTheme="minorEastAsia" w:hAnsi="Calibri Light" w:cs="Arial"/>
          <w:color w:val="21286C"/>
          <w:sz w:val="21"/>
          <w:szCs w:val="20"/>
          <w:lang w:val="el-GR" w:bidi="el-GR"/>
        </w:rPr>
        <w:t>, με</w:t>
      </w:r>
      <w:r w:rsidR="00BB20CB" w:rsidRPr="00C3630C">
        <w:rPr>
          <w:rFonts w:ascii="Calibri Light" w:eastAsiaTheme="minorEastAsia" w:hAnsi="Calibri Light" w:cs="Arial"/>
          <w:color w:val="21286C"/>
          <w:sz w:val="21"/>
          <w:szCs w:val="20"/>
          <w:lang w:val="el-GR" w:bidi="el-GR"/>
        </w:rPr>
        <w:t xml:space="preserve"> </w:t>
      </w:r>
      <w:r w:rsidR="0097295F">
        <w:rPr>
          <w:rFonts w:ascii="Calibri Light" w:eastAsiaTheme="minorEastAsia" w:hAnsi="Calibri Light" w:cs="Arial"/>
          <w:color w:val="21286C"/>
          <w:sz w:val="21"/>
          <w:szCs w:val="20"/>
          <w:lang w:val="el-GR" w:bidi="el-GR"/>
        </w:rPr>
        <w:t>τις</w:t>
      </w:r>
      <w:r w:rsidR="00BB20CB" w:rsidRPr="00C3630C">
        <w:rPr>
          <w:rFonts w:ascii="Calibri Light" w:eastAsiaTheme="minorEastAsia" w:hAnsi="Calibri Light" w:cs="Arial"/>
          <w:color w:val="21286C"/>
          <w:sz w:val="21"/>
          <w:szCs w:val="20"/>
          <w:lang w:val="el-GR" w:bidi="el-GR"/>
        </w:rPr>
        <w:t xml:space="preserve"> </w:t>
      </w:r>
      <w:r w:rsidR="00C33761" w:rsidRPr="00C3630C">
        <w:rPr>
          <w:rFonts w:ascii="Calibri Light" w:eastAsiaTheme="minorEastAsia" w:hAnsi="Calibri Light" w:cs="Arial"/>
          <w:color w:val="21286C"/>
          <w:sz w:val="21"/>
          <w:szCs w:val="20"/>
          <w:lang w:val="el-GR" w:bidi="el-GR"/>
        </w:rPr>
        <w:t xml:space="preserve">συγκεκριμένες επενδύσεις </w:t>
      </w:r>
      <w:r w:rsidR="0097295F">
        <w:rPr>
          <w:rFonts w:ascii="Calibri Light" w:eastAsiaTheme="minorEastAsia" w:hAnsi="Calibri Light" w:cs="Arial"/>
          <w:color w:val="21286C"/>
          <w:sz w:val="21"/>
          <w:szCs w:val="20"/>
          <w:lang w:val="el-GR" w:bidi="el-GR"/>
        </w:rPr>
        <w:t xml:space="preserve">να </w:t>
      </w:r>
      <w:r w:rsidR="00C33761" w:rsidRPr="00C3630C">
        <w:rPr>
          <w:rFonts w:ascii="Calibri Light" w:eastAsiaTheme="minorEastAsia" w:hAnsi="Calibri Light" w:cs="Arial"/>
          <w:color w:val="21286C"/>
          <w:sz w:val="21"/>
          <w:szCs w:val="20"/>
          <w:lang w:val="el-GR" w:bidi="el-GR"/>
        </w:rPr>
        <w:t xml:space="preserve">αναμένεται να ολοκληρωθούν </w:t>
      </w:r>
      <w:r w:rsidR="00985B08">
        <w:rPr>
          <w:rFonts w:ascii="Calibri Light" w:eastAsiaTheme="minorEastAsia" w:hAnsi="Calibri Light" w:cs="Arial"/>
          <w:color w:val="21286C"/>
          <w:sz w:val="21"/>
          <w:szCs w:val="20"/>
          <w:lang w:val="el-GR" w:bidi="el-GR"/>
        </w:rPr>
        <w:t>στα</w:t>
      </w:r>
      <w:r w:rsidR="00C33761" w:rsidRPr="00C3630C">
        <w:rPr>
          <w:rFonts w:ascii="Calibri Light" w:eastAsiaTheme="minorEastAsia" w:hAnsi="Calibri Light" w:cs="Arial"/>
          <w:color w:val="21286C"/>
          <w:sz w:val="21"/>
          <w:szCs w:val="20"/>
          <w:lang w:val="el-GR" w:bidi="el-GR"/>
        </w:rPr>
        <w:t xml:space="preserve"> τέλη του έτους</w:t>
      </w:r>
      <w:r w:rsidR="00405CA3" w:rsidRPr="00C3630C">
        <w:rPr>
          <w:rFonts w:ascii="Calibri Light" w:eastAsiaTheme="minorEastAsia" w:hAnsi="Calibri Light" w:cs="Arial"/>
          <w:color w:val="21286C"/>
          <w:sz w:val="21"/>
          <w:szCs w:val="20"/>
          <w:lang w:val="el-GR" w:bidi="el-GR"/>
        </w:rPr>
        <w:t>.</w:t>
      </w:r>
      <w:r w:rsidR="00C33761" w:rsidRPr="00C3630C">
        <w:rPr>
          <w:rFonts w:ascii="Calibri Light" w:eastAsiaTheme="minorEastAsia" w:hAnsi="Calibri Light" w:cs="Arial"/>
          <w:color w:val="21286C"/>
          <w:sz w:val="21"/>
          <w:szCs w:val="20"/>
          <w:lang w:val="el-GR" w:bidi="el-GR"/>
        </w:rPr>
        <w:t xml:space="preserve"> Στην Τουρκία, η δραστηριότητα της αγοράς εξακολουθεί να αντλεί στήριξη από τα μεγάλης κλίμακας έργα ανοικοδόμησης στις νότιες περιοχές της χώρας μετά τους πρόσφατους σεισμούς, </w:t>
      </w:r>
      <w:r w:rsidR="00590F0E" w:rsidRPr="00C3630C">
        <w:rPr>
          <w:rFonts w:ascii="Calibri Light" w:eastAsiaTheme="minorEastAsia" w:hAnsi="Calibri Light" w:cs="Arial"/>
          <w:color w:val="21286C"/>
          <w:sz w:val="21"/>
          <w:szCs w:val="20"/>
          <w:lang w:val="el-GR" w:bidi="el-GR"/>
        </w:rPr>
        <w:t>με την</w:t>
      </w:r>
      <w:r w:rsidR="00C33761" w:rsidRPr="00C3630C">
        <w:rPr>
          <w:rFonts w:ascii="Calibri Light" w:eastAsiaTheme="minorEastAsia" w:hAnsi="Calibri Light" w:cs="Arial"/>
          <w:color w:val="21286C"/>
          <w:sz w:val="21"/>
          <w:szCs w:val="20"/>
          <w:lang w:val="el-GR" w:bidi="el-GR"/>
        </w:rPr>
        <w:t xml:space="preserve"> ανοικοδόμηση </w:t>
      </w:r>
      <w:r w:rsidR="00885D15" w:rsidRPr="00C3630C">
        <w:rPr>
          <w:rFonts w:ascii="Calibri Light" w:eastAsiaTheme="minorEastAsia" w:hAnsi="Calibri Light" w:cs="Arial"/>
          <w:color w:val="21286C"/>
          <w:sz w:val="21"/>
          <w:szCs w:val="20"/>
          <w:lang w:val="el-GR" w:bidi="el-GR"/>
        </w:rPr>
        <w:t xml:space="preserve">να </w:t>
      </w:r>
      <w:r w:rsidR="00C33761" w:rsidRPr="00C3630C">
        <w:rPr>
          <w:rFonts w:ascii="Calibri Light" w:eastAsiaTheme="minorEastAsia" w:hAnsi="Calibri Light" w:cs="Arial"/>
          <w:color w:val="21286C"/>
          <w:sz w:val="21"/>
          <w:szCs w:val="20"/>
          <w:lang w:val="el-GR" w:bidi="el-GR"/>
        </w:rPr>
        <w:t xml:space="preserve">έχει ολοκληρωθεί κατά </w:t>
      </w:r>
      <w:r w:rsidR="00885D15" w:rsidRPr="00C3630C">
        <w:rPr>
          <w:rFonts w:ascii="Calibri Light" w:eastAsiaTheme="minorEastAsia" w:hAnsi="Calibri Light" w:cs="Arial"/>
          <w:color w:val="21286C"/>
          <w:sz w:val="21"/>
          <w:szCs w:val="20"/>
          <w:lang w:val="el-GR" w:bidi="el-GR"/>
        </w:rPr>
        <w:t>περίπου</w:t>
      </w:r>
      <w:r w:rsidR="00C33761" w:rsidRPr="00C3630C">
        <w:rPr>
          <w:rFonts w:ascii="Calibri Light" w:eastAsiaTheme="minorEastAsia" w:hAnsi="Calibri Light" w:cs="Arial"/>
          <w:color w:val="21286C"/>
          <w:sz w:val="21"/>
          <w:szCs w:val="20"/>
          <w:lang w:val="el-GR" w:bidi="el-GR"/>
        </w:rPr>
        <w:t xml:space="preserve"> 50%. Παράλληλα, η </w:t>
      </w:r>
      <w:r w:rsidR="00885D15" w:rsidRPr="00C3630C">
        <w:rPr>
          <w:rFonts w:ascii="Calibri Light" w:eastAsiaTheme="minorEastAsia" w:hAnsi="Calibri Light" w:cs="Arial"/>
          <w:color w:val="21286C"/>
          <w:sz w:val="21"/>
          <w:szCs w:val="20"/>
          <w:lang w:val="el-GR" w:bidi="el-GR"/>
        </w:rPr>
        <w:t xml:space="preserve">αυξανόμενη </w:t>
      </w:r>
      <w:r w:rsidR="00C33761" w:rsidRPr="00C3630C">
        <w:rPr>
          <w:rFonts w:ascii="Calibri Light" w:eastAsiaTheme="minorEastAsia" w:hAnsi="Calibri Light" w:cs="Arial"/>
          <w:color w:val="21286C"/>
          <w:sz w:val="21"/>
          <w:szCs w:val="20"/>
          <w:lang w:val="el-GR" w:bidi="el-GR"/>
        </w:rPr>
        <w:t xml:space="preserve">έμφαση στη σεισμική ανθεκτικότητα των κτιρίων έχει </w:t>
      </w:r>
      <w:r w:rsidR="007B2C4A" w:rsidRPr="00C3630C">
        <w:rPr>
          <w:rFonts w:ascii="Calibri Light" w:eastAsiaTheme="minorEastAsia" w:hAnsi="Calibri Light" w:cs="Arial"/>
          <w:color w:val="21286C"/>
          <w:sz w:val="21"/>
          <w:szCs w:val="20"/>
          <w:lang w:val="el-GR" w:bidi="el-GR"/>
        </w:rPr>
        <w:t xml:space="preserve">επιταχύνει </w:t>
      </w:r>
      <w:r w:rsidR="00C33761" w:rsidRPr="00C3630C">
        <w:rPr>
          <w:rFonts w:ascii="Calibri Light" w:eastAsiaTheme="minorEastAsia" w:hAnsi="Calibri Light" w:cs="Arial"/>
          <w:color w:val="21286C"/>
          <w:sz w:val="21"/>
          <w:szCs w:val="20"/>
          <w:lang w:val="el-GR" w:bidi="el-GR"/>
        </w:rPr>
        <w:t xml:space="preserve">τις επενδύσεις </w:t>
      </w:r>
      <w:r w:rsidR="007B2C4A" w:rsidRPr="00C3630C">
        <w:rPr>
          <w:rFonts w:ascii="Calibri Light" w:eastAsiaTheme="minorEastAsia" w:hAnsi="Calibri Light" w:cs="Arial"/>
          <w:color w:val="21286C"/>
          <w:sz w:val="21"/>
          <w:szCs w:val="20"/>
          <w:lang w:val="el-GR" w:bidi="el-GR"/>
        </w:rPr>
        <w:t xml:space="preserve">για την </w:t>
      </w:r>
      <w:r w:rsidR="00C33761" w:rsidRPr="00C3630C">
        <w:rPr>
          <w:rFonts w:ascii="Calibri Light" w:eastAsiaTheme="minorEastAsia" w:hAnsi="Calibri Light" w:cs="Arial"/>
          <w:color w:val="21286C"/>
          <w:sz w:val="21"/>
          <w:szCs w:val="20"/>
          <w:lang w:val="el-GR" w:bidi="el-GR"/>
        </w:rPr>
        <w:t xml:space="preserve">ανανέωση των παλαιότερων κατοικιών, ιδιαίτερα στην ευρύτερη περιοχή του Μαρμαρά, όπου δραστηριοποιείται ο Όμιλος. </w:t>
      </w:r>
      <w:r w:rsidR="00CD4910" w:rsidRPr="00C3630C">
        <w:rPr>
          <w:rFonts w:ascii="Calibri Light" w:eastAsiaTheme="minorEastAsia" w:hAnsi="Calibri Light" w:cs="Arial"/>
          <w:color w:val="21286C"/>
          <w:sz w:val="21"/>
          <w:szCs w:val="20"/>
          <w:lang w:val="el-GR" w:bidi="el-GR"/>
        </w:rPr>
        <w:t xml:space="preserve">Υπενθυμίζεται ότι, </w:t>
      </w:r>
      <w:r w:rsidR="00C33761" w:rsidRPr="00C3630C">
        <w:rPr>
          <w:rFonts w:ascii="Calibri Light" w:eastAsiaTheme="minorEastAsia" w:hAnsi="Calibri Light" w:cs="Arial"/>
          <w:color w:val="21286C"/>
          <w:sz w:val="21"/>
          <w:szCs w:val="20"/>
          <w:lang w:val="el-GR" w:bidi="el-GR"/>
        </w:rPr>
        <w:t xml:space="preserve">μετά την πώληση της </w:t>
      </w:r>
      <w:r w:rsidR="00CD4910" w:rsidRPr="00C3630C">
        <w:rPr>
          <w:rFonts w:ascii="Calibri Light" w:eastAsiaTheme="minorEastAsia" w:hAnsi="Calibri Light" w:cs="Arial"/>
          <w:color w:val="21286C"/>
          <w:sz w:val="21"/>
          <w:szCs w:val="20"/>
          <w:lang w:val="el-GR" w:bidi="el-GR"/>
        </w:rPr>
        <w:t xml:space="preserve">συμμετοχής του </w:t>
      </w:r>
      <w:r w:rsidR="007644DE" w:rsidRPr="00C3630C">
        <w:rPr>
          <w:rFonts w:ascii="Calibri Light" w:eastAsiaTheme="minorEastAsia" w:hAnsi="Calibri Light" w:cs="Arial"/>
          <w:color w:val="21286C"/>
          <w:sz w:val="21"/>
          <w:szCs w:val="20"/>
          <w:lang w:val="el-GR" w:bidi="el-GR"/>
        </w:rPr>
        <w:t>Ομίλου</w:t>
      </w:r>
      <w:r w:rsidR="00CD4910" w:rsidRPr="00C3630C">
        <w:rPr>
          <w:rFonts w:ascii="Calibri Light" w:eastAsiaTheme="minorEastAsia" w:hAnsi="Calibri Light" w:cs="Arial"/>
          <w:color w:val="21286C"/>
          <w:sz w:val="21"/>
          <w:szCs w:val="20"/>
          <w:lang w:val="el-GR" w:bidi="el-GR"/>
        </w:rPr>
        <w:t xml:space="preserve"> </w:t>
      </w:r>
      <w:r w:rsidR="00C33761" w:rsidRPr="00C3630C">
        <w:rPr>
          <w:rFonts w:ascii="Calibri Light" w:eastAsiaTheme="minorEastAsia" w:hAnsi="Calibri Light" w:cs="Arial"/>
          <w:color w:val="21286C"/>
          <w:sz w:val="21"/>
          <w:szCs w:val="20"/>
          <w:lang w:val="el-GR" w:bidi="el-GR"/>
        </w:rPr>
        <w:t xml:space="preserve">κατά 75% στην Adocim τον Μάιο </w:t>
      </w:r>
      <w:r w:rsidR="006066B3" w:rsidRPr="00C3630C">
        <w:rPr>
          <w:rFonts w:ascii="Calibri Light" w:eastAsiaTheme="minorEastAsia" w:hAnsi="Calibri Light" w:cs="Arial"/>
          <w:color w:val="21286C"/>
          <w:sz w:val="21"/>
          <w:szCs w:val="20"/>
          <w:lang w:val="el-GR" w:bidi="el-GR"/>
        </w:rPr>
        <w:t xml:space="preserve">του </w:t>
      </w:r>
      <w:r w:rsidR="00C33761" w:rsidRPr="00C3630C">
        <w:rPr>
          <w:rFonts w:ascii="Calibri Light" w:eastAsiaTheme="minorEastAsia" w:hAnsi="Calibri Light" w:cs="Arial"/>
          <w:color w:val="21286C"/>
          <w:sz w:val="21"/>
          <w:szCs w:val="20"/>
          <w:lang w:val="el-GR" w:bidi="el-GR"/>
        </w:rPr>
        <w:t>202</w:t>
      </w:r>
      <w:r w:rsidR="00387787" w:rsidRPr="00387787">
        <w:rPr>
          <w:rFonts w:ascii="Calibri Light" w:eastAsiaTheme="minorEastAsia" w:hAnsi="Calibri Light" w:cs="Arial"/>
          <w:color w:val="21286C"/>
          <w:sz w:val="21"/>
          <w:szCs w:val="20"/>
          <w:lang w:val="el-GR" w:bidi="el-GR"/>
        </w:rPr>
        <w:t>5</w:t>
      </w:r>
      <w:r w:rsidR="00C33761" w:rsidRPr="00C3630C">
        <w:rPr>
          <w:rFonts w:ascii="Calibri Light" w:eastAsiaTheme="minorEastAsia" w:hAnsi="Calibri Light" w:cs="Arial"/>
          <w:color w:val="21286C"/>
          <w:sz w:val="21"/>
          <w:szCs w:val="20"/>
          <w:lang w:val="el-GR" w:bidi="el-GR"/>
        </w:rPr>
        <w:t xml:space="preserve">, οι επιδόσεις </w:t>
      </w:r>
      <w:r w:rsidR="006066B3" w:rsidRPr="00C3630C">
        <w:rPr>
          <w:rFonts w:ascii="Calibri Light" w:eastAsiaTheme="minorEastAsia" w:hAnsi="Calibri Light" w:cs="Arial"/>
          <w:color w:val="21286C"/>
          <w:sz w:val="21"/>
          <w:szCs w:val="20"/>
          <w:lang w:val="el-GR" w:bidi="el-GR"/>
        </w:rPr>
        <w:t xml:space="preserve">του </w:t>
      </w:r>
      <w:r w:rsidR="00C33761" w:rsidRPr="00C3630C">
        <w:rPr>
          <w:rFonts w:ascii="Calibri Light" w:eastAsiaTheme="minorEastAsia" w:hAnsi="Calibri Light" w:cs="Arial"/>
          <w:color w:val="21286C"/>
          <w:sz w:val="21"/>
          <w:szCs w:val="20"/>
          <w:lang w:val="el-GR" w:bidi="el-GR"/>
        </w:rPr>
        <w:t xml:space="preserve">εννεαμήνου αντικατοπτρίζουν </w:t>
      </w:r>
      <w:r w:rsidR="008C1AFE">
        <w:rPr>
          <w:rFonts w:ascii="Calibri Light" w:eastAsiaTheme="minorEastAsia" w:hAnsi="Calibri Light" w:cs="Arial"/>
          <w:color w:val="21286C"/>
          <w:sz w:val="21"/>
          <w:szCs w:val="20"/>
          <w:lang w:val="el-GR" w:bidi="el-GR"/>
        </w:rPr>
        <w:t>τη νέα γεωγραφική παρουσία</w:t>
      </w:r>
      <w:r w:rsidR="00C33761" w:rsidRPr="00C3630C">
        <w:rPr>
          <w:rFonts w:ascii="Calibri Light" w:eastAsiaTheme="minorEastAsia" w:hAnsi="Calibri Light" w:cs="Arial"/>
          <w:color w:val="21286C"/>
          <w:sz w:val="21"/>
          <w:szCs w:val="20"/>
          <w:lang w:val="el-GR" w:bidi="el-GR"/>
        </w:rPr>
        <w:t xml:space="preserve"> του Ομίλου στην Τουρκία. Οι πωλήσεις στον γεωγραφικό τομέα </w:t>
      </w:r>
      <w:r w:rsidR="00E753FA">
        <w:rPr>
          <w:rFonts w:ascii="Calibri Light" w:eastAsiaTheme="minorEastAsia" w:hAnsi="Calibri Light" w:cs="Arial"/>
          <w:color w:val="21286C"/>
          <w:sz w:val="21"/>
          <w:szCs w:val="20"/>
          <w:lang w:val="el-GR" w:bidi="el-GR"/>
        </w:rPr>
        <w:t>ανήλθαν</w:t>
      </w:r>
      <w:r w:rsidR="00C33761" w:rsidRPr="00C3630C">
        <w:rPr>
          <w:rFonts w:ascii="Calibri Light" w:eastAsiaTheme="minorEastAsia" w:hAnsi="Calibri Light" w:cs="Arial"/>
          <w:color w:val="21286C"/>
          <w:sz w:val="21"/>
          <w:szCs w:val="20"/>
          <w:lang w:val="el-GR" w:bidi="el-GR"/>
        </w:rPr>
        <w:t xml:space="preserve"> σε €</w:t>
      </w:r>
      <w:r w:rsidR="00174A65" w:rsidRPr="00C3630C">
        <w:rPr>
          <w:rFonts w:ascii="Calibri Light" w:eastAsiaTheme="minorEastAsia" w:hAnsi="Calibri Light" w:cs="Arial"/>
          <w:color w:val="21286C"/>
          <w:sz w:val="21"/>
          <w:szCs w:val="20"/>
          <w:lang w:val="el-GR" w:bidi="el-GR"/>
        </w:rPr>
        <w:t>185,6</w:t>
      </w:r>
      <w:r w:rsidR="00C33761" w:rsidRPr="00C3630C">
        <w:rPr>
          <w:rFonts w:ascii="Calibri Light" w:eastAsiaTheme="minorEastAsia" w:hAnsi="Calibri Light" w:cs="Arial"/>
          <w:color w:val="21286C"/>
          <w:sz w:val="21"/>
          <w:szCs w:val="20"/>
          <w:lang w:val="el-GR" w:bidi="el-GR"/>
        </w:rPr>
        <w:t xml:space="preserve"> εκ., </w:t>
      </w:r>
      <w:r w:rsidR="006066B3" w:rsidRPr="00C3630C">
        <w:rPr>
          <w:rFonts w:ascii="Calibri Light" w:eastAsiaTheme="minorEastAsia" w:hAnsi="Calibri Light" w:cs="Arial"/>
          <w:color w:val="21286C"/>
          <w:sz w:val="21"/>
          <w:szCs w:val="20"/>
          <w:lang w:val="el-GR" w:bidi="el-GR"/>
        </w:rPr>
        <w:t xml:space="preserve">σημειώνοντας </w:t>
      </w:r>
      <w:r w:rsidR="00C33761" w:rsidRPr="00C3630C">
        <w:rPr>
          <w:rFonts w:ascii="Calibri Light" w:eastAsiaTheme="minorEastAsia" w:hAnsi="Calibri Light" w:cs="Arial"/>
          <w:color w:val="21286C"/>
          <w:sz w:val="21"/>
          <w:szCs w:val="20"/>
          <w:lang w:val="el-GR" w:bidi="el-GR"/>
        </w:rPr>
        <w:t xml:space="preserve">αύξηση </w:t>
      </w:r>
      <w:r w:rsidR="00174A65" w:rsidRPr="00C3630C">
        <w:rPr>
          <w:rFonts w:ascii="Calibri Light" w:eastAsiaTheme="minorEastAsia" w:hAnsi="Calibri Light" w:cs="Arial"/>
          <w:color w:val="21286C"/>
          <w:sz w:val="21"/>
          <w:szCs w:val="20"/>
          <w:lang w:val="el-GR" w:bidi="el-GR"/>
        </w:rPr>
        <w:t>1,</w:t>
      </w:r>
      <w:r w:rsidR="006A4751" w:rsidRPr="00C3630C">
        <w:rPr>
          <w:rFonts w:ascii="Calibri Light" w:eastAsiaTheme="minorEastAsia" w:hAnsi="Calibri Light" w:cs="Arial"/>
          <w:color w:val="21286C"/>
          <w:sz w:val="21"/>
          <w:szCs w:val="20"/>
          <w:lang w:val="el-GR" w:bidi="el-GR"/>
        </w:rPr>
        <w:t>7</w:t>
      </w:r>
      <w:r w:rsidR="00C33761" w:rsidRPr="00C3630C">
        <w:rPr>
          <w:rFonts w:ascii="Calibri Light" w:eastAsiaTheme="minorEastAsia" w:hAnsi="Calibri Light" w:cs="Arial"/>
          <w:color w:val="21286C"/>
          <w:sz w:val="21"/>
          <w:szCs w:val="20"/>
          <w:lang w:val="el-GR" w:bidi="el-GR"/>
        </w:rPr>
        <w:t xml:space="preserve">% </w:t>
      </w:r>
      <w:r w:rsidR="00BD1B3F">
        <w:rPr>
          <w:rFonts w:ascii="Calibri Light" w:eastAsiaTheme="minorEastAsia" w:hAnsi="Calibri Light" w:cs="Arial"/>
          <w:color w:val="21286C"/>
          <w:sz w:val="21"/>
          <w:szCs w:val="20"/>
          <w:lang w:val="el-GR" w:bidi="el-GR"/>
        </w:rPr>
        <w:t xml:space="preserve">και </w:t>
      </w:r>
      <w:r w:rsidR="00C33761" w:rsidRPr="00C3630C">
        <w:rPr>
          <w:rFonts w:ascii="Calibri Light" w:eastAsiaTheme="minorEastAsia" w:hAnsi="Calibri Light" w:cs="Arial"/>
          <w:color w:val="21286C"/>
          <w:sz w:val="21"/>
          <w:szCs w:val="20"/>
          <w:lang w:val="el-GR" w:bidi="el-GR"/>
        </w:rPr>
        <w:t xml:space="preserve">τα κέρδη EBITDA κατέγραψαν εντυπωσιακή άνοδο και </w:t>
      </w:r>
      <w:r w:rsidR="006231CC" w:rsidRPr="00C3630C">
        <w:rPr>
          <w:rFonts w:ascii="Calibri Light" w:eastAsiaTheme="minorEastAsia" w:hAnsi="Calibri Light" w:cs="Arial"/>
          <w:color w:val="21286C"/>
          <w:sz w:val="21"/>
          <w:szCs w:val="20"/>
          <w:lang w:val="el-GR" w:bidi="el-GR"/>
        </w:rPr>
        <w:t xml:space="preserve">ανήλθαν </w:t>
      </w:r>
      <w:r w:rsidR="00C33761" w:rsidRPr="00C3630C">
        <w:rPr>
          <w:rFonts w:ascii="Calibri Light" w:eastAsiaTheme="minorEastAsia" w:hAnsi="Calibri Light" w:cs="Arial"/>
          <w:color w:val="21286C"/>
          <w:sz w:val="21"/>
          <w:szCs w:val="20"/>
          <w:lang w:val="el-GR" w:bidi="el-GR"/>
        </w:rPr>
        <w:t>σε €</w:t>
      </w:r>
      <w:r w:rsidR="00174A65" w:rsidRPr="00C3630C">
        <w:rPr>
          <w:rFonts w:ascii="Calibri Light" w:eastAsiaTheme="minorEastAsia" w:hAnsi="Calibri Light" w:cs="Arial"/>
          <w:color w:val="21286C"/>
          <w:sz w:val="21"/>
          <w:szCs w:val="20"/>
          <w:lang w:val="el-GR" w:bidi="el-GR"/>
        </w:rPr>
        <w:t>45</w:t>
      </w:r>
      <w:r w:rsidR="00174A65" w:rsidRPr="00C3630C" w:rsidDel="006F6BD6">
        <w:rPr>
          <w:rFonts w:ascii="Calibri Light" w:eastAsiaTheme="minorEastAsia" w:hAnsi="Calibri Light" w:cs="Arial"/>
          <w:color w:val="21286C"/>
          <w:sz w:val="21"/>
          <w:szCs w:val="20"/>
          <w:lang w:val="el-GR" w:bidi="el-GR"/>
        </w:rPr>
        <w:t>,0</w:t>
      </w:r>
      <w:r w:rsidR="00C33761" w:rsidRPr="00C3630C">
        <w:rPr>
          <w:rFonts w:ascii="Calibri Light" w:eastAsiaTheme="minorEastAsia" w:hAnsi="Calibri Light" w:cs="Arial"/>
          <w:color w:val="21286C"/>
          <w:sz w:val="21"/>
          <w:szCs w:val="20"/>
          <w:lang w:val="el-GR" w:bidi="el-GR"/>
        </w:rPr>
        <w:t xml:space="preserve"> εκ. έναντι €</w:t>
      </w:r>
      <w:r w:rsidR="00174A65" w:rsidRPr="00C3630C">
        <w:rPr>
          <w:rFonts w:ascii="Calibri Light" w:eastAsiaTheme="minorEastAsia" w:hAnsi="Calibri Light" w:cs="Arial"/>
          <w:color w:val="21286C"/>
          <w:sz w:val="21"/>
          <w:szCs w:val="20"/>
          <w:lang w:val="el-GR" w:bidi="el-GR"/>
        </w:rPr>
        <w:t>14,3</w:t>
      </w:r>
      <w:r w:rsidR="00C33761" w:rsidRPr="00C3630C">
        <w:rPr>
          <w:rFonts w:ascii="Calibri Light" w:eastAsiaTheme="minorEastAsia" w:hAnsi="Calibri Light" w:cs="Arial"/>
          <w:color w:val="21286C"/>
          <w:sz w:val="21"/>
          <w:szCs w:val="20"/>
          <w:lang w:val="el-GR" w:bidi="el-GR"/>
        </w:rPr>
        <w:t xml:space="preserve"> εκ. </w:t>
      </w:r>
    </w:p>
    <w:p w14:paraId="6977D426" w14:textId="4A76039A" w:rsidR="001A6C54" w:rsidRPr="00C3630C" w:rsidRDefault="001A6C54" w:rsidP="00B11C74">
      <w:pPr>
        <w:jc w:val="both"/>
        <w:rPr>
          <w:rFonts w:ascii="Calibri" w:hAnsi="Calibri" w:cs="Arial"/>
          <w:b/>
          <w:color w:val="21286C"/>
          <w:sz w:val="14"/>
          <w:szCs w:val="12"/>
          <w:lang w:val="el-GR"/>
        </w:rPr>
      </w:pPr>
    </w:p>
    <w:p w14:paraId="3795AA19" w14:textId="21C7BA30" w:rsidR="00BD3D54" w:rsidRPr="00C3630C" w:rsidRDefault="0018756F" w:rsidP="00727AAA">
      <w:pPr>
        <w:jc w:val="both"/>
        <w:rPr>
          <w:rFonts w:ascii="Calibri" w:eastAsia="Calibri" w:hAnsi="Calibri" w:cs="Calibri"/>
          <w:b/>
          <w:bCs/>
          <w:color w:val="01B1D7"/>
          <w:sz w:val="28"/>
          <w:szCs w:val="28"/>
          <w:lang w:val="el-GR"/>
        </w:rPr>
      </w:pPr>
      <w:r w:rsidRPr="00C3630C">
        <w:rPr>
          <w:rFonts w:ascii="Calibri" w:eastAsia="Calibri" w:hAnsi="Calibri" w:cs="Calibri"/>
          <w:b/>
          <w:bCs/>
          <w:color w:val="01B1D7"/>
          <w:sz w:val="28"/>
          <w:szCs w:val="28"/>
          <w:lang w:val="el-GR"/>
        </w:rPr>
        <w:t>Βραζιλία</w:t>
      </w:r>
      <w:r w:rsidR="00BD3D54" w:rsidRPr="00C3630C">
        <w:rPr>
          <w:rFonts w:ascii="Calibri" w:eastAsia="Calibri" w:hAnsi="Calibri" w:cs="Calibri"/>
          <w:b/>
          <w:bCs/>
          <w:color w:val="01B1D7"/>
          <w:sz w:val="28"/>
          <w:szCs w:val="28"/>
          <w:lang w:val="el-GR"/>
        </w:rPr>
        <w:t xml:space="preserve"> (</w:t>
      </w:r>
      <w:r w:rsidRPr="00C3630C">
        <w:rPr>
          <w:rFonts w:ascii="Calibri" w:eastAsia="Calibri" w:hAnsi="Calibri" w:cs="Calibri"/>
          <w:b/>
          <w:bCs/>
          <w:color w:val="01B1D7"/>
          <w:sz w:val="28"/>
          <w:szCs w:val="28"/>
          <w:lang w:val="el-GR"/>
        </w:rPr>
        <w:t>Κοινοπραξία</w:t>
      </w:r>
      <w:r w:rsidR="00BD3D54" w:rsidRPr="00C3630C">
        <w:rPr>
          <w:rFonts w:ascii="Calibri" w:eastAsia="Calibri" w:hAnsi="Calibri" w:cs="Calibri"/>
          <w:b/>
          <w:bCs/>
          <w:color w:val="01B1D7"/>
          <w:sz w:val="28"/>
          <w:szCs w:val="28"/>
          <w:lang w:val="el-GR"/>
        </w:rPr>
        <w:t>)</w:t>
      </w:r>
      <w:r w:rsidR="00BD3D54" w:rsidRPr="00C3630C">
        <w:rPr>
          <w:rFonts w:ascii="Calibri" w:eastAsia="Calibri" w:hAnsi="Calibri" w:cs="Calibri"/>
          <w:b/>
          <w:bCs/>
          <w:color w:val="01B1D7"/>
          <w:sz w:val="28"/>
          <w:szCs w:val="28"/>
          <w:lang w:val="el-GR"/>
        </w:rPr>
        <w:tab/>
      </w:r>
    </w:p>
    <w:p w14:paraId="7E9C8466" w14:textId="17D514F7" w:rsidR="00267D12" w:rsidRPr="00C3630C" w:rsidRDefault="001D5B75" w:rsidP="00C2145D">
      <w:pPr>
        <w:pStyle w:val="C"/>
        <w:spacing w:line="240" w:lineRule="auto"/>
        <w:jc w:val="both"/>
        <w:rPr>
          <w:rFonts w:cs="Calibri"/>
          <w:color w:val="21286C"/>
          <w:sz w:val="4"/>
          <w:szCs w:val="2"/>
          <w:lang w:val="el-GR"/>
        </w:rPr>
      </w:pPr>
      <w:r w:rsidRPr="00C3630C">
        <w:rPr>
          <w:rFonts w:ascii="Calibri Light" w:hAnsi="Calibri Light"/>
          <w:b w:val="0"/>
          <w:bCs w:val="0"/>
          <w:color w:val="21286C"/>
          <w:sz w:val="21"/>
          <w:szCs w:val="20"/>
          <w:lang w:val="el-GR"/>
        </w:rPr>
        <w:t>Η εγχώρια κατανάλωση τσιμέντου στη Βραζιλία αυξήθηκε κατά 3</w:t>
      </w:r>
      <w:r w:rsidRPr="00C3630C" w:rsidDel="006F6BD6">
        <w:rPr>
          <w:rFonts w:ascii="Calibri Light" w:hAnsi="Calibri Light"/>
          <w:b w:val="0"/>
          <w:bCs w:val="0"/>
          <w:color w:val="21286C"/>
          <w:sz w:val="21"/>
          <w:szCs w:val="20"/>
          <w:lang w:val="el-GR"/>
        </w:rPr>
        <w:t>,0</w:t>
      </w:r>
      <w:r w:rsidRPr="00C3630C">
        <w:rPr>
          <w:rFonts w:ascii="Calibri Light" w:hAnsi="Calibri Light"/>
          <w:b w:val="0"/>
          <w:bCs w:val="0"/>
          <w:color w:val="21286C"/>
          <w:sz w:val="21"/>
          <w:szCs w:val="20"/>
          <w:lang w:val="el-GR"/>
        </w:rPr>
        <w:t xml:space="preserve">% το εννεάμηνο του 2025. Στα βορειοανατολικά της χώρας, </w:t>
      </w:r>
      <w:r w:rsidR="00AC1333" w:rsidRPr="00C3630C">
        <w:rPr>
          <w:rFonts w:ascii="Calibri Light" w:hAnsi="Calibri Light"/>
          <w:b w:val="0"/>
          <w:bCs w:val="0"/>
          <w:color w:val="21286C"/>
          <w:sz w:val="21"/>
          <w:szCs w:val="20"/>
          <w:lang w:val="el-GR"/>
        </w:rPr>
        <w:t>όπου</w:t>
      </w:r>
      <w:r w:rsidRPr="00C3630C">
        <w:rPr>
          <w:rFonts w:ascii="Calibri Light" w:hAnsi="Calibri Light"/>
          <w:b w:val="0"/>
          <w:bCs w:val="0"/>
          <w:color w:val="21286C"/>
          <w:sz w:val="21"/>
          <w:szCs w:val="20"/>
          <w:lang w:val="el-GR"/>
        </w:rPr>
        <w:t xml:space="preserve"> δραστηριοποιείται η κοινοπραξία του Ομίλου, η κατανάλωση αυξήθηκε κατά 6,4%, </w:t>
      </w:r>
      <w:r w:rsidR="007E798E">
        <w:rPr>
          <w:rFonts w:ascii="Calibri Light" w:hAnsi="Calibri Light"/>
          <w:b w:val="0"/>
          <w:bCs w:val="0"/>
          <w:color w:val="21286C"/>
          <w:sz w:val="21"/>
          <w:szCs w:val="20"/>
          <w:lang w:val="el-GR"/>
        </w:rPr>
        <w:t>χάρη</w:t>
      </w:r>
      <w:r w:rsidRPr="00C3630C">
        <w:rPr>
          <w:rFonts w:ascii="Calibri Light" w:hAnsi="Calibri Light"/>
          <w:b w:val="0"/>
          <w:bCs w:val="0"/>
          <w:color w:val="21286C"/>
          <w:sz w:val="21"/>
          <w:szCs w:val="20"/>
          <w:lang w:val="el-GR"/>
        </w:rPr>
        <w:t xml:space="preserve"> στην αυξημένη δραστηριότητα σε δημόσια έργα, </w:t>
      </w:r>
      <w:r w:rsidR="007E798E">
        <w:rPr>
          <w:rFonts w:ascii="Calibri Light" w:hAnsi="Calibri Light"/>
          <w:b w:val="0"/>
          <w:bCs w:val="0"/>
          <w:color w:val="21286C"/>
          <w:sz w:val="21"/>
          <w:szCs w:val="20"/>
          <w:lang w:val="el-GR"/>
        </w:rPr>
        <w:t>σ</w:t>
      </w:r>
      <w:r w:rsidRPr="00C3630C">
        <w:rPr>
          <w:rFonts w:ascii="Calibri Light" w:hAnsi="Calibri Light"/>
          <w:b w:val="0"/>
          <w:bCs w:val="0"/>
          <w:color w:val="21286C"/>
          <w:sz w:val="21"/>
          <w:szCs w:val="20"/>
          <w:lang w:val="el-GR"/>
        </w:rPr>
        <w:t xml:space="preserve">την ώθηση στον κλάδο κατοικίας λόγω της επέκτασης του κυβερνητικού προγράμματος κοινωνικής κατοικίας και </w:t>
      </w:r>
      <w:r w:rsidR="007E798E">
        <w:rPr>
          <w:rFonts w:ascii="Calibri Light" w:hAnsi="Calibri Light"/>
          <w:b w:val="0"/>
          <w:bCs w:val="0"/>
          <w:color w:val="21286C"/>
          <w:sz w:val="21"/>
          <w:szCs w:val="20"/>
          <w:lang w:val="el-GR"/>
        </w:rPr>
        <w:t>σ</w:t>
      </w:r>
      <w:r w:rsidRPr="00C3630C">
        <w:rPr>
          <w:rFonts w:ascii="Calibri Light" w:hAnsi="Calibri Light"/>
          <w:b w:val="0"/>
          <w:bCs w:val="0"/>
          <w:color w:val="21286C"/>
          <w:sz w:val="21"/>
          <w:szCs w:val="20"/>
          <w:lang w:val="el-GR"/>
        </w:rPr>
        <w:t>τις βιομηχανικές επενδύσεις που σχετίζονται με τις βιομηχανικές και λιμενικές εγκαταστάσεις στο Pecém, εξελίξεις οι οποίες συμβάλλουν στην αύξηση της ζήτησης για τσιμέντο. Οι πωλήσεις της Apodi για το εννεάμηνο ανήλθαν σε €</w:t>
      </w:r>
      <w:r w:rsidR="00230F1B" w:rsidRPr="00C3630C">
        <w:rPr>
          <w:rFonts w:ascii="Calibri Light" w:hAnsi="Calibri Light"/>
          <w:b w:val="0"/>
          <w:bCs w:val="0"/>
          <w:color w:val="21286C"/>
          <w:sz w:val="21"/>
          <w:szCs w:val="20"/>
          <w:lang w:val="el-GR"/>
        </w:rPr>
        <w:t>78,3</w:t>
      </w:r>
      <w:r w:rsidRPr="00C3630C">
        <w:rPr>
          <w:rFonts w:ascii="Calibri Light" w:hAnsi="Calibri Light"/>
          <w:b w:val="0"/>
          <w:bCs w:val="0"/>
          <w:color w:val="21286C"/>
          <w:sz w:val="21"/>
          <w:szCs w:val="20"/>
          <w:lang w:val="el-GR"/>
        </w:rPr>
        <w:t xml:space="preserve"> εκ. έναντι €</w:t>
      </w:r>
      <w:r w:rsidR="00230F1B" w:rsidRPr="00C3630C">
        <w:rPr>
          <w:rFonts w:ascii="Calibri Light" w:hAnsi="Calibri Light"/>
          <w:b w:val="0"/>
          <w:bCs w:val="0"/>
          <w:color w:val="21286C"/>
          <w:sz w:val="21"/>
          <w:szCs w:val="20"/>
          <w:lang w:val="el-GR"/>
        </w:rPr>
        <w:t>81,7</w:t>
      </w:r>
      <w:r w:rsidRPr="00C3630C">
        <w:rPr>
          <w:rFonts w:ascii="Calibri Light" w:hAnsi="Calibri Light"/>
          <w:b w:val="0"/>
          <w:bCs w:val="0"/>
          <w:color w:val="21286C"/>
          <w:sz w:val="21"/>
          <w:szCs w:val="20"/>
          <w:lang w:val="el-GR"/>
        </w:rPr>
        <w:t xml:space="preserve"> εκ. πέρυσι (+</w:t>
      </w:r>
      <w:r w:rsidR="00230F1B" w:rsidRPr="00C3630C">
        <w:rPr>
          <w:rFonts w:ascii="Calibri Light" w:hAnsi="Calibri Light"/>
          <w:b w:val="0"/>
          <w:bCs w:val="0"/>
          <w:color w:val="21286C"/>
          <w:sz w:val="21"/>
          <w:szCs w:val="20"/>
          <w:lang w:val="el-GR"/>
        </w:rPr>
        <w:t>5,9</w:t>
      </w:r>
      <w:r w:rsidRPr="00C3630C">
        <w:rPr>
          <w:rFonts w:ascii="Calibri Light" w:hAnsi="Calibri Light"/>
          <w:b w:val="0"/>
          <w:bCs w:val="0"/>
          <w:color w:val="21286C"/>
          <w:sz w:val="21"/>
          <w:szCs w:val="20"/>
          <w:lang w:val="el-GR"/>
        </w:rPr>
        <w:t>% σε εγχώριο νόμισμα), ενώ τα κέρδη EBITDA αυξήθηκαν κατά</w:t>
      </w:r>
      <w:r w:rsidR="00230F1B" w:rsidRPr="00C3630C">
        <w:rPr>
          <w:rFonts w:ascii="Calibri Light" w:hAnsi="Calibri Light"/>
          <w:b w:val="0"/>
          <w:bCs w:val="0"/>
          <w:color w:val="21286C"/>
          <w:sz w:val="21"/>
          <w:szCs w:val="20"/>
          <w:lang w:val="el-GR"/>
        </w:rPr>
        <w:t xml:space="preserve"> 12,2</w:t>
      </w:r>
      <w:r w:rsidRPr="00C3630C">
        <w:rPr>
          <w:rFonts w:ascii="Calibri Light" w:hAnsi="Calibri Light"/>
          <w:b w:val="0"/>
          <w:bCs w:val="0"/>
          <w:color w:val="21286C"/>
          <w:sz w:val="21"/>
          <w:szCs w:val="20"/>
          <w:lang w:val="el-GR"/>
        </w:rPr>
        <w:t>%</w:t>
      </w:r>
      <w:r w:rsidR="00E65850">
        <w:rPr>
          <w:rFonts w:ascii="Calibri Light" w:hAnsi="Calibri Light"/>
          <w:b w:val="0"/>
          <w:bCs w:val="0"/>
          <w:color w:val="21286C"/>
          <w:sz w:val="21"/>
          <w:szCs w:val="20"/>
          <w:lang w:val="el-GR"/>
        </w:rPr>
        <w:t>,</w:t>
      </w:r>
      <w:r w:rsidRPr="00C3630C">
        <w:rPr>
          <w:rFonts w:ascii="Calibri Light" w:hAnsi="Calibri Light"/>
          <w:b w:val="0"/>
          <w:bCs w:val="0"/>
          <w:color w:val="21286C"/>
          <w:sz w:val="21"/>
          <w:szCs w:val="20"/>
          <w:lang w:val="el-GR"/>
        </w:rPr>
        <w:t xml:space="preserve"> σε €</w:t>
      </w:r>
      <w:r w:rsidR="00230F1B" w:rsidRPr="00C3630C">
        <w:rPr>
          <w:rFonts w:ascii="Calibri Light" w:hAnsi="Calibri Light"/>
          <w:b w:val="0"/>
          <w:bCs w:val="0"/>
          <w:color w:val="21286C"/>
          <w:sz w:val="21"/>
          <w:szCs w:val="20"/>
          <w:lang w:val="el-GR"/>
        </w:rPr>
        <w:t>20,3</w:t>
      </w:r>
      <w:r w:rsidRPr="00C3630C">
        <w:rPr>
          <w:rFonts w:ascii="Calibri Light" w:hAnsi="Calibri Light"/>
          <w:b w:val="0"/>
          <w:bCs w:val="0"/>
          <w:color w:val="21286C"/>
          <w:sz w:val="21"/>
          <w:szCs w:val="20"/>
          <w:lang w:val="el-GR"/>
        </w:rPr>
        <w:t xml:space="preserve"> εκ. (+</w:t>
      </w:r>
      <w:r w:rsidR="00867644" w:rsidRPr="00C3630C">
        <w:rPr>
          <w:rFonts w:ascii="Calibri Light" w:hAnsi="Calibri Light"/>
          <w:b w:val="0"/>
          <w:bCs w:val="0"/>
          <w:color w:val="21286C"/>
          <w:sz w:val="21"/>
          <w:szCs w:val="20"/>
          <w:lang w:val="el-GR"/>
        </w:rPr>
        <w:t>21,2</w:t>
      </w:r>
      <w:r w:rsidRPr="00C3630C">
        <w:rPr>
          <w:rFonts w:ascii="Calibri Light" w:hAnsi="Calibri Light"/>
          <w:b w:val="0"/>
          <w:bCs w:val="0"/>
          <w:color w:val="21286C"/>
          <w:sz w:val="21"/>
          <w:szCs w:val="20"/>
          <w:lang w:val="el-GR"/>
        </w:rPr>
        <w:t>% σε εγχώριο νόμισμα).</w:t>
      </w:r>
    </w:p>
    <w:p w14:paraId="3C40269A" w14:textId="499B8AA6" w:rsidR="004509D1" w:rsidRPr="00C3630C" w:rsidRDefault="00994F11" w:rsidP="00CA794F">
      <w:pPr>
        <w:pStyle w:val="C"/>
        <w:spacing w:line="240" w:lineRule="auto"/>
        <w:jc w:val="both"/>
        <w:rPr>
          <w:rFonts w:ascii="Calibri Light" w:eastAsia="Times New Roman" w:hAnsi="Calibri Light" w:cs="Times New Roman"/>
          <w:b w:val="0"/>
          <w:bCs w:val="0"/>
          <w:color w:val="21286C"/>
          <w:sz w:val="21"/>
          <w:szCs w:val="20"/>
          <w:lang w:val="el-GR"/>
        </w:rPr>
      </w:pPr>
      <w:r w:rsidRPr="00C3630C">
        <w:rPr>
          <w:rFonts w:cs="Calibri"/>
          <w:b w:val="0"/>
          <w:bCs w:val="0"/>
          <w:noProof/>
          <w:color w:val="21286C"/>
        </w:rPr>
        <mc:AlternateContent>
          <mc:Choice Requires="wps">
            <w:drawing>
              <wp:anchor distT="0" distB="0" distL="114300" distR="114300" simplePos="0" relativeHeight="251658242" behindDoc="0" locked="0" layoutInCell="1" allowOverlap="1" wp14:anchorId="6D4E22D5" wp14:editId="699B4940">
                <wp:simplePos x="0" y="0"/>
                <wp:positionH relativeFrom="column">
                  <wp:posOffset>-1633</wp:posOffset>
                </wp:positionH>
                <wp:positionV relativeFrom="paragraph">
                  <wp:posOffset>231887</wp:posOffset>
                </wp:positionV>
                <wp:extent cx="6112649" cy="0"/>
                <wp:effectExtent l="0" t="0" r="8890" b="12700"/>
                <wp:wrapNone/>
                <wp:docPr id="986506912" name="Straight Connector 986506912"/>
                <wp:cNvGraphicFramePr/>
                <a:graphic xmlns:a="http://schemas.openxmlformats.org/drawingml/2006/main">
                  <a:graphicData uri="http://schemas.microsoft.com/office/word/2010/wordprocessingShape">
                    <wps:wsp>
                      <wps:cNvCnPr/>
                      <wps:spPr>
                        <a:xfrm>
                          <a:off x="0" y="0"/>
                          <a:ext cx="6112649"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54D1E7" id="Straight Connector 9865069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8.25pt" to="481.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" strokecolor="#00183d" strokeweight=".25pt"/>
            </w:pict>
          </mc:Fallback>
        </mc:AlternateContent>
      </w:r>
      <w:r w:rsidR="008F2239" w:rsidRPr="00C3630C">
        <w:rPr>
          <w:rFonts w:cs="Calibri"/>
          <w:noProof/>
          <w:color w:val="21286C"/>
          <w:lang w:val="el-GR"/>
        </w:rPr>
        <w:t>Προοπτικές</w:t>
      </w:r>
    </w:p>
    <w:p w14:paraId="5294EC82" w14:textId="38A4AEF2" w:rsidR="000E680D" w:rsidRPr="00C3630C" w:rsidRDefault="00277D7A" w:rsidP="00582169">
      <w:pPr>
        <w:pStyle w:val="NoSpacing"/>
        <w:jc w:val="both"/>
        <w:rPr>
          <w:rFonts w:ascii="Calibri Light" w:hAnsi="Calibri Light" w:cs="Arial"/>
          <w:color w:val="21286C"/>
          <w:sz w:val="21"/>
          <w:szCs w:val="20"/>
          <w:lang w:val="el-GR" w:bidi="el-GR"/>
        </w:rPr>
      </w:pPr>
      <w:r w:rsidRPr="00C3630C">
        <w:rPr>
          <w:rFonts w:ascii="Calibri Light" w:hAnsi="Calibri Light" w:cs="Arial"/>
          <w:bCs/>
          <w:color w:val="21286C"/>
          <w:sz w:val="21"/>
          <w:szCs w:val="20"/>
          <w:lang w:val="el-GR" w:bidi="el-GR"/>
        </w:rPr>
        <w:t xml:space="preserve">Το 2026 η παγκόσμια οικονομία αναμένεται να διατηρήσει ήπια αναπτυξιακή δυναμική, με το </w:t>
      </w:r>
      <w:r w:rsidR="00E36D8E">
        <w:rPr>
          <w:rFonts w:ascii="Calibri Light" w:hAnsi="Calibri Light" w:cs="Arial"/>
          <w:bCs/>
          <w:color w:val="21286C"/>
          <w:sz w:val="21"/>
          <w:szCs w:val="20"/>
          <w:lang w:val="el-GR" w:bidi="el-GR"/>
        </w:rPr>
        <w:t>ΔΝΤ</w:t>
      </w:r>
      <w:r w:rsidRPr="00C3630C">
        <w:rPr>
          <w:rFonts w:ascii="Calibri Light" w:hAnsi="Calibri Light" w:cs="Arial"/>
          <w:bCs/>
          <w:color w:val="21286C"/>
          <w:sz w:val="21"/>
          <w:szCs w:val="20"/>
          <w:lang w:val="el-GR" w:bidi="el-GR"/>
        </w:rPr>
        <w:t xml:space="preserve"> να προβλέπει ρυθμό ανάπτυξης της τάξης του 3%. Η εκτίμηση αυτή αντανακλά χαλάρωση των εμπορικών εντάσεων, ευνοϊκότερες χρηματοοικονομικές συνθήκες και ανθεκτικότητα των θεμελιωδών μεγεθών στις κυριότερες αναδυόμενες αγορές. </w:t>
      </w:r>
      <w:r w:rsidR="00E65850">
        <w:rPr>
          <w:rFonts w:ascii="Calibri Light" w:hAnsi="Calibri Light" w:cs="Arial"/>
          <w:bCs/>
          <w:color w:val="21286C"/>
          <w:sz w:val="21"/>
          <w:szCs w:val="20"/>
          <w:lang w:val="el-GR" w:bidi="el-GR"/>
        </w:rPr>
        <w:t>Ο</w:t>
      </w:r>
      <w:r w:rsidRPr="00C3630C">
        <w:rPr>
          <w:rFonts w:ascii="Calibri Light" w:hAnsi="Calibri Light" w:cs="Arial"/>
          <w:bCs/>
          <w:color w:val="21286C"/>
          <w:sz w:val="21"/>
          <w:szCs w:val="20"/>
          <w:lang w:val="el-GR" w:bidi="el-GR"/>
        </w:rPr>
        <w:t>ι κίνδυνοι και η αβεβαιότητα παραμένουν αυξημένοι</w:t>
      </w:r>
      <w:r w:rsidRPr="00DE617E">
        <w:rPr>
          <w:rFonts w:ascii="Calibri Light" w:hAnsi="Calibri Light" w:cs="Arial"/>
          <w:bCs/>
          <w:color w:val="21286C"/>
          <w:sz w:val="21"/>
          <w:szCs w:val="20"/>
          <w:lang w:val="el-GR" w:bidi="el-GR"/>
        </w:rPr>
        <w:t>, καθώς ο πληθωρισμός</w:t>
      </w:r>
      <w:r w:rsidR="00DE617E" w:rsidRPr="00DE617E">
        <w:rPr>
          <w:rFonts w:ascii="Calibri Light" w:hAnsi="Calibri Light" w:cs="Arial"/>
          <w:bCs/>
          <w:color w:val="21286C"/>
          <w:sz w:val="21"/>
          <w:szCs w:val="20"/>
          <w:lang w:val="el-GR" w:bidi="el-GR"/>
        </w:rPr>
        <w:t xml:space="preserve"> </w:t>
      </w:r>
      <w:r w:rsidRPr="00DE617E">
        <w:rPr>
          <w:rFonts w:ascii="Calibri Light" w:hAnsi="Calibri Light" w:cs="Arial"/>
          <w:bCs/>
          <w:color w:val="21286C"/>
          <w:sz w:val="21"/>
          <w:szCs w:val="20"/>
          <w:lang w:val="el-GR" w:bidi="el-GR"/>
        </w:rPr>
        <w:t>και οι πιστωτικές συνθήκες ενδέχεται</w:t>
      </w:r>
      <w:r w:rsidRPr="00C3630C">
        <w:rPr>
          <w:rFonts w:ascii="Calibri Light" w:hAnsi="Calibri Light" w:cs="Arial"/>
          <w:bCs/>
          <w:color w:val="21286C"/>
          <w:sz w:val="21"/>
          <w:szCs w:val="20"/>
          <w:lang w:val="el-GR" w:bidi="el-GR"/>
        </w:rPr>
        <w:t xml:space="preserve"> να επιβραδύνουν την αναπτυξιακή πορεία. </w:t>
      </w:r>
      <w:r w:rsidR="000E680D" w:rsidRPr="00C3630C">
        <w:rPr>
          <w:rFonts w:ascii="Calibri Light" w:hAnsi="Calibri Light" w:cs="Arial"/>
          <w:bCs/>
          <w:color w:val="21286C"/>
          <w:sz w:val="21"/>
          <w:szCs w:val="20"/>
          <w:lang w:val="el-GR" w:bidi="el-GR"/>
        </w:rPr>
        <w:t xml:space="preserve">Ο </w:t>
      </w:r>
      <w:r w:rsidR="008E2246" w:rsidRPr="00C3630C">
        <w:rPr>
          <w:rFonts w:ascii="Calibri Light" w:hAnsi="Calibri Light" w:cs="Arial"/>
          <w:bCs/>
          <w:color w:val="21286C"/>
          <w:sz w:val="21"/>
          <w:szCs w:val="20"/>
          <w:lang w:val="el-GR" w:bidi="el-GR"/>
        </w:rPr>
        <w:t>Όμιλος</w:t>
      </w:r>
      <w:r w:rsidR="000E680D" w:rsidRPr="00C3630C">
        <w:rPr>
          <w:rFonts w:ascii="Calibri Light" w:hAnsi="Calibri Light" w:cs="Arial"/>
          <w:bCs/>
          <w:color w:val="21286C"/>
          <w:sz w:val="21"/>
          <w:szCs w:val="20"/>
          <w:lang w:val="el-GR" w:bidi="el-GR"/>
        </w:rPr>
        <w:t xml:space="preserve"> τοποθετείται ώστε να επωφελείται από τις διαφορετικές ευκαιρίες που αναδύονται, αξιοποιώντας </w:t>
      </w:r>
      <w:r w:rsidR="008C1AFE">
        <w:rPr>
          <w:rFonts w:ascii="Calibri Light" w:hAnsi="Calibri Light" w:cs="Arial"/>
          <w:bCs/>
          <w:color w:val="21286C"/>
          <w:sz w:val="21"/>
          <w:szCs w:val="20"/>
          <w:lang w:val="el-GR" w:bidi="el-GR"/>
        </w:rPr>
        <w:t>την γεωγραφική του παρουσία</w:t>
      </w:r>
      <w:r w:rsidR="000E680D" w:rsidRPr="00C3630C">
        <w:rPr>
          <w:rFonts w:ascii="Calibri Light" w:hAnsi="Calibri Light" w:cs="Arial"/>
          <w:bCs/>
          <w:color w:val="21286C"/>
          <w:sz w:val="21"/>
          <w:szCs w:val="20"/>
          <w:lang w:val="el-GR" w:bidi="el-GR"/>
        </w:rPr>
        <w:t xml:space="preserve">, το </w:t>
      </w:r>
      <w:r w:rsidR="0049684A" w:rsidRPr="00C3630C">
        <w:rPr>
          <w:rFonts w:ascii="Calibri Light" w:hAnsi="Calibri Light" w:cs="Arial"/>
          <w:bCs/>
          <w:color w:val="21286C"/>
          <w:sz w:val="21"/>
          <w:szCs w:val="20"/>
          <w:lang w:val="el-GR" w:bidi="el-GR"/>
        </w:rPr>
        <w:t xml:space="preserve">ισορροπημένο </w:t>
      </w:r>
      <w:r w:rsidR="000E680D" w:rsidRPr="00C3630C">
        <w:rPr>
          <w:rFonts w:ascii="Calibri Light" w:hAnsi="Calibri Light" w:cs="Arial"/>
          <w:bCs/>
          <w:color w:val="21286C"/>
          <w:sz w:val="21"/>
          <w:szCs w:val="20"/>
          <w:lang w:val="el-GR" w:bidi="el-GR"/>
        </w:rPr>
        <w:t xml:space="preserve">χαρτοφυλάκιο και τη λειτουργική </w:t>
      </w:r>
      <w:r w:rsidR="0049684A" w:rsidRPr="00C3630C">
        <w:rPr>
          <w:rFonts w:ascii="Calibri Light" w:hAnsi="Calibri Light" w:cs="Arial"/>
          <w:bCs/>
          <w:color w:val="21286C"/>
          <w:sz w:val="21"/>
          <w:szCs w:val="20"/>
          <w:lang w:val="el-GR" w:bidi="el-GR"/>
        </w:rPr>
        <w:t xml:space="preserve">του </w:t>
      </w:r>
      <w:r w:rsidR="000E680D" w:rsidRPr="00C3630C">
        <w:rPr>
          <w:rFonts w:ascii="Calibri Light" w:hAnsi="Calibri Light" w:cs="Arial"/>
          <w:bCs/>
          <w:color w:val="21286C"/>
          <w:sz w:val="21"/>
          <w:szCs w:val="20"/>
          <w:lang w:val="el-GR" w:bidi="el-GR"/>
        </w:rPr>
        <w:t xml:space="preserve">ευελιξία, </w:t>
      </w:r>
      <w:r w:rsidR="001F0A76" w:rsidRPr="00C3630C">
        <w:rPr>
          <w:rFonts w:ascii="Calibri Light" w:hAnsi="Calibri Light" w:cs="Arial"/>
          <w:bCs/>
          <w:color w:val="21286C"/>
          <w:sz w:val="21"/>
          <w:szCs w:val="20"/>
          <w:lang w:val="el-GR" w:bidi="el-GR"/>
        </w:rPr>
        <w:t>με στόχο την επίτευξη υψηλών επιπέδων</w:t>
      </w:r>
      <w:r w:rsidR="000E680D" w:rsidRPr="00C3630C">
        <w:rPr>
          <w:rFonts w:ascii="Calibri Light" w:hAnsi="Calibri Light" w:cs="Arial"/>
          <w:bCs/>
          <w:color w:val="21286C"/>
          <w:sz w:val="21"/>
          <w:szCs w:val="20"/>
          <w:lang w:val="el-GR" w:bidi="el-GR"/>
        </w:rPr>
        <w:t xml:space="preserve"> ανάπτυξης.</w:t>
      </w:r>
    </w:p>
    <w:p w14:paraId="2DC2D5A4" w14:textId="1C5358DA" w:rsidR="005E4042" w:rsidRPr="00C3630C" w:rsidRDefault="000E680D" w:rsidP="00582169">
      <w:pPr>
        <w:pStyle w:val="NoSpacing"/>
        <w:jc w:val="both"/>
        <w:rPr>
          <w:rFonts w:ascii="Calibri Light" w:hAnsi="Calibri Light" w:cs="Arial"/>
          <w:bCs/>
          <w:color w:val="21286C"/>
          <w:sz w:val="21"/>
          <w:szCs w:val="20"/>
          <w:lang w:val="el-GR" w:bidi="el-GR"/>
        </w:rPr>
      </w:pPr>
      <w:r w:rsidRPr="00C3630C">
        <w:rPr>
          <w:rFonts w:ascii="Calibri Light" w:hAnsi="Calibri Light" w:cs="Arial"/>
          <w:bCs/>
          <w:color w:val="21286C"/>
          <w:sz w:val="21"/>
          <w:szCs w:val="20"/>
          <w:lang w:val="el-GR" w:bidi="el-GR"/>
        </w:rPr>
        <w:t xml:space="preserve">Η οικονομία των ΗΠΑ ενδέχεται να παραμείνει σε επίπεδα χαμηλότερα των </w:t>
      </w:r>
      <w:r w:rsidR="00C075E3">
        <w:rPr>
          <w:rFonts w:ascii="Calibri Light" w:hAnsi="Calibri Light" w:cs="Arial"/>
          <w:bCs/>
          <w:color w:val="21286C"/>
          <w:sz w:val="21"/>
          <w:szCs w:val="20"/>
          <w:lang w:val="el-GR" w:bidi="el-GR"/>
        </w:rPr>
        <w:t>έως τώρα</w:t>
      </w:r>
      <w:r w:rsidR="00C075E3" w:rsidRPr="00C3630C">
        <w:rPr>
          <w:rFonts w:ascii="Calibri Light" w:hAnsi="Calibri Light" w:cs="Arial"/>
          <w:bCs/>
          <w:color w:val="21286C"/>
          <w:sz w:val="21"/>
          <w:szCs w:val="20"/>
          <w:lang w:val="el-GR" w:bidi="el-GR"/>
        </w:rPr>
        <w:t xml:space="preserve"> </w:t>
      </w:r>
      <w:r w:rsidRPr="00C3630C">
        <w:rPr>
          <w:rFonts w:ascii="Calibri Light" w:hAnsi="Calibri Light" w:cs="Arial"/>
          <w:bCs/>
          <w:color w:val="21286C"/>
          <w:sz w:val="21"/>
          <w:szCs w:val="20"/>
          <w:lang w:val="el-GR" w:bidi="el-GR"/>
        </w:rPr>
        <w:t xml:space="preserve">τάσεων για το </w:t>
      </w:r>
      <w:r w:rsidR="000C1C47" w:rsidRPr="00C3630C">
        <w:rPr>
          <w:rFonts w:ascii="Calibri Light" w:hAnsi="Calibri Light" w:cs="Arial"/>
          <w:bCs/>
          <w:color w:val="21286C"/>
          <w:sz w:val="21"/>
          <w:szCs w:val="20"/>
          <w:lang w:val="el-GR" w:bidi="el-GR"/>
        </w:rPr>
        <w:t>υπόλοιπο</w:t>
      </w:r>
      <w:r w:rsidRPr="00C3630C">
        <w:rPr>
          <w:rFonts w:ascii="Calibri Light" w:hAnsi="Calibri Light" w:cs="Arial"/>
          <w:bCs/>
          <w:color w:val="21286C"/>
          <w:sz w:val="21"/>
          <w:szCs w:val="20"/>
          <w:lang w:val="el-GR" w:bidi="el-GR"/>
        </w:rPr>
        <w:t xml:space="preserve"> του 2025, ενώ μια ήπια ανάπτυξη αναμένεται να σημειωθεί </w:t>
      </w:r>
      <w:r w:rsidR="00F23EDA" w:rsidRPr="00C3630C">
        <w:rPr>
          <w:rFonts w:ascii="Calibri Light" w:hAnsi="Calibri Light" w:cs="Arial"/>
          <w:bCs/>
          <w:color w:val="21286C"/>
          <w:sz w:val="21"/>
          <w:szCs w:val="20"/>
          <w:lang w:val="el-GR" w:bidi="el-GR"/>
        </w:rPr>
        <w:t xml:space="preserve">το </w:t>
      </w:r>
      <w:r w:rsidRPr="00C3630C">
        <w:rPr>
          <w:rFonts w:ascii="Calibri Light" w:hAnsi="Calibri Light" w:cs="Arial"/>
          <w:bCs/>
          <w:color w:val="21286C"/>
          <w:sz w:val="21"/>
          <w:szCs w:val="20"/>
          <w:lang w:val="el-GR" w:bidi="el-GR"/>
        </w:rPr>
        <w:t xml:space="preserve">2026. Η </w:t>
      </w:r>
      <w:r w:rsidR="00F23EDA" w:rsidRPr="00C3630C">
        <w:rPr>
          <w:rFonts w:ascii="Calibri Light" w:hAnsi="Calibri Light" w:cs="Arial"/>
          <w:bCs/>
          <w:color w:val="21286C"/>
          <w:sz w:val="21"/>
          <w:szCs w:val="20"/>
          <w:lang w:val="el-GR" w:bidi="el-GR"/>
        </w:rPr>
        <w:t xml:space="preserve">ιδιωτική </w:t>
      </w:r>
      <w:r w:rsidRPr="00C3630C">
        <w:rPr>
          <w:rFonts w:ascii="Calibri Light" w:hAnsi="Calibri Light" w:cs="Arial"/>
          <w:bCs/>
          <w:color w:val="21286C"/>
          <w:sz w:val="21"/>
          <w:szCs w:val="20"/>
          <w:lang w:val="el-GR" w:bidi="el-GR"/>
        </w:rPr>
        <w:t>κατανάλωση</w:t>
      </w:r>
      <w:r w:rsidR="00F23EDA" w:rsidRPr="00C3630C">
        <w:rPr>
          <w:rFonts w:ascii="Calibri Light" w:hAnsi="Calibri Light" w:cs="Arial"/>
          <w:bCs/>
          <w:color w:val="21286C"/>
          <w:sz w:val="21"/>
          <w:szCs w:val="20"/>
          <w:lang w:val="el-GR" w:bidi="el-GR"/>
        </w:rPr>
        <w:t xml:space="preserve"> </w:t>
      </w:r>
      <w:r w:rsidRPr="00C3630C">
        <w:rPr>
          <w:rFonts w:ascii="Calibri Light" w:hAnsi="Calibri Light" w:cs="Arial"/>
          <w:bCs/>
          <w:color w:val="21286C"/>
          <w:sz w:val="21"/>
          <w:szCs w:val="20"/>
          <w:lang w:val="el-GR" w:bidi="el-GR"/>
        </w:rPr>
        <w:t xml:space="preserve">εξακολουθεί να </w:t>
      </w:r>
      <w:r w:rsidR="00DD64C1" w:rsidRPr="00C3630C">
        <w:rPr>
          <w:rFonts w:ascii="Calibri Light" w:hAnsi="Calibri Light" w:cs="Arial"/>
          <w:bCs/>
          <w:color w:val="21286C"/>
          <w:sz w:val="21"/>
          <w:szCs w:val="20"/>
          <w:lang w:val="el-GR" w:bidi="el-GR"/>
        </w:rPr>
        <w:t>αποτελεί βασικό μοχλό ανάπτυξης</w:t>
      </w:r>
      <w:r w:rsidR="00211FF4" w:rsidRPr="00B9016C">
        <w:rPr>
          <w:rFonts w:ascii="Calibri Light" w:hAnsi="Calibri Light" w:cs="Arial"/>
          <w:bCs/>
          <w:color w:val="21286C"/>
          <w:sz w:val="21"/>
          <w:szCs w:val="20"/>
          <w:lang w:val="el-GR" w:bidi="el-GR"/>
        </w:rPr>
        <w:t xml:space="preserve"> </w:t>
      </w:r>
      <w:r w:rsidR="00211FF4">
        <w:rPr>
          <w:rFonts w:ascii="Calibri Light" w:hAnsi="Calibri Light" w:cs="Arial"/>
          <w:bCs/>
          <w:color w:val="21286C"/>
          <w:sz w:val="21"/>
          <w:szCs w:val="20"/>
          <w:lang w:val="el-GR" w:bidi="el-GR"/>
        </w:rPr>
        <w:t>του ΑΕΠ</w:t>
      </w:r>
      <w:r w:rsidRPr="00C3630C">
        <w:rPr>
          <w:rFonts w:ascii="Calibri Light" w:hAnsi="Calibri Light" w:cs="Arial"/>
          <w:bCs/>
          <w:color w:val="21286C"/>
          <w:sz w:val="21"/>
          <w:szCs w:val="20"/>
          <w:lang w:val="el-GR" w:bidi="el-GR"/>
        </w:rPr>
        <w:t xml:space="preserve">, </w:t>
      </w:r>
      <w:r w:rsidR="00DD64C1" w:rsidRPr="00C3630C">
        <w:rPr>
          <w:rFonts w:ascii="Calibri Light" w:hAnsi="Calibri Light" w:cs="Arial"/>
          <w:bCs/>
          <w:color w:val="21286C"/>
          <w:sz w:val="21"/>
          <w:szCs w:val="20"/>
          <w:lang w:val="el-GR" w:bidi="el-GR"/>
        </w:rPr>
        <w:t xml:space="preserve">παραμένοντας ωστόσο </w:t>
      </w:r>
      <w:r w:rsidR="00BB0E60">
        <w:rPr>
          <w:rFonts w:ascii="Calibri Light" w:hAnsi="Calibri Light" w:cs="Arial"/>
          <w:bCs/>
          <w:color w:val="21286C"/>
          <w:sz w:val="21"/>
          <w:szCs w:val="20"/>
          <w:lang w:val="el-GR" w:bidi="el-GR"/>
        </w:rPr>
        <w:t>συνδεδεμένη με τους</w:t>
      </w:r>
      <w:r w:rsidRPr="00C3630C">
        <w:rPr>
          <w:rFonts w:ascii="Calibri Light" w:hAnsi="Calibri Light" w:cs="Arial"/>
          <w:bCs/>
          <w:color w:val="21286C"/>
          <w:sz w:val="21"/>
          <w:szCs w:val="20"/>
          <w:lang w:val="el-GR" w:bidi="el-GR"/>
        </w:rPr>
        <w:t xml:space="preserve"> δασμούς, το υψηλότερο κόστος δανεισμού και την </w:t>
      </w:r>
      <w:r w:rsidR="00980AAA" w:rsidRPr="00C3630C">
        <w:rPr>
          <w:rFonts w:ascii="Calibri Light" w:hAnsi="Calibri Light" w:cs="Arial"/>
          <w:bCs/>
          <w:color w:val="21286C"/>
          <w:sz w:val="21"/>
          <w:szCs w:val="20"/>
          <w:lang w:val="el-GR" w:bidi="el-GR"/>
        </w:rPr>
        <w:t xml:space="preserve">μεταβλητότητα </w:t>
      </w:r>
      <w:r w:rsidR="00DC2A76">
        <w:rPr>
          <w:rFonts w:ascii="Calibri Light" w:hAnsi="Calibri Light" w:cs="Arial"/>
          <w:bCs/>
          <w:color w:val="21286C"/>
          <w:sz w:val="21"/>
          <w:szCs w:val="20"/>
          <w:lang w:val="el-GR" w:bidi="el-GR"/>
        </w:rPr>
        <w:t xml:space="preserve">της </w:t>
      </w:r>
      <w:r w:rsidR="001160EC">
        <w:rPr>
          <w:rFonts w:ascii="Calibri Light" w:hAnsi="Calibri Light" w:cs="Arial"/>
          <w:bCs/>
          <w:color w:val="21286C"/>
          <w:sz w:val="21"/>
          <w:szCs w:val="20"/>
          <w:lang w:val="el-GR" w:bidi="el-GR"/>
        </w:rPr>
        <w:t xml:space="preserve">καταναλωτικής </w:t>
      </w:r>
      <w:r w:rsidR="00DC2A76">
        <w:rPr>
          <w:rFonts w:ascii="Calibri Light" w:hAnsi="Calibri Light" w:cs="Arial"/>
          <w:bCs/>
          <w:color w:val="21286C"/>
          <w:sz w:val="21"/>
          <w:szCs w:val="20"/>
          <w:lang w:val="el-GR" w:bidi="el-GR"/>
        </w:rPr>
        <w:t xml:space="preserve">εμπιστοσύνης. </w:t>
      </w:r>
      <w:r w:rsidRPr="00C3630C">
        <w:rPr>
          <w:rFonts w:ascii="Calibri Light" w:hAnsi="Calibri Light" w:cs="Arial"/>
          <w:bCs/>
          <w:color w:val="21286C"/>
          <w:sz w:val="21"/>
          <w:szCs w:val="20"/>
          <w:lang w:val="el-GR" w:bidi="el-GR"/>
        </w:rPr>
        <w:t xml:space="preserve">Παρά τις βραχυπρόθεσμες </w:t>
      </w:r>
      <w:r w:rsidR="00980AAA" w:rsidRPr="00C3630C">
        <w:rPr>
          <w:rFonts w:ascii="Calibri Light" w:hAnsi="Calibri Light" w:cs="Arial"/>
          <w:bCs/>
          <w:color w:val="21286C"/>
          <w:sz w:val="21"/>
          <w:szCs w:val="20"/>
          <w:lang w:val="el-GR" w:bidi="el-GR"/>
        </w:rPr>
        <w:t>προκλήσεις</w:t>
      </w:r>
      <w:r w:rsidRPr="00C3630C">
        <w:rPr>
          <w:rFonts w:ascii="Calibri Light" w:hAnsi="Calibri Light" w:cs="Arial"/>
          <w:bCs/>
          <w:color w:val="21286C"/>
          <w:sz w:val="21"/>
          <w:szCs w:val="20"/>
          <w:lang w:val="el-GR" w:bidi="el-GR"/>
        </w:rPr>
        <w:t xml:space="preserve">, η αγορά κατοικίας </w:t>
      </w:r>
      <w:r w:rsidR="00DB7EA0" w:rsidRPr="00C3630C">
        <w:rPr>
          <w:rFonts w:ascii="Calibri Light" w:hAnsi="Calibri Light" w:cs="Arial"/>
          <w:bCs/>
          <w:color w:val="21286C"/>
          <w:sz w:val="21"/>
          <w:szCs w:val="20"/>
          <w:lang w:val="el-GR" w:bidi="el-GR"/>
        </w:rPr>
        <w:t xml:space="preserve">στις ΗΠΑ </w:t>
      </w:r>
      <w:r w:rsidRPr="00C3630C">
        <w:rPr>
          <w:rFonts w:ascii="Calibri Light" w:hAnsi="Calibri Light" w:cs="Arial"/>
          <w:bCs/>
          <w:color w:val="21286C"/>
          <w:sz w:val="21"/>
          <w:szCs w:val="20"/>
          <w:lang w:val="el-GR" w:bidi="el-GR"/>
        </w:rPr>
        <w:t xml:space="preserve">εξακολουθεί να είναι σε μεγάλο βαθμό </w:t>
      </w:r>
      <w:r w:rsidR="00BB0E60">
        <w:rPr>
          <w:rFonts w:ascii="Calibri Light" w:hAnsi="Calibri Light" w:cs="Arial"/>
          <w:bCs/>
          <w:color w:val="21286C"/>
          <w:sz w:val="21"/>
          <w:szCs w:val="20"/>
          <w:lang w:val="el-GR" w:bidi="el-GR"/>
        </w:rPr>
        <w:t>μη επαρκής</w:t>
      </w:r>
      <w:r w:rsidR="00BB0E60" w:rsidRPr="00C3630C">
        <w:rPr>
          <w:rFonts w:ascii="Calibri Light" w:hAnsi="Calibri Light" w:cs="Arial"/>
          <w:bCs/>
          <w:color w:val="21286C"/>
          <w:sz w:val="21"/>
          <w:szCs w:val="20"/>
          <w:lang w:val="el-GR" w:bidi="el-GR"/>
        </w:rPr>
        <w:t xml:space="preserve"> </w:t>
      </w:r>
      <w:r w:rsidRPr="00C3630C">
        <w:rPr>
          <w:rFonts w:ascii="Calibri Light" w:hAnsi="Calibri Light" w:cs="Arial"/>
          <w:bCs/>
          <w:color w:val="21286C"/>
          <w:sz w:val="21"/>
          <w:szCs w:val="20"/>
          <w:lang w:val="el-GR" w:bidi="el-GR"/>
        </w:rPr>
        <w:t xml:space="preserve">και εκτιμάται ότι έως το 2033 θα υπάρχει ανάγκη για την κατασκευή περίπου 1,8 εκ. νέων κατοικιών ετησίως. </w:t>
      </w:r>
      <w:r w:rsidR="009077D0" w:rsidRPr="00C3630C">
        <w:rPr>
          <w:rFonts w:ascii="Calibri Light" w:hAnsi="Calibri Light" w:cs="Arial"/>
          <w:bCs/>
          <w:color w:val="21286C"/>
          <w:sz w:val="21"/>
          <w:szCs w:val="20"/>
          <w:lang w:val="el-GR" w:bidi="el-GR"/>
        </w:rPr>
        <w:t>Αν και τα υψηλότερα επιτόκια έχουν επηρεάσει αρνητικά την αγορά, οι πρόσφατες κινήσεις της Ομοσπονδιακής Τράπεζας (</w:t>
      </w:r>
      <w:r w:rsidR="009077D0" w:rsidRPr="00C3630C">
        <w:rPr>
          <w:rFonts w:ascii="Calibri Light" w:hAnsi="Calibri Light" w:cs="Arial"/>
          <w:bCs/>
          <w:color w:val="21286C"/>
          <w:sz w:val="21"/>
          <w:szCs w:val="20"/>
          <w:lang w:val="en-US" w:bidi="el-GR"/>
        </w:rPr>
        <w:t>Fed</w:t>
      </w:r>
      <w:r w:rsidR="009077D0" w:rsidRPr="00C3630C">
        <w:rPr>
          <w:rFonts w:ascii="Calibri Light" w:hAnsi="Calibri Light" w:cs="Arial"/>
          <w:bCs/>
          <w:color w:val="21286C"/>
          <w:sz w:val="21"/>
          <w:szCs w:val="20"/>
          <w:lang w:val="el-GR" w:bidi="el-GR"/>
        </w:rPr>
        <w:t xml:space="preserve">) υποδεικνύουν πιθανή καμπή έως τα μέσα του 2026. </w:t>
      </w:r>
      <w:r w:rsidRPr="00C3630C">
        <w:rPr>
          <w:rFonts w:ascii="Calibri Light" w:hAnsi="Calibri Light" w:cs="Arial"/>
          <w:bCs/>
          <w:color w:val="21286C"/>
          <w:sz w:val="21"/>
          <w:szCs w:val="20"/>
          <w:lang w:val="el-GR" w:bidi="el-GR"/>
        </w:rPr>
        <w:t xml:space="preserve">Οι επενδύσεις σε υποδομές </w:t>
      </w:r>
      <w:r w:rsidR="0014604B" w:rsidRPr="00C3630C">
        <w:rPr>
          <w:rFonts w:ascii="Calibri Light" w:hAnsi="Calibri Light" w:cs="Arial"/>
          <w:bCs/>
          <w:color w:val="21286C"/>
          <w:sz w:val="21"/>
          <w:szCs w:val="20"/>
          <w:lang w:val="el-GR" w:bidi="el-GR"/>
        </w:rPr>
        <w:t>προσφέρουν τις μεγαλύτερες προοπτικές</w:t>
      </w:r>
      <w:r w:rsidRPr="00C3630C">
        <w:rPr>
          <w:rFonts w:ascii="Calibri Light" w:hAnsi="Calibri Light" w:cs="Arial"/>
          <w:bCs/>
          <w:color w:val="21286C"/>
          <w:sz w:val="21"/>
          <w:szCs w:val="20"/>
          <w:lang w:val="el-GR" w:bidi="el-GR"/>
        </w:rPr>
        <w:t xml:space="preserve"> ανάπτυξη</w:t>
      </w:r>
      <w:r w:rsidR="0014604B" w:rsidRPr="00C3630C">
        <w:rPr>
          <w:rFonts w:ascii="Calibri Light" w:hAnsi="Calibri Light" w:cs="Arial"/>
          <w:bCs/>
          <w:color w:val="21286C"/>
          <w:sz w:val="21"/>
          <w:szCs w:val="20"/>
          <w:lang w:val="el-GR" w:bidi="el-GR"/>
        </w:rPr>
        <w:t>ς</w:t>
      </w:r>
      <w:r w:rsidRPr="00C3630C">
        <w:rPr>
          <w:rFonts w:ascii="Calibri Light" w:hAnsi="Calibri Light" w:cs="Arial"/>
          <w:bCs/>
          <w:color w:val="21286C"/>
          <w:sz w:val="21"/>
          <w:szCs w:val="20"/>
          <w:lang w:val="el-GR" w:bidi="el-GR"/>
        </w:rPr>
        <w:t xml:space="preserve">, καθώς οι αυτοκινητόδρομοι και οι δημόσιες συγκοινωνίες χαίρουν στήριξης και από τα δύο κόμματα, ενώ </w:t>
      </w:r>
      <w:r w:rsidR="00722A40">
        <w:rPr>
          <w:rFonts w:ascii="Calibri Light" w:hAnsi="Calibri Light" w:cs="Arial"/>
          <w:bCs/>
          <w:color w:val="21286C"/>
          <w:sz w:val="21"/>
          <w:szCs w:val="20"/>
          <w:lang w:val="el-GR" w:bidi="el-GR"/>
        </w:rPr>
        <w:t>η επέκταση του Νόμου</w:t>
      </w:r>
      <w:r w:rsidRPr="00C3630C">
        <w:rPr>
          <w:rFonts w:ascii="Calibri Light" w:hAnsi="Calibri Light" w:cs="Arial"/>
          <w:bCs/>
          <w:color w:val="21286C"/>
          <w:sz w:val="21"/>
          <w:szCs w:val="20"/>
          <w:lang w:val="el-GR" w:bidi="el-GR"/>
        </w:rPr>
        <w:t xml:space="preserve"> περί Επενδύσεων Υποδομών και Θέσεων Εργασίας (IIJA) αναμένεται</w:t>
      </w:r>
      <w:r w:rsidRPr="00C3630C" w:rsidDel="006D32D7">
        <w:rPr>
          <w:rFonts w:ascii="Calibri Light" w:hAnsi="Calibri Light" w:cs="Arial"/>
          <w:bCs/>
          <w:color w:val="21286C"/>
          <w:sz w:val="21"/>
          <w:szCs w:val="20"/>
          <w:lang w:val="el-GR" w:bidi="el-GR"/>
        </w:rPr>
        <w:t xml:space="preserve"> </w:t>
      </w:r>
      <w:r w:rsidRPr="00C3630C">
        <w:rPr>
          <w:rFonts w:ascii="Calibri Light" w:hAnsi="Calibri Light" w:cs="Arial"/>
          <w:bCs/>
          <w:color w:val="21286C"/>
          <w:sz w:val="21"/>
          <w:szCs w:val="20"/>
          <w:lang w:val="el-GR" w:bidi="el-GR"/>
        </w:rPr>
        <w:t xml:space="preserve">το φθινόπωρο του 2026. </w:t>
      </w:r>
      <w:r w:rsidRPr="00C3630C">
        <w:rPr>
          <w:rFonts w:ascii="Calibri Light" w:hAnsi="Calibri Light" w:cs="Arial"/>
          <w:bCs/>
          <w:color w:val="21286C"/>
          <w:sz w:val="21"/>
          <w:szCs w:val="20"/>
          <w:lang w:val="el-GR" w:bidi="el-GR"/>
        </w:rPr>
        <w:lastRenderedPageBreak/>
        <w:t xml:space="preserve">Η κατασκευαστική δραστηριότητα στον κλάδο </w:t>
      </w:r>
      <w:r w:rsidR="004F7F36">
        <w:rPr>
          <w:rFonts w:ascii="Calibri Light" w:hAnsi="Calibri Light" w:cs="Arial"/>
          <w:bCs/>
          <w:color w:val="21286C"/>
          <w:sz w:val="21"/>
          <w:szCs w:val="20"/>
          <w:lang w:val="el-GR" w:bidi="el-GR"/>
        </w:rPr>
        <w:t xml:space="preserve">ιδιωτικών </w:t>
      </w:r>
      <w:r w:rsidRPr="00C3630C">
        <w:rPr>
          <w:rFonts w:ascii="Calibri Light" w:hAnsi="Calibri Light" w:cs="Arial"/>
          <w:bCs/>
          <w:color w:val="21286C"/>
          <w:sz w:val="21"/>
          <w:szCs w:val="20"/>
          <w:lang w:val="el-GR" w:bidi="el-GR"/>
        </w:rPr>
        <w:t>εμπορικών ακινήτων αναμένεται να σημειώσει ήπια άνοδο</w:t>
      </w:r>
      <w:r w:rsidR="001A02F7" w:rsidRPr="00C3630C">
        <w:rPr>
          <w:rFonts w:ascii="Calibri Light" w:hAnsi="Calibri Light" w:cs="Arial"/>
          <w:bCs/>
          <w:color w:val="21286C"/>
          <w:sz w:val="21"/>
          <w:szCs w:val="20"/>
          <w:lang w:val="el-GR" w:bidi="el-GR"/>
        </w:rPr>
        <w:t>, με</w:t>
      </w:r>
      <w:r w:rsidRPr="00C3630C">
        <w:rPr>
          <w:rFonts w:ascii="Calibri Light" w:hAnsi="Calibri Light" w:cs="Arial"/>
          <w:bCs/>
          <w:color w:val="21286C"/>
          <w:sz w:val="21"/>
          <w:szCs w:val="20"/>
          <w:lang w:val="el-GR" w:bidi="el-GR"/>
        </w:rPr>
        <w:t xml:space="preserve"> τα κέντρα δεδομένων, </w:t>
      </w:r>
      <w:r w:rsidR="002145AD" w:rsidRPr="00C3630C">
        <w:rPr>
          <w:rFonts w:ascii="Calibri Light" w:hAnsi="Calibri Light" w:cs="Arial"/>
          <w:bCs/>
          <w:color w:val="21286C"/>
          <w:sz w:val="21"/>
          <w:szCs w:val="20"/>
          <w:lang w:val="el-GR" w:bidi="el-GR"/>
        </w:rPr>
        <w:t xml:space="preserve">τις εγκαταστάσεις </w:t>
      </w:r>
      <w:r w:rsidR="002145AD" w:rsidRPr="00C3630C">
        <w:rPr>
          <w:rFonts w:ascii="Calibri Light" w:hAnsi="Calibri Light" w:cs="Arial"/>
          <w:bCs/>
          <w:color w:val="21286C"/>
          <w:sz w:val="21"/>
          <w:szCs w:val="20"/>
          <w:lang w:val="en-US" w:bidi="el-GR"/>
        </w:rPr>
        <w:t>logistics</w:t>
      </w:r>
      <w:r w:rsidR="002145AD" w:rsidRPr="00C3630C">
        <w:rPr>
          <w:rFonts w:ascii="Calibri Light" w:hAnsi="Calibri Light" w:cs="Arial"/>
          <w:bCs/>
          <w:color w:val="21286C"/>
          <w:sz w:val="21"/>
          <w:szCs w:val="20"/>
          <w:lang w:val="el-GR" w:bidi="el-GR"/>
        </w:rPr>
        <w:t xml:space="preserve"> και τις </w:t>
      </w:r>
      <w:r w:rsidRPr="00C3630C">
        <w:rPr>
          <w:rFonts w:ascii="Calibri Light" w:hAnsi="Calibri Light" w:cs="Arial"/>
          <w:bCs/>
          <w:color w:val="21286C"/>
          <w:sz w:val="21"/>
          <w:szCs w:val="20"/>
          <w:lang w:val="el-GR" w:bidi="el-GR"/>
        </w:rPr>
        <w:t xml:space="preserve">βιομηχανικές μονάδες </w:t>
      </w:r>
      <w:r w:rsidR="009F2669" w:rsidRPr="00C3630C">
        <w:rPr>
          <w:rFonts w:ascii="Calibri Light" w:hAnsi="Calibri Light" w:cs="Arial"/>
          <w:bCs/>
          <w:color w:val="21286C"/>
          <w:sz w:val="21"/>
          <w:szCs w:val="20"/>
          <w:lang w:val="el-GR" w:bidi="el-GR"/>
        </w:rPr>
        <w:t>να ηγούνται της τάσης</w:t>
      </w:r>
      <w:r w:rsidRPr="00C3630C">
        <w:rPr>
          <w:rFonts w:ascii="Calibri Light" w:hAnsi="Calibri Light" w:cs="Arial"/>
          <w:bCs/>
          <w:color w:val="21286C"/>
          <w:sz w:val="21"/>
          <w:szCs w:val="20"/>
          <w:lang w:val="el-GR" w:bidi="el-GR"/>
        </w:rPr>
        <w:t xml:space="preserve">. </w:t>
      </w:r>
      <w:r w:rsidR="005E4042" w:rsidRPr="00C3630C">
        <w:rPr>
          <w:rFonts w:ascii="Calibri Light" w:hAnsi="Calibri Light" w:cs="Arial"/>
          <w:bCs/>
          <w:color w:val="21286C"/>
          <w:sz w:val="21"/>
          <w:szCs w:val="20"/>
          <w:lang w:val="el-GR" w:bidi="el-GR"/>
        </w:rPr>
        <w:t>Ο Όμιλος ΤΙΤΑΝ, αξιοποιώντας το δίκτυο και τις δυνατότητες διανομής και διακίνησης που διαθέτει, καθώς και τις πρόσφατες επενδύσεις, είναι κατάλληλα προετοιμασμένος για να ανταποκριθεί στην αναδυόμενη ζήτηση.</w:t>
      </w:r>
    </w:p>
    <w:p w14:paraId="1E539956" w14:textId="2E509177" w:rsidR="000E680D" w:rsidRPr="00C3630C" w:rsidRDefault="000E680D" w:rsidP="00582169">
      <w:pPr>
        <w:pStyle w:val="NoSpacing"/>
        <w:jc w:val="both"/>
        <w:rPr>
          <w:rFonts w:ascii="Calibri Light" w:hAnsi="Calibri Light" w:cs="Arial"/>
          <w:color w:val="21286C"/>
          <w:sz w:val="21"/>
          <w:szCs w:val="20"/>
          <w:lang w:val="el-GR" w:bidi="el-GR"/>
        </w:rPr>
      </w:pPr>
      <w:r w:rsidRPr="00C3630C">
        <w:rPr>
          <w:rFonts w:ascii="Calibri Light" w:hAnsi="Calibri Light" w:cs="Arial"/>
          <w:bCs/>
          <w:color w:val="21286C"/>
          <w:sz w:val="21"/>
          <w:szCs w:val="20"/>
          <w:lang w:val="el-GR" w:bidi="el-GR"/>
        </w:rPr>
        <w:t xml:space="preserve">Η Ελλάδα αναμένεται να διατηρήσει τη δυναμική αναπτυξιακή πορεία της έως το τέλος του 2025, ενώ και για το 2026 </w:t>
      </w:r>
      <w:r w:rsidR="000B2028" w:rsidRPr="00C3630C">
        <w:rPr>
          <w:rFonts w:ascii="Calibri Light" w:hAnsi="Calibri Light" w:cs="Arial"/>
          <w:bCs/>
          <w:color w:val="21286C"/>
          <w:sz w:val="21"/>
          <w:szCs w:val="20"/>
          <w:lang w:val="el-GR" w:bidi="el-GR"/>
        </w:rPr>
        <w:t>προβλέπονται αντίστοιχες</w:t>
      </w:r>
      <w:r w:rsidRPr="00C3630C">
        <w:rPr>
          <w:rFonts w:ascii="Calibri Light" w:hAnsi="Calibri Light" w:cs="Arial"/>
          <w:bCs/>
          <w:color w:val="21286C"/>
          <w:sz w:val="21"/>
          <w:szCs w:val="20"/>
          <w:lang w:val="el-GR" w:bidi="el-GR"/>
        </w:rPr>
        <w:t xml:space="preserve"> επιδόσεις</w:t>
      </w:r>
      <w:r w:rsidR="000B2028" w:rsidRPr="00C3630C">
        <w:rPr>
          <w:rFonts w:ascii="Calibri Light" w:hAnsi="Calibri Light" w:cs="Arial"/>
          <w:bCs/>
          <w:color w:val="21286C"/>
          <w:sz w:val="21"/>
          <w:szCs w:val="20"/>
          <w:lang w:val="el-GR" w:bidi="el-GR"/>
        </w:rPr>
        <w:t>,</w:t>
      </w:r>
      <w:r w:rsidRPr="00C3630C">
        <w:rPr>
          <w:rFonts w:ascii="Calibri Light" w:hAnsi="Calibri Light" w:cs="Arial"/>
          <w:bCs/>
          <w:color w:val="21286C"/>
          <w:sz w:val="21"/>
          <w:szCs w:val="20"/>
          <w:lang w:val="el-GR" w:bidi="el-GR"/>
        </w:rPr>
        <w:t xml:space="preserve"> σε επίπεδα υψηλότερα από </w:t>
      </w:r>
      <w:r w:rsidR="001E117D">
        <w:rPr>
          <w:rFonts w:ascii="Calibri Light" w:hAnsi="Calibri Light" w:cs="Arial"/>
          <w:bCs/>
          <w:color w:val="21286C"/>
          <w:sz w:val="21"/>
          <w:szCs w:val="20"/>
          <w:lang w:val="el-GR" w:bidi="el-GR"/>
        </w:rPr>
        <w:t xml:space="preserve">αυτά του </w:t>
      </w:r>
      <w:r w:rsidRPr="00C3630C">
        <w:rPr>
          <w:rFonts w:ascii="Calibri Light" w:hAnsi="Calibri Light" w:cs="Arial"/>
          <w:bCs/>
          <w:color w:val="21286C"/>
          <w:sz w:val="21"/>
          <w:szCs w:val="20"/>
          <w:lang w:val="el-GR" w:bidi="el-GR"/>
        </w:rPr>
        <w:t>μέσο</w:t>
      </w:r>
      <w:r w:rsidR="001E117D">
        <w:rPr>
          <w:rFonts w:ascii="Calibri Light" w:hAnsi="Calibri Light" w:cs="Arial"/>
          <w:bCs/>
          <w:color w:val="21286C"/>
          <w:sz w:val="21"/>
          <w:szCs w:val="20"/>
          <w:lang w:val="el-GR" w:bidi="el-GR"/>
        </w:rPr>
        <w:t>υ</w:t>
      </w:r>
      <w:r w:rsidRPr="00C3630C">
        <w:rPr>
          <w:rFonts w:ascii="Calibri Light" w:hAnsi="Calibri Light" w:cs="Arial"/>
          <w:bCs/>
          <w:color w:val="21286C"/>
          <w:sz w:val="21"/>
          <w:szCs w:val="20"/>
          <w:lang w:val="el-GR" w:bidi="el-GR"/>
        </w:rPr>
        <w:t xml:space="preserve"> όρο</w:t>
      </w:r>
      <w:r w:rsidR="001E117D">
        <w:rPr>
          <w:rFonts w:ascii="Calibri Light" w:hAnsi="Calibri Light" w:cs="Arial"/>
          <w:bCs/>
          <w:color w:val="21286C"/>
          <w:sz w:val="21"/>
          <w:szCs w:val="20"/>
          <w:lang w:val="el-GR" w:bidi="el-GR"/>
        </w:rPr>
        <w:t>υ</w:t>
      </w:r>
      <w:r w:rsidRPr="00C3630C">
        <w:rPr>
          <w:rFonts w:ascii="Calibri Light" w:hAnsi="Calibri Light" w:cs="Arial"/>
          <w:bCs/>
          <w:color w:val="21286C"/>
          <w:sz w:val="21"/>
          <w:szCs w:val="20"/>
          <w:lang w:val="el-GR" w:bidi="el-GR"/>
        </w:rPr>
        <w:t xml:space="preserve"> της ευρωζώνης. Η </w:t>
      </w:r>
      <w:r w:rsidR="00992FD1" w:rsidRPr="00C3630C">
        <w:rPr>
          <w:rFonts w:ascii="Calibri Light" w:hAnsi="Calibri Light" w:cs="Arial"/>
          <w:bCs/>
          <w:color w:val="21286C"/>
          <w:sz w:val="21"/>
          <w:szCs w:val="20"/>
          <w:lang w:val="el-GR" w:bidi="el-GR"/>
        </w:rPr>
        <w:t xml:space="preserve">ιδιωτική </w:t>
      </w:r>
      <w:r w:rsidRPr="00C3630C">
        <w:rPr>
          <w:rFonts w:ascii="Calibri Light" w:hAnsi="Calibri Light" w:cs="Arial"/>
          <w:bCs/>
          <w:color w:val="21286C"/>
          <w:sz w:val="21"/>
          <w:szCs w:val="20"/>
          <w:lang w:val="el-GR" w:bidi="el-GR"/>
        </w:rPr>
        <w:t>κατανάλωση εξακολουθεί</w:t>
      </w:r>
      <w:r w:rsidR="00992FD1" w:rsidRPr="00C3630C">
        <w:rPr>
          <w:rFonts w:ascii="Calibri Light" w:hAnsi="Calibri Light" w:cs="Arial"/>
          <w:bCs/>
          <w:color w:val="21286C"/>
          <w:sz w:val="21"/>
          <w:szCs w:val="20"/>
          <w:lang w:val="el-GR" w:bidi="el-GR"/>
        </w:rPr>
        <w:t xml:space="preserve"> να αποτελεί </w:t>
      </w:r>
      <w:r w:rsidRPr="00C3630C">
        <w:rPr>
          <w:rFonts w:ascii="Calibri Light" w:hAnsi="Calibri Light" w:cs="Arial"/>
          <w:bCs/>
          <w:color w:val="21286C"/>
          <w:sz w:val="21"/>
          <w:szCs w:val="20"/>
          <w:lang w:val="el-GR" w:bidi="el-GR"/>
        </w:rPr>
        <w:t>βασικό πυλώνα της ανάπτυξης</w:t>
      </w:r>
      <w:r w:rsidR="00B306FF" w:rsidRPr="00C3630C">
        <w:rPr>
          <w:rFonts w:ascii="Calibri Light" w:hAnsi="Calibri Light" w:cs="Arial"/>
          <w:bCs/>
          <w:color w:val="21286C"/>
          <w:sz w:val="21"/>
          <w:szCs w:val="20"/>
          <w:lang w:val="el-GR" w:bidi="el-GR"/>
        </w:rPr>
        <w:t>, ενισχυόμενη</w:t>
      </w:r>
      <w:r w:rsidRPr="00C3630C">
        <w:rPr>
          <w:rFonts w:ascii="Calibri Light" w:hAnsi="Calibri Light" w:cs="Arial"/>
          <w:bCs/>
          <w:color w:val="21286C"/>
          <w:sz w:val="21"/>
          <w:szCs w:val="20"/>
          <w:lang w:val="el-GR" w:bidi="el-GR"/>
        </w:rPr>
        <w:t xml:space="preserve"> από την αύξηση των μισθών και </w:t>
      </w:r>
      <w:r w:rsidR="00C047C6" w:rsidRPr="00C3630C">
        <w:rPr>
          <w:rFonts w:ascii="Calibri Light" w:hAnsi="Calibri Light" w:cs="Arial"/>
          <w:bCs/>
          <w:color w:val="21286C"/>
          <w:sz w:val="21"/>
          <w:szCs w:val="20"/>
          <w:lang w:val="el-GR" w:bidi="el-GR"/>
        </w:rPr>
        <w:t>τη βελτίωση της απασχόλησης,</w:t>
      </w:r>
      <w:r w:rsidRPr="00C3630C">
        <w:rPr>
          <w:rFonts w:ascii="Calibri Light" w:hAnsi="Calibri Light" w:cs="Arial"/>
          <w:bCs/>
          <w:color w:val="21286C"/>
          <w:sz w:val="21"/>
          <w:szCs w:val="20"/>
          <w:lang w:val="el-GR" w:bidi="el-GR"/>
        </w:rPr>
        <w:t xml:space="preserve"> παρά τις </w:t>
      </w:r>
      <w:r w:rsidR="001E117D">
        <w:rPr>
          <w:rFonts w:ascii="Calibri Light" w:hAnsi="Calibri Light" w:cs="Arial"/>
          <w:bCs/>
          <w:color w:val="21286C"/>
          <w:sz w:val="21"/>
          <w:szCs w:val="20"/>
          <w:lang w:val="el-GR" w:bidi="el-GR"/>
        </w:rPr>
        <w:t>συνεχείς</w:t>
      </w:r>
      <w:r w:rsidR="001E117D" w:rsidRPr="00C3630C">
        <w:rPr>
          <w:rFonts w:ascii="Calibri Light" w:hAnsi="Calibri Light" w:cs="Arial"/>
          <w:bCs/>
          <w:color w:val="21286C"/>
          <w:sz w:val="21"/>
          <w:szCs w:val="20"/>
          <w:lang w:val="el-GR" w:bidi="el-GR"/>
        </w:rPr>
        <w:t xml:space="preserve"> </w:t>
      </w:r>
      <w:r w:rsidR="001106F9" w:rsidRPr="00C3630C">
        <w:rPr>
          <w:rFonts w:ascii="Calibri Light" w:hAnsi="Calibri Light" w:cs="Arial"/>
          <w:bCs/>
          <w:color w:val="21286C"/>
          <w:sz w:val="21"/>
          <w:szCs w:val="20"/>
          <w:lang w:val="el-GR" w:bidi="el-GR"/>
        </w:rPr>
        <w:t xml:space="preserve">εξωτερικές </w:t>
      </w:r>
      <w:r w:rsidR="006657C0" w:rsidRPr="00C3630C">
        <w:rPr>
          <w:rFonts w:ascii="Calibri Light" w:hAnsi="Calibri Light" w:cs="Arial"/>
          <w:bCs/>
          <w:color w:val="21286C"/>
          <w:sz w:val="21"/>
          <w:szCs w:val="20"/>
          <w:lang w:val="el-GR" w:bidi="el-GR"/>
        </w:rPr>
        <w:t>πιέσεις στο κόστος</w:t>
      </w:r>
      <w:r w:rsidRPr="00C3630C">
        <w:rPr>
          <w:rFonts w:ascii="Calibri Light" w:hAnsi="Calibri Light" w:cs="Arial"/>
          <w:bCs/>
          <w:color w:val="21286C"/>
          <w:sz w:val="21"/>
          <w:szCs w:val="20"/>
          <w:lang w:val="el-GR" w:bidi="el-GR"/>
        </w:rPr>
        <w:t xml:space="preserve">. </w:t>
      </w:r>
      <w:r w:rsidR="00B6518C">
        <w:rPr>
          <w:rFonts w:ascii="Calibri Light" w:hAnsi="Calibri Light" w:cs="Arial"/>
          <w:bCs/>
          <w:color w:val="21286C"/>
          <w:sz w:val="21"/>
          <w:szCs w:val="20"/>
          <w:lang w:val="el-GR" w:bidi="el-GR"/>
        </w:rPr>
        <w:t>Οι επενδύσεις</w:t>
      </w:r>
      <w:r w:rsidRPr="00C3630C">
        <w:rPr>
          <w:rFonts w:ascii="Calibri Light" w:hAnsi="Calibri Light" w:cs="Arial"/>
          <w:bCs/>
          <w:color w:val="21286C"/>
          <w:sz w:val="21"/>
          <w:szCs w:val="20"/>
          <w:lang w:val="el-GR" w:bidi="el-GR"/>
        </w:rPr>
        <w:t xml:space="preserve"> αναμένεται να συμβάλ</w:t>
      </w:r>
      <w:r w:rsidR="00B6518C">
        <w:rPr>
          <w:rFonts w:ascii="Calibri Light" w:hAnsi="Calibri Light" w:cs="Arial"/>
          <w:bCs/>
          <w:color w:val="21286C"/>
          <w:sz w:val="21"/>
          <w:szCs w:val="20"/>
          <w:lang w:val="el-GR" w:bidi="el-GR"/>
        </w:rPr>
        <w:t>λουν</w:t>
      </w:r>
      <w:r w:rsidRPr="00C3630C">
        <w:rPr>
          <w:rFonts w:ascii="Calibri Light" w:hAnsi="Calibri Light" w:cs="Arial"/>
          <w:bCs/>
          <w:color w:val="21286C"/>
          <w:sz w:val="21"/>
          <w:szCs w:val="20"/>
          <w:lang w:val="el-GR" w:bidi="el-GR"/>
        </w:rPr>
        <w:t xml:space="preserve"> σημαντικά στην ανάπτυξη, κυρίως μέσω των δημοσίων και των χρηματοδοτούμενων από την ΕΕ έργων υποδομών και μετασχηματισμού. Οι κρατικές δαπάνες και τα προγράμματα υλοποίησης έργων υποδομών συνιστούν βασικούς </w:t>
      </w:r>
      <w:r w:rsidR="00C565D2" w:rsidRPr="00C3630C">
        <w:rPr>
          <w:rFonts w:ascii="Calibri Light" w:hAnsi="Calibri Light" w:cs="Arial"/>
          <w:bCs/>
          <w:color w:val="21286C"/>
          <w:sz w:val="21"/>
          <w:szCs w:val="20"/>
          <w:lang w:val="el-GR" w:bidi="el-GR"/>
        </w:rPr>
        <w:t>μοχλούς</w:t>
      </w:r>
      <w:r w:rsidRPr="00C3630C">
        <w:rPr>
          <w:rFonts w:ascii="Calibri Light" w:hAnsi="Calibri Light" w:cs="Arial"/>
          <w:bCs/>
          <w:color w:val="21286C"/>
          <w:sz w:val="21"/>
          <w:szCs w:val="20"/>
          <w:lang w:val="el-GR" w:bidi="el-GR"/>
        </w:rPr>
        <w:t xml:space="preserve"> ανάπτυξης, </w:t>
      </w:r>
      <w:r w:rsidR="00C565D2" w:rsidRPr="00C3630C">
        <w:rPr>
          <w:rFonts w:ascii="Calibri Light" w:hAnsi="Calibri Light" w:cs="Arial"/>
          <w:bCs/>
          <w:color w:val="21286C"/>
          <w:sz w:val="21"/>
          <w:szCs w:val="20"/>
          <w:lang w:val="el-GR" w:bidi="el-GR"/>
        </w:rPr>
        <w:t xml:space="preserve">με </w:t>
      </w:r>
      <w:r w:rsidRPr="00C3630C">
        <w:rPr>
          <w:rFonts w:ascii="Calibri Light" w:hAnsi="Calibri Light" w:cs="Arial"/>
          <w:bCs/>
          <w:color w:val="21286C"/>
          <w:sz w:val="21"/>
          <w:szCs w:val="20"/>
          <w:lang w:val="el-GR" w:bidi="el-GR"/>
        </w:rPr>
        <w:t xml:space="preserve">τα δημόσια έργα υποδομών </w:t>
      </w:r>
      <w:r w:rsidR="00A7682F" w:rsidRPr="00C3630C">
        <w:rPr>
          <w:rFonts w:ascii="Calibri Light" w:hAnsi="Calibri Light" w:cs="Arial"/>
          <w:bCs/>
          <w:color w:val="21286C"/>
          <w:sz w:val="21"/>
          <w:szCs w:val="20"/>
          <w:lang w:val="el-GR" w:bidi="el-GR"/>
        </w:rPr>
        <w:t xml:space="preserve">να </w:t>
      </w:r>
      <w:r w:rsidRPr="00C3630C">
        <w:rPr>
          <w:rFonts w:ascii="Calibri Light" w:hAnsi="Calibri Light" w:cs="Arial"/>
          <w:bCs/>
          <w:color w:val="21286C"/>
          <w:sz w:val="21"/>
          <w:szCs w:val="20"/>
          <w:lang w:val="el-GR" w:bidi="el-GR"/>
        </w:rPr>
        <w:t xml:space="preserve">παρέχουν τη μεγαλύτερη ώθηση. </w:t>
      </w:r>
      <w:r w:rsidR="00622DA3" w:rsidRPr="00C3630C">
        <w:rPr>
          <w:rFonts w:ascii="Calibri Light" w:hAnsi="Calibri Light" w:cs="Arial"/>
          <w:bCs/>
          <w:color w:val="21286C"/>
          <w:sz w:val="21"/>
          <w:szCs w:val="20"/>
          <w:lang w:val="el-GR" w:bidi="el-GR"/>
        </w:rPr>
        <w:t xml:space="preserve">Η κατασκευαστική δραστηριότητα στον κλάδο κατοικίας ενδέχεται να αντιμετωπίσει βραχυπρόθεσμες προκλήσεις λόγω ασαφειών στο ρυθμιστικό πλαίσιο, ωστόσο οι μεσοπρόθεσμες προοπτικές παραμένουν θετικές, υποστηριζόμενες από προγράμματα ανακαίνισης, ενεργειακής αναβάθμισης </w:t>
      </w:r>
      <w:r w:rsidRPr="00C3630C">
        <w:rPr>
          <w:rFonts w:ascii="Calibri Light" w:hAnsi="Calibri Light" w:cs="Arial"/>
          <w:bCs/>
          <w:color w:val="21286C"/>
          <w:sz w:val="21"/>
          <w:szCs w:val="20"/>
          <w:lang w:val="el-GR" w:bidi="el-GR"/>
        </w:rPr>
        <w:t>καθώς και από τα κίνητρα για την αντιμετώπιση του δημογραφικού. Η κατασκευαστική δραστηριότητα στον κλάδο εμπορικών ακινήτων διαμορφώνεται κυρίως από τους κλάδους του τουρισμού, των επιχειρηματικών επενδύσεων, της φιλοξενίας και των δικτύων διακίνησης και διανομής.</w:t>
      </w:r>
    </w:p>
    <w:p w14:paraId="082E2C79" w14:textId="5F041A1B" w:rsidR="000E680D" w:rsidRPr="000E680D" w:rsidRDefault="000E680D" w:rsidP="00582169">
      <w:pPr>
        <w:pStyle w:val="NoSpacing"/>
        <w:jc w:val="both"/>
        <w:rPr>
          <w:rFonts w:ascii="Calibri Light" w:hAnsi="Calibri Light" w:cs="Arial"/>
          <w:color w:val="21286C"/>
          <w:sz w:val="21"/>
          <w:szCs w:val="20"/>
          <w:lang w:val="el-GR" w:bidi="el-GR"/>
        </w:rPr>
      </w:pPr>
      <w:r w:rsidRPr="00C3630C">
        <w:rPr>
          <w:rFonts w:ascii="Calibri Light" w:hAnsi="Calibri Light" w:cs="Arial"/>
          <w:bCs/>
          <w:color w:val="21286C"/>
          <w:sz w:val="21"/>
          <w:szCs w:val="20"/>
          <w:lang w:val="el-GR" w:bidi="el-GR"/>
        </w:rPr>
        <w:t xml:space="preserve">Οι περισσότερες από τις αγορές στις οποίες δραστηριοποιείται ο ΤΙΤΑΝ στη Νοτιοανατολική Ευρώπη αναμένεται να καταγράψουν άνοδο του πραγματικού ΑΕΠ της τάξης του 3-4% το 2026. Οι κρατικές επενδύσεις, είναι πιθανό να παράσχουν μια σταθερή βάση για την ανάπτυξη, δεδομένης της περιορισμένης κατανάλωσης και της μειωμένης εξωτερικής ζήτησης. </w:t>
      </w:r>
      <w:r w:rsidRPr="00043B00">
        <w:rPr>
          <w:rFonts w:ascii="Calibri Light" w:hAnsi="Calibri Light" w:cs="Arial"/>
          <w:color w:val="21286C"/>
          <w:sz w:val="21"/>
          <w:szCs w:val="20"/>
          <w:lang w:val="el-GR" w:bidi="el-GR"/>
        </w:rPr>
        <w:t>Αν και το αβέβαιο κλίμα που περιβάλλει το διεθνές εμπόριο δημιουργεί ορισμένους κινδύνους, η συνεχιζόμενη κατασκευαστική δραστηριότητα, ο κλάδος των ακινήτων και οι επενδύσεις στον τουρισμό,</w:t>
      </w:r>
      <w:r w:rsidRPr="00C3630C">
        <w:rPr>
          <w:rFonts w:ascii="Calibri Light" w:hAnsi="Calibri Light" w:cs="Arial"/>
          <w:bCs/>
          <w:color w:val="21286C"/>
          <w:sz w:val="21"/>
          <w:szCs w:val="20"/>
          <w:lang w:val="el-GR" w:bidi="el-GR"/>
        </w:rPr>
        <w:t xml:space="preserve"> σε συνδυασμό με την υγιή εικόνα της εγχώριας κατανάλωσης και τις εισροές εμβασμάτων, αποτελούν παράγοντες σταθερότητας. Η χρηματοδότηση από την ΕΕ (π.χ., Πλαίσιο Επενδύσεων για τα</w:t>
      </w:r>
      <w:r w:rsidRPr="000E680D">
        <w:rPr>
          <w:rFonts w:ascii="Calibri Light" w:hAnsi="Calibri Light" w:cs="Arial"/>
          <w:bCs/>
          <w:color w:val="21286C"/>
          <w:sz w:val="21"/>
          <w:szCs w:val="20"/>
          <w:lang w:val="el-GR" w:bidi="el-GR"/>
        </w:rPr>
        <w:t xml:space="preserve"> Δυτικά Βαλκάνια, </w:t>
      </w:r>
      <w:proofErr w:type="spellStart"/>
      <w:r w:rsidRPr="000E680D">
        <w:rPr>
          <w:rFonts w:ascii="Calibri Light" w:hAnsi="Calibri Light" w:cs="Arial"/>
          <w:bCs/>
          <w:color w:val="21286C"/>
          <w:sz w:val="21"/>
          <w:szCs w:val="20"/>
          <w:lang w:val="el-GR" w:bidi="el-GR"/>
        </w:rPr>
        <w:t>NextGenerationEU</w:t>
      </w:r>
      <w:proofErr w:type="spellEnd"/>
      <w:r w:rsidRPr="000E680D">
        <w:rPr>
          <w:rFonts w:ascii="Calibri Light" w:hAnsi="Calibri Light" w:cs="Arial"/>
          <w:bCs/>
          <w:color w:val="21286C"/>
          <w:sz w:val="21"/>
          <w:szCs w:val="20"/>
          <w:lang w:val="el-GR" w:bidi="el-GR"/>
        </w:rPr>
        <w:t xml:space="preserve">, δάνεια στο πλαίσιο της Πρωτοβουλίας SAFE) και οι επενδύσεις σε αναβαθμίσεις που σχετίζονται με </w:t>
      </w:r>
      <w:r w:rsidR="00DF18DE">
        <w:rPr>
          <w:rFonts w:ascii="Calibri Light" w:hAnsi="Calibri Light" w:cs="Arial"/>
          <w:bCs/>
          <w:color w:val="21286C"/>
          <w:sz w:val="21"/>
          <w:szCs w:val="20"/>
          <w:lang w:val="el-GR" w:bidi="el-GR"/>
        </w:rPr>
        <w:t>τις διασυνοριακές μεταφορές</w:t>
      </w:r>
      <w:r w:rsidRPr="000E680D">
        <w:rPr>
          <w:rFonts w:ascii="Calibri Light" w:hAnsi="Calibri Light" w:cs="Arial"/>
          <w:bCs/>
          <w:color w:val="21286C"/>
          <w:sz w:val="21"/>
          <w:szCs w:val="20"/>
          <w:lang w:val="el-GR" w:bidi="el-GR"/>
        </w:rPr>
        <w:t xml:space="preserve">, την ενέργεια και το περιβάλλον ενισχύουν περαιτέρω τις προοπτικές ανάπτυξης του συγκεκριμένου γεωγραφικού τομέα. </w:t>
      </w:r>
    </w:p>
    <w:p w14:paraId="5D63DB3F" w14:textId="1FD90B4F" w:rsidR="000E680D" w:rsidRPr="003D0D42" w:rsidRDefault="000E680D" w:rsidP="00582169">
      <w:pPr>
        <w:pStyle w:val="NoSpacing"/>
        <w:jc w:val="both"/>
        <w:rPr>
          <w:rFonts w:ascii="Calibri Light" w:hAnsi="Calibri Light" w:cs="Arial"/>
          <w:bCs/>
          <w:color w:val="21286C"/>
          <w:sz w:val="21"/>
          <w:szCs w:val="20"/>
          <w:lang w:val="el-GR" w:bidi="el-GR"/>
        </w:rPr>
      </w:pPr>
      <w:r w:rsidRPr="000E680D">
        <w:rPr>
          <w:rFonts w:ascii="Calibri Light" w:hAnsi="Calibri Light" w:cs="Arial"/>
          <w:bCs/>
          <w:color w:val="21286C"/>
          <w:sz w:val="21"/>
          <w:szCs w:val="20"/>
          <w:lang w:val="el-GR" w:bidi="el-GR"/>
        </w:rPr>
        <w:t xml:space="preserve">Η προοπτική για την οικονομία της Αιγύπτου είναι </w:t>
      </w:r>
      <w:r w:rsidR="00DF18DE">
        <w:rPr>
          <w:rFonts w:ascii="Calibri Light" w:hAnsi="Calibri Light" w:cs="Arial"/>
          <w:bCs/>
          <w:color w:val="21286C"/>
          <w:sz w:val="21"/>
          <w:szCs w:val="20"/>
          <w:lang w:val="el-GR" w:bidi="el-GR"/>
        </w:rPr>
        <w:t xml:space="preserve">σημαντικά </w:t>
      </w:r>
      <w:r w:rsidR="00E84600">
        <w:rPr>
          <w:rFonts w:ascii="Calibri Light" w:hAnsi="Calibri Light" w:cs="Arial"/>
          <w:bCs/>
          <w:color w:val="21286C"/>
          <w:sz w:val="21"/>
          <w:szCs w:val="20"/>
          <w:lang w:val="el-GR" w:bidi="el-GR"/>
        </w:rPr>
        <w:t>βελτιωμένη</w:t>
      </w:r>
      <w:r w:rsidRPr="000E680D">
        <w:rPr>
          <w:rFonts w:ascii="Calibri Light" w:hAnsi="Calibri Light" w:cs="Arial"/>
          <w:bCs/>
          <w:color w:val="21286C"/>
          <w:sz w:val="21"/>
          <w:szCs w:val="20"/>
          <w:lang w:val="el-GR" w:bidi="el-GR"/>
        </w:rPr>
        <w:t xml:space="preserve"> σε σχέση με τα προηγούμενα χρόνια, χάρη στις αποφασιστικές μεταρρυθμίσεις, τα βελτιωμένα εξωτερικά ισοζύγια και την αναθέρμανση του επενδυτικού κλίματος. Ο κατασκευαστικός κλάδος εξακολουθεί να αποτελεί βασικό πυλώνα, καθώς η ζήτηση στον κλάδο κατοικιών σταδιακά ανακάμπτει και τα έργα στον κλάδο εμπορικών ακινήτων και ακινήτων που σχετίζονται με τον κλάδο του τουρισμού βρίσκονται σε περίοδο άνθησης, </w:t>
      </w:r>
      <w:r w:rsidR="009855C3">
        <w:rPr>
          <w:rFonts w:ascii="Calibri Light" w:hAnsi="Calibri Light" w:cs="Arial"/>
          <w:bCs/>
          <w:color w:val="21286C"/>
          <w:sz w:val="21"/>
          <w:szCs w:val="20"/>
          <w:lang w:val="el-GR" w:bidi="el-GR"/>
        </w:rPr>
        <w:t>ως αποτέλεσμα των γενικότερων διεθνών επενδύ</w:t>
      </w:r>
      <w:r w:rsidR="00E6414C">
        <w:rPr>
          <w:rFonts w:ascii="Calibri Light" w:hAnsi="Calibri Light" w:cs="Arial"/>
          <w:bCs/>
          <w:color w:val="21286C"/>
          <w:sz w:val="21"/>
          <w:szCs w:val="20"/>
          <w:lang w:val="el-GR" w:bidi="el-GR"/>
        </w:rPr>
        <w:t>σεων</w:t>
      </w:r>
      <w:r w:rsidR="00D730E6">
        <w:rPr>
          <w:rFonts w:ascii="Calibri Light" w:hAnsi="Calibri Light" w:cs="Arial"/>
          <w:bCs/>
          <w:color w:val="21286C"/>
          <w:sz w:val="21"/>
          <w:szCs w:val="20"/>
          <w:lang w:val="el-GR" w:bidi="el-GR"/>
        </w:rPr>
        <w:t>.</w:t>
      </w:r>
      <w:r w:rsidRPr="000E680D">
        <w:rPr>
          <w:rFonts w:ascii="Calibri Light" w:hAnsi="Calibri Light" w:cs="Arial"/>
          <w:bCs/>
          <w:color w:val="21286C"/>
          <w:sz w:val="21"/>
          <w:szCs w:val="20"/>
          <w:lang w:val="el-GR" w:bidi="el-GR"/>
        </w:rPr>
        <w:t xml:space="preserve"> Η πολιτική σταθερότητα, οι μεταρρυθμίσεις σύμφωνα με τις υποδείξεις του ΔΝΤ και η ισορροπημένη συμμετοχή στην περιφέρεια ενισχύουν την εμπιστοσύνη των επενδυτών, τη δημοσιονομική ανθεκτικότητα και τον στρατηγικό ρόλο της Αιγύπτου ως κέντρου διανομής και διακίνησης για την ευρύτερη περιοχή. Ο Όμιλος επενδύει στην αναβάθμιση του τοπικού αποτυπώματός του και βρίσκεται σε πλεονεκτική θέση για να αξιοποιήσει την ανανεωμένη δυναμική του κλάδου, τόσο ως προμηθευτής της εγχώριας αγοράς όσο και ως </w:t>
      </w:r>
      <w:proofErr w:type="spellStart"/>
      <w:r w:rsidRPr="000E680D">
        <w:rPr>
          <w:rFonts w:ascii="Calibri Light" w:hAnsi="Calibri Light" w:cs="Arial"/>
          <w:bCs/>
          <w:color w:val="21286C"/>
          <w:sz w:val="21"/>
          <w:szCs w:val="20"/>
          <w:lang w:val="el-GR" w:bidi="el-GR"/>
        </w:rPr>
        <w:t>εξαγωγέας</w:t>
      </w:r>
      <w:proofErr w:type="spellEnd"/>
      <w:r w:rsidRPr="000E680D">
        <w:rPr>
          <w:rFonts w:ascii="Calibri Light" w:hAnsi="Calibri Light" w:cs="Arial"/>
          <w:bCs/>
          <w:color w:val="21286C"/>
          <w:sz w:val="21"/>
          <w:szCs w:val="20"/>
          <w:lang w:val="el-GR" w:bidi="el-GR"/>
        </w:rPr>
        <w:t xml:space="preserve"> στην ευρύτερη περιοχή, καλύπτοντας τις ανάγκες για τα έργα ανοικοδόμησης των γειτονικών χωρών.</w:t>
      </w:r>
      <w:r w:rsidR="009A55D1" w:rsidRPr="009A55D1">
        <w:rPr>
          <w:rFonts w:ascii="Calibri Light" w:hAnsi="Calibri Light" w:cs="Arial"/>
          <w:bCs/>
          <w:color w:val="21286C"/>
          <w:sz w:val="21"/>
          <w:szCs w:val="20"/>
          <w:lang w:val="el-GR" w:bidi="el-GR"/>
        </w:rPr>
        <w:t xml:space="preserve"> </w:t>
      </w:r>
      <w:r w:rsidRPr="000E680D">
        <w:rPr>
          <w:rFonts w:ascii="Calibri Light" w:hAnsi="Calibri Light" w:cs="Arial"/>
          <w:bCs/>
          <w:color w:val="21286C"/>
          <w:sz w:val="21"/>
          <w:szCs w:val="20"/>
          <w:lang w:val="el-GR" w:bidi="el-GR"/>
        </w:rPr>
        <w:t>Το 2026 η οικονομική ανάπτυξη στην Τουρκία αναμένεται να είναι της τάξης του 3,5%, καθώς τα αυστηρά μέτρα νομισματικής πολιτικής σταδιακά συγκρατούν τον πληθωρισμό και στηρίζουν την εγχώρια ζήτηση, το πραγματικό εισόδημα και τις πιστωτικές συνθήκες</w:t>
      </w:r>
      <w:r w:rsidR="003D0D42">
        <w:rPr>
          <w:rFonts w:ascii="Calibri Light" w:hAnsi="Calibri Light" w:cs="Arial"/>
          <w:bCs/>
          <w:color w:val="21286C"/>
          <w:sz w:val="21"/>
          <w:szCs w:val="20"/>
          <w:lang w:val="el-GR" w:bidi="el-GR"/>
        </w:rPr>
        <w:t xml:space="preserve">, με την </w:t>
      </w:r>
      <w:r w:rsidRPr="000E680D">
        <w:rPr>
          <w:rFonts w:ascii="Calibri Light" w:hAnsi="Calibri Light" w:cs="Arial"/>
          <w:bCs/>
          <w:color w:val="21286C"/>
          <w:sz w:val="21"/>
          <w:szCs w:val="20"/>
          <w:lang w:val="el-GR" w:bidi="el-GR"/>
        </w:rPr>
        <w:t xml:space="preserve">προοπτική για τον κατασκευαστικό κλάδο </w:t>
      </w:r>
      <w:r w:rsidR="003D0D42">
        <w:rPr>
          <w:rFonts w:ascii="Calibri Light" w:hAnsi="Calibri Light" w:cs="Arial"/>
          <w:bCs/>
          <w:color w:val="21286C"/>
          <w:sz w:val="21"/>
          <w:szCs w:val="20"/>
          <w:lang w:val="el-GR" w:bidi="el-GR"/>
        </w:rPr>
        <w:t xml:space="preserve">να </w:t>
      </w:r>
      <w:r w:rsidRPr="000E680D">
        <w:rPr>
          <w:rFonts w:ascii="Calibri Light" w:hAnsi="Calibri Light" w:cs="Arial"/>
          <w:bCs/>
          <w:color w:val="21286C"/>
          <w:sz w:val="21"/>
          <w:szCs w:val="20"/>
          <w:lang w:val="el-GR" w:bidi="el-GR"/>
        </w:rPr>
        <w:t xml:space="preserve">είναι θετική. Η δραστηριότητα στον κλάδο κατοικιών σταθεροποιείται και τα δημόσια έργα υποδομών παρέχουν σταθερή στήριξη, </w:t>
      </w:r>
      <w:r w:rsidR="006F33E8">
        <w:rPr>
          <w:rFonts w:ascii="Calibri Light" w:hAnsi="Calibri Light" w:cs="Arial"/>
          <w:bCs/>
          <w:color w:val="21286C"/>
          <w:sz w:val="21"/>
          <w:szCs w:val="20"/>
          <w:lang w:val="el-GR" w:bidi="el-GR"/>
        </w:rPr>
        <w:t>χάρη στον</w:t>
      </w:r>
      <w:r w:rsidRPr="000E680D">
        <w:rPr>
          <w:rFonts w:ascii="Calibri Light" w:hAnsi="Calibri Light" w:cs="Arial"/>
          <w:bCs/>
          <w:color w:val="21286C"/>
          <w:sz w:val="21"/>
          <w:szCs w:val="20"/>
          <w:lang w:val="el-GR" w:bidi="el-GR"/>
        </w:rPr>
        <w:t xml:space="preserve"> αστικό μετασχηματισμό, τα έργα δημόσιων συγκοινωνιών και τον μεγάλο αριθμό των υπό έκδοση αδειών οικοδομής. Ο Όμιλος ΤΙΤΑΝ διατηρεί τη δέσμευσή του στη μακρόχρονη παρουσία του</w:t>
      </w:r>
      <w:r w:rsidR="002C7E1E">
        <w:rPr>
          <w:rFonts w:ascii="Calibri Light" w:hAnsi="Calibri Light" w:cs="Arial"/>
          <w:bCs/>
          <w:color w:val="21286C"/>
          <w:sz w:val="21"/>
          <w:szCs w:val="20"/>
          <w:lang w:val="el-GR" w:bidi="el-GR"/>
        </w:rPr>
        <w:t xml:space="preserve"> στη χώρα.</w:t>
      </w:r>
    </w:p>
    <w:p w14:paraId="55A97952" w14:textId="040591ED" w:rsidR="005509B3" w:rsidRPr="00162488" w:rsidRDefault="00162488" w:rsidP="00F06BBE">
      <w:pPr>
        <w:pStyle w:val="NoSpacing"/>
        <w:jc w:val="both"/>
        <w:rPr>
          <w:rFonts w:ascii="Calibri Light" w:hAnsi="Calibri Light" w:cs="Arial"/>
          <w:color w:val="21286C"/>
          <w:sz w:val="21"/>
          <w:szCs w:val="20"/>
          <w:lang w:val="el-GR"/>
        </w:rPr>
      </w:pPr>
      <w:r w:rsidRPr="00162488">
        <w:rPr>
          <w:rFonts w:ascii="Calibri Light" w:hAnsi="Calibri Light" w:cs="Arial"/>
          <w:bCs/>
          <w:color w:val="21286C"/>
          <w:sz w:val="21"/>
          <w:szCs w:val="20"/>
          <w:lang w:val="el-GR" w:bidi="el-GR"/>
        </w:rPr>
        <w:t>Ο Όμιλος</w:t>
      </w:r>
      <w:r w:rsidRPr="00162488" w:rsidDel="00062F27">
        <w:rPr>
          <w:rFonts w:ascii="Calibri Light" w:hAnsi="Calibri Light" w:cs="Arial"/>
          <w:bCs/>
          <w:color w:val="21286C"/>
          <w:sz w:val="21"/>
          <w:szCs w:val="20"/>
          <w:lang w:val="el-GR" w:bidi="el-GR"/>
        </w:rPr>
        <w:t xml:space="preserve"> </w:t>
      </w:r>
      <w:r w:rsidR="00062F27">
        <w:rPr>
          <w:rFonts w:ascii="Calibri Light" w:hAnsi="Calibri Light" w:cs="Arial"/>
          <w:bCs/>
          <w:color w:val="21286C"/>
          <w:sz w:val="21"/>
          <w:szCs w:val="20"/>
          <w:lang w:val="el-GR" w:bidi="el-GR"/>
        </w:rPr>
        <w:t>ΤΙΤΑΝ</w:t>
      </w:r>
      <w:r w:rsidR="00062F27" w:rsidRPr="00162488">
        <w:rPr>
          <w:rFonts w:ascii="Calibri Light" w:hAnsi="Calibri Light" w:cs="Arial"/>
          <w:bCs/>
          <w:color w:val="21286C"/>
          <w:sz w:val="21"/>
          <w:szCs w:val="20"/>
          <w:lang w:val="el-GR" w:bidi="el-GR"/>
        </w:rPr>
        <w:t xml:space="preserve"> </w:t>
      </w:r>
      <w:r w:rsidRPr="00162488">
        <w:rPr>
          <w:rFonts w:ascii="Calibri Light" w:hAnsi="Calibri Light" w:cs="Arial"/>
          <w:bCs/>
          <w:color w:val="21286C"/>
          <w:sz w:val="21"/>
          <w:szCs w:val="20"/>
          <w:lang w:val="el-GR" w:bidi="el-GR"/>
        </w:rPr>
        <w:t xml:space="preserve">εισέρχεται σε μια νέα φάση κερδοφόρας ανάπτυξης, </w:t>
      </w:r>
      <w:r w:rsidR="009467B5">
        <w:rPr>
          <w:rFonts w:ascii="Calibri Light" w:hAnsi="Calibri Light" w:cs="Arial"/>
          <w:bCs/>
          <w:color w:val="21286C"/>
          <w:sz w:val="21"/>
          <w:szCs w:val="20"/>
          <w:lang w:val="el-GR" w:bidi="el-GR"/>
        </w:rPr>
        <w:t>με</w:t>
      </w:r>
      <w:r w:rsidRPr="00162488">
        <w:rPr>
          <w:rFonts w:ascii="Calibri Light" w:hAnsi="Calibri Light" w:cs="Arial"/>
          <w:bCs/>
          <w:color w:val="21286C"/>
          <w:sz w:val="21"/>
          <w:szCs w:val="20"/>
          <w:lang w:val="el-GR" w:bidi="el-GR"/>
        </w:rPr>
        <w:t xml:space="preserve"> ισχυρό ισολογισμό, ανθεκτικό λειτουργικό μοντέλο και ηγετική θέση σε ταχέως αναπτυσσόμενες αγορές. Οι συνεχείς επενδύσεις σε προηγμένες τεχνολογικές λύσεις, προϊόντα χαμηλών εκπομπών άνθρακα και στον ψηφιακό μετασχηματισμό, σε συνδυασμό με τη σταθερή ζήτηση, τοποθετούν τον Όμιλο σε θέση να επιτύχει αύξηση των πωλήσεων, ενίσχυση των περιθωρίων κέρδους και δημιουργία αξίας για τους μετόχους το 2026.</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0"/>
        <w:gridCol w:w="90"/>
        <w:gridCol w:w="1560"/>
        <w:gridCol w:w="90"/>
        <w:gridCol w:w="1560"/>
      </w:tblGrid>
      <w:tr w:rsidR="00894454" w:rsidRPr="000F4B08" w14:paraId="0B3B23E8" w14:textId="77777777">
        <w:trPr>
          <w:cantSplit/>
          <w:trHeight w:hRule="exact" w:val="420"/>
        </w:trPr>
        <w:tc>
          <w:tcPr>
            <w:tcW w:w="9000" w:type="dxa"/>
            <w:gridSpan w:val="5"/>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CEAEAB5" w14:textId="77777777" w:rsidR="00894454" w:rsidRPr="001F4DA1" w:rsidRDefault="00894454">
            <w:pPr>
              <w:keepNext/>
              <w:spacing w:before="53" w:after="30" w:line="280" w:lineRule="exact"/>
              <w:rPr>
                <w:lang w:val="el-GR"/>
              </w:rPr>
            </w:pPr>
            <w:r w:rsidRPr="001F4DA1">
              <w:rPr>
                <w:rFonts w:ascii="Calibri" w:eastAsia="Calibri" w:hAnsi="Calibri" w:cs="Calibri"/>
                <w:b/>
                <w:color w:val="00183D"/>
                <w:sz w:val="28"/>
                <w:lang w:val="el-GR"/>
              </w:rPr>
              <w:lastRenderedPageBreak/>
              <w:t xml:space="preserve">Σύνοψη Ενδιάμεσης Ενοποιημένης Κατάστασης Αποτελεσμάτων </w:t>
            </w:r>
          </w:p>
        </w:tc>
      </w:tr>
      <w:tr w:rsidR="00894454" w:rsidRPr="000F4B08" w14:paraId="7900EFE8" w14:textId="77777777">
        <w:trPr>
          <w:cantSplit/>
          <w:trHeight w:hRule="exact" w:val="165"/>
        </w:trPr>
        <w:tc>
          <w:tcPr>
            <w:tcW w:w="5700" w:type="dxa"/>
            <w:tcBorders>
              <w:top w:val="nil"/>
              <w:left w:val="nil"/>
              <w:bottom w:val="single" w:sz="8" w:space="0" w:color="4F81BD"/>
              <w:right w:val="nil"/>
            </w:tcBorders>
            <w:tcMar>
              <w:top w:w="0" w:type="dxa"/>
              <w:left w:w="0" w:type="dxa"/>
              <w:bottom w:w="0" w:type="dxa"/>
              <w:right w:w="0" w:type="dxa"/>
            </w:tcMar>
            <w:vAlign w:val="bottom"/>
          </w:tcPr>
          <w:p w14:paraId="76DD4263" w14:textId="77777777" w:rsidR="00894454" w:rsidRPr="001F4DA1" w:rsidRDefault="00894454">
            <w:pPr>
              <w:keepNext/>
              <w:rPr>
                <w:lang w:val="el-GR"/>
              </w:rPr>
            </w:pPr>
          </w:p>
        </w:tc>
        <w:tc>
          <w:tcPr>
            <w:tcW w:w="90" w:type="dxa"/>
            <w:tcBorders>
              <w:top w:val="single" w:sz="8" w:space="0" w:color="000000"/>
              <w:left w:val="nil"/>
              <w:bottom w:val="nil"/>
              <w:right w:val="nil"/>
            </w:tcBorders>
            <w:tcMar>
              <w:top w:w="0" w:type="dxa"/>
              <w:left w:w="0" w:type="dxa"/>
              <w:bottom w:w="0" w:type="dxa"/>
              <w:right w:w="0" w:type="dxa"/>
            </w:tcMar>
            <w:vAlign w:val="bottom"/>
          </w:tcPr>
          <w:p w14:paraId="2148B844" w14:textId="77777777" w:rsidR="00894454" w:rsidRPr="001F4DA1" w:rsidRDefault="00894454">
            <w:pPr>
              <w:keepNext/>
              <w:rPr>
                <w:lang w:val="el-GR"/>
              </w:rPr>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7DD1DC8B" w14:textId="77777777" w:rsidR="00894454" w:rsidRPr="001F4DA1" w:rsidRDefault="00894454">
            <w:pPr>
              <w:keepNext/>
              <w:rPr>
                <w:lang w:val="el-GR"/>
              </w:rPr>
            </w:pPr>
          </w:p>
        </w:tc>
        <w:tc>
          <w:tcPr>
            <w:tcW w:w="90" w:type="dxa"/>
            <w:tcBorders>
              <w:top w:val="single" w:sz="8" w:space="0" w:color="000000"/>
              <w:left w:val="nil"/>
              <w:bottom w:val="single" w:sz="8" w:space="0" w:color="4F81BD"/>
              <w:right w:val="nil"/>
            </w:tcBorders>
            <w:tcMar>
              <w:top w:w="0" w:type="dxa"/>
              <w:left w:w="0" w:type="dxa"/>
              <w:bottom w:w="0" w:type="dxa"/>
              <w:right w:w="0" w:type="dxa"/>
            </w:tcMar>
            <w:vAlign w:val="bottom"/>
          </w:tcPr>
          <w:p w14:paraId="7706CA83" w14:textId="77777777" w:rsidR="00894454" w:rsidRPr="001F4DA1" w:rsidRDefault="00894454">
            <w:pPr>
              <w:keepNext/>
              <w:rPr>
                <w:lang w:val="el-GR"/>
              </w:rPr>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5A93F3E8" w14:textId="77777777" w:rsidR="00894454" w:rsidRPr="001F4DA1" w:rsidRDefault="00894454">
            <w:pPr>
              <w:keepNext/>
              <w:rPr>
                <w:lang w:val="el-GR"/>
              </w:rPr>
            </w:pPr>
          </w:p>
        </w:tc>
      </w:tr>
      <w:tr w:rsidR="00894454" w:rsidRPr="000F4B08" w14:paraId="78A4CEEC" w14:textId="77777777">
        <w:trPr>
          <w:cantSplit/>
          <w:trHeight w:hRule="exact" w:val="525"/>
        </w:trPr>
        <w:tc>
          <w:tcPr>
            <w:tcW w:w="5700" w:type="dxa"/>
            <w:vMerge w:val="restart"/>
            <w:tcBorders>
              <w:top w:val="nil"/>
              <w:left w:val="nil"/>
              <w:bottom w:val="nil"/>
              <w:right w:val="nil"/>
            </w:tcBorders>
            <w:shd w:val="clear" w:color="auto" w:fill="FFFFFF"/>
            <w:tcMar>
              <w:top w:w="0" w:type="dxa"/>
              <w:left w:w="53" w:type="dxa"/>
              <w:bottom w:w="0" w:type="dxa"/>
              <w:right w:w="53" w:type="dxa"/>
            </w:tcMar>
          </w:tcPr>
          <w:p w14:paraId="34009550" w14:textId="77777777" w:rsidR="00894454" w:rsidRDefault="00894454">
            <w:pPr>
              <w:keepNext/>
              <w:spacing w:before="33" w:after="30" w:line="180" w:lineRule="exact"/>
            </w:pPr>
            <w:r>
              <w:rPr>
                <w:rFonts w:ascii="Calibri" w:eastAsia="Calibri" w:hAnsi="Calibri" w:cs="Calibri"/>
                <w:i/>
                <w:color w:val="000000"/>
                <w:sz w:val="18"/>
              </w:rPr>
              <w:t>(π</w:t>
            </w:r>
            <w:proofErr w:type="spellStart"/>
            <w:r>
              <w:rPr>
                <w:rFonts w:ascii="Calibri" w:eastAsia="Calibri" w:hAnsi="Calibri" w:cs="Calibri"/>
                <w:i/>
                <w:color w:val="000000"/>
                <w:sz w:val="18"/>
              </w:rPr>
              <w:t>οσά</w:t>
            </w:r>
            <w:proofErr w:type="spellEnd"/>
            <w:r>
              <w:rPr>
                <w:rFonts w:ascii="Calibri" w:eastAsia="Calibri" w:hAnsi="Calibri" w:cs="Calibri"/>
                <w:i/>
                <w:color w:val="000000"/>
                <w:sz w:val="18"/>
              </w:rPr>
              <w:t xml:space="preserve"> </w:t>
            </w:r>
            <w:proofErr w:type="spellStart"/>
            <w:r>
              <w:rPr>
                <w:rFonts w:ascii="Calibri" w:eastAsia="Calibri" w:hAnsi="Calibri" w:cs="Calibri"/>
                <w:i/>
                <w:color w:val="000000"/>
                <w:sz w:val="18"/>
              </w:rPr>
              <w:t>σε</w:t>
            </w:r>
            <w:proofErr w:type="spellEnd"/>
            <w:r>
              <w:rPr>
                <w:rFonts w:ascii="Calibri" w:eastAsia="Calibri" w:hAnsi="Calibri" w:cs="Calibri"/>
                <w:i/>
                <w:color w:val="000000"/>
                <w:sz w:val="18"/>
              </w:rPr>
              <w:t xml:space="preserve"> </w:t>
            </w:r>
            <w:proofErr w:type="spellStart"/>
            <w:r>
              <w:rPr>
                <w:rFonts w:ascii="Calibri" w:eastAsia="Calibri" w:hAnsi="Calibri" w:cs="Calibri"/>
                <w:i/>
                <w:color w:val="000000"/>
                <w:sz w:val="18"/>
              </w:rPr>
              <w:t>χιλιάδες</w:t>
            </w:r>
            <w:proofErr w:type="spellEnd"/>
            <w:r>
              <w:rPr>
                <w:rFonts w:ascii="Calibri" w:eastAsia="Calibri" w:hAnsi="Calibri" w:cs="Calibri"/>
                <w:i/>
                <w:color w:val="000000"/>
                <w:sz w:val="18"/>
              </w:rPr>
              <w:t xml:space="preserve">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56CE59F" w14:textId="77777777" w:rsidR="00894454" w:rsidRDefault="00894454">
            <w:pPr>
              <w:keepNext/>
            </w:pPr>
          </w:p>
        </w:tc>
        <w:tc>
          <w:tcPr>
            <w:tcW w:w="3210" w:type="dxa"/>
            <w:gridSpan w:val="3"/>
            <w:tcBorders>
              <w:top w:val="nil"/>
              <w:left w:val="nil"/>
              <w:bottom w:val="nil"/>
              <w:right w:val="nil"/>
            </w:tcBorders>
            <w:shd w:val="clear" w:color="auto" w:fill="FFFFFF"/>
            <w:tcMar>
              <w:top w:w="0" w:type="dxa"/>
              <w:left w:w="53" w:type="dxa"/>
              <w:bottom w:w="0" w:type="dxa"/>
              <w:right w:w="53" w:type="dxa"/>
            </w:tcMar>
            <w:vAlign w:val="bottom"/>
          </w:tcPr>
          <w:p w14:paraId="0DB1CA26" w14:textId="77777777" w:rsidR="00894454" w:rsidRPr="001F4DA1" w:rsidRDefault="00894454">
            <w:pPr>
              <w:keepNext/>
              <w:spacing w:before="33" w:after="30" w:line="210" w:lineRule="exact"/>
              <w:jc w:val="center"/>
              <w:rPr>
                <w:lang w:val="el-GR"/>
              </w:rPr>
            </w:pPr>
            <w:r w:rsidRPr="001F4DA1">
              <w:rPr>
                <w:rFonts w:ascii="Calibri" w:eastAsia="Calibri" w:hAnsi="Calibri" w:cs="Calibri"/>
                <w:b/>
                <w:color w:val="000000"/>
                <w:sz w:val="21"/>
                <w:lang w:val="el-GR"/>
              </w:rPr>
              <w:t>Για το εννεάμηνο που έληξε την 30/9</w:t>
            </w:r>
          </w:p>
        </w:tc>
      </w:tr>
      <w:tr w:rsidR="00894454" w14:paraId="48818E08" w14:textId="77777777">
        <w:trPr>
          <w:cantSplit/>
          <w:trHeight w:hRule="exact" w:val="300"/>
        </w:trPr>
        <w:tc>
          <w:tcPr>
            <w:tcW w:w="5700" w:type="dxa"/>
            <w:vMerge/>
            <w:tcBorders>
              <w:top w:val="nil"/>
              <w:left w:val="nil"/>
              <w:bottom w:val="nil"/>
              <w:right w:val="nil"/>
            </w:tcBorders>
          </w:tcPr>
          <w:p w14:paraId="65A319A3" w14:textId="77777777" w:rsidR="00894454" w:rsidRPr="001F4DA1" w:rsidRDefault="00894454">
            <w:pPr>
              <w:keepNext/>
              <w:rPr>
                <w:lang w:val="el-GR"/>
              </w:rPr>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D1B5D41" w14:textId="77777777" w:rsidR="00894454" w:rsidRPr="001F4DA1" w:rsidRDefault="00894454">
            <w:pPr>
              <w:keepNext/>
              <w:rPr>
                <w:lang w:val="el-GR"/>
              </w:rPr>
            </w:pPr>
          </w:p>
        </w:tc>
        <w:tc>
          <w:tcPr>
            <w:tcW w:w="1560" w:type="dxa"/>
            <w:tcBorders>
              <w:top w:val="single" w:sz="2" w:space="0" w:color="000000"/>
              <w:left w:val="nil"/>
              <w:bottom w:val="single" w:sz="8" w:space="0" w:color="000000"/>
              <w:right w:val="nil"/>
            </w:tcBorders>
            <w:shd w:val="clear" w:color="auto" w:fill="DDDDDD"/>
            <w:tcMar>
              <w:top w:w="0" w:type="dxa"/>
              <w:left w:w="0" w:type="dxa"/>
              <w:bottom w:w="0" w:type="dxa"/>
              <w:right w:w="53" w:type="dxa"/>
            </w:tcMar>
            <w:vAlign w:val="bottom"/>
          </w:tcPr>
          <w:p w14:paraId="5DD554B0" w14:textId="77777777" w:rsidR="00894454" w:rsidRDefault="00894454">
            <w:pPr>
              <w:keepNext/>
              <w:spacing w:before="48" w:after="30"/>
              <w:jc w:val="right"/>
            </w:pPr>
            <w:r>
              <w:rPr>
                <w:rFonts w:ascii="Calibri" w:eastAsia="Calibri" w:hAnsi="Calibri" w:cs="Calibri"/>
                <w:b/>
                <w:color w:val="000000"/>
                <w:sz w:val="21"/>
              </w:rPr>
              <w:t>2025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C1EC81E" w14:textId="77777777" w:rsidR="00894454" w:rsidRDefault="00894454">
            <w:pPr>
              <w:keepNext/>
            </w:pPr>
          </w:p>
        </w:tc>
        <w:tc>
          <w:tcPr>
            <w:tcW w:w="1560" w:type="dxa"/>
            <w:tcBorders>
              <w:top w:val="single" w:sz="2" w:space="0" w:color="000000"/>
              <w:left w:val="nil"/>
              <w:bottom w:val="single" w:sz="8" w:space="0" w:color="000000"/>
              <w:right w:val="nil"/>
            </w:tcBorders>
            <w:shd w:val="clear" w:color="auto" w:fill="FFFFFF"/>
            <w:tcMar>
              <w:top w:w="0" w:type="dxa"/>
              <w:left w:w="0" w:type="dxa"/>
              <w:bottom w:w="0" w:type="dxa"/>
              <w:right w:w="53" w:type="dxa"/>
            </w:tcMar>
            <w:vAlign w:val="bottom"/>
          </w:tcPr>
          <w:p w14:paraId="23EFFB1F" w14:textId="77777777" w:rsidR="00894454" w:rsidRDefault="00894454">
            <w:pPr>
              <w:keepNext/>
              <w:spacing w:before="48" w:after="30"/>
              <w:jc w:val="right"/>
            </w:pPr>
            <w:r>
              <w:rPr>
                <w:rFonts w:ascii="Calibri" w:eastAsia="Calibri" w:hAnsi="Calibri" w:cs="Calibri"/>
                <w:b/>
                <w:color w:val="000000"/>
                <w:sz w:val="21"/>
              </w:rPr>
              <w:t>2024</w:t>
            </w:r>
          </w:p>
        </w:tc>
      </w:tr>
      <w:tr w:rsidR="00894454" w14:paraId="02C2E6AE" w14:textId="77777777">
        <w:trPr>
          <w:cantSplit/>
          <w:trHeight w:hRule="exact" w:val="315"/>
        </w:trPr>
        <w:tc>
          <w:tcPr>
            <w:tcW w:w="5700" w:type="dxa"/>
            <w:vMerge/>
            <w:tcBorders>
              <w:top w:val="nil"/>
              <w:left w:val="nil"/>
              <w:bottom w:val="single" w:sz="2" w:space="0" w:color="000000"/>
              <w:right w:val="nil"/>
            </w:tcBorders>
          </w:tcPr>
          <w:p w14:paraId="2D32A478"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ADC6816" w14:textId="77777777" w:rsidR="00894454" w:rsidRDefault="00894454">
            <w:pPr>
              <w:keepNext/>
            </w:pPr>
          </w:p>
        </w:tc>
        <w:tc>
          <w:tcPr>
            <w:tcW w:w="1560" w:type="dxa"/>
            <w:tcBorders>
              <w:top w:val="single" w:sz="8" w:space="0" w:color="000000"/>
              <w:left w:val="nil"/>
              <w:bottom w:val="single" w:sz="2" w:space="0" w:color="000000"/>
              <w:right w:val="nil"/>
            </w:tcBorders>
            <w:shd w:val="clear" w:color="auto" w:fill="FFFFFF"/>
            <w:tcMar>
              <w:top w:w="0" w:type="dxa"/>
              <w:left w:w="0" w:type="dxa"/>
              <w:bottom w:w="0" w:type="dxa"/>
              <w:right w:w="0" w:type="dxa"/>
            </w:tcMar>
            <w:vAlign w:val="bottom"/>
          </w:tcPr>
          <w:p w14:paraId="4491DB53"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A97D5FF" w14:textId="77777777" w:rsidR="00894454" w:rsidRDefault="00894454">
            <w:pPr>
              <w:keepNext/>
            </w:pPr>
          </w:p>
        </w:tc>
        <w:tc>
          <w:tcPr>
            <w:tcW w:w="1560" w:type="dxa"/>
            <w:tcBorders>
              <w:top w:val="single" w:sz="8" w:space="0" w:color="000000"/>
              <w:left w:val="nil"/>
              <w:bottom w:val="single" w:sz="2" w:space="0" w:color="000000"/>
              <w:right w:val="nil"/>
            </w:tcBorders>
            <w:shd w:val="clear" w:color="auto" w:fill="FFFFFF"/>
            <w:tcMar>
              <w:top w:w="0" w:type="dxa"/>
              <w:left w:w="0" w:type="dxa"/>
              <w:bottom w:w="0" w:type="dxa"/>
              <w:right w:w="0" w:type="dxa"/>
            </w:tcMar>
            <w:vAlign w:val="bottom"/>
          </w:tcPr>
          <w:p w14:paraId="1DF95F1F" w14:textId="77777777" w:rsidR="00894454" w:rsidRDefault="00894454">
            <w:pPr>
              <w:keepNext/>
            </w:pPr>
          </w:p>
        </w:tc>
      </w:tr>
      <w:tr w:rsidR="00894454" w14:paraId="352AE0C5"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0A186074" w14:textId="77777777" w:rsidR="00894454" w:rsidRDefault="00894454">
            <w:pPr>
              <w:keepNext/>
              <w:spacing w:line="210" w:lineRule="exact"/>
            </w:pPr>
            <w:proofErr w:type="spellStart"/>
            <w:r>
              <w:rPr>
                <w:rFonts w:ascii="Calibri" w:eastAsia="Calibri" w:hAnsi="Calibri" w:cs="Calibri"/>
                <w:color w:val="000000"/>
                <w:sz w:val="21"/>
              </w:rPr>
              <w:t>Κύκλος</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εργ</w:t>
            </w:r>
            <w:proofErr w:type="spellEnd"/>
            <w:r>
              <w:rPr>
                <w:rFonts w:ascii="Calibri" w:eastAsia="Calibri" w:hAnsi="Calibri" w:cs="Calibri"/>
                <w:color w:val="000000"/>
                <w:sz w:val="21"/>
              </w:rPr>
              <w:t xml:space="preserve">ασιών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439014E"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9F402E3" w14:textId="77777777" w:rsidR="00894454" w:rsidRDefault="00894454">
            <w:pPr>
              <w:keepNext/>
              <w:spacing w:before="48" w:after="30"/>
              <w:jc w:val="right"/>
            </w:pPr>
            <w:r>
              <w:rPr>
                <w:rFonts w:ascii="Calibri" w:eastAsia="Calibri" w:hAnsi="Calibri" w:cs="Calibri"/>
                <w:color w:val="000000"/>
                <w:sz w:val="21"/>
              </w:rPr>
              <w:t>2.012.529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11FAF29"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578F7290" w14:textId="77777777" w:rsidR="00894454" w:rsidRDefault="00894454">
            <w:pPr>
              <w:keepNext/>
              <w:spacing w:before="48" w:after="30"/>
              <w:jc w:val="right"/>
            </w:pPr>
            <w:r>
              <w:rPr>
                <w:rFonts w:ascii="Calibri" w:eastAsia="Calibri" w:hAnsi="Calibri" w:cs="Calibri"/>
                <w:color w:val="000000"/>
                <w:sz w:val="21"/>
              </w:rPr>
              <w:t>1.984.510</w:t>
            </w:r>
          </w:p>
        </w:tc>
      </w:tr>
      <w:tr w:rsidR="00894454" w14:paraId="573725E4"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48FDB2F8" w14:textId="77777777" w:rsidR="00894454" w:rsidRDefault="00894454">
            <w:pPr>
              <w:keepNext/>
              <w:spacing w:line="210" w:lineRule="exact"/>
            </w:pPr>
            <w:proofErr w:type="spellStart"/>
            <w:r>
              <w:rPr>
                <w:rFonts w:ascii="Calibri" w:eastAsia="Calibri" w:hAnsi="Calibri" w:cs="Calibri"/>
                <w:color w:val="000000"/>
                <w:sz w:val="21"/>
              </w:rPr>
              <w:t>Κόστος</w:t>
            </w:r>
            <w:proofErr w:type="spellEnd"/>
            <w:r>
              <w:rPr>
                <w:rFonts w:ascii="Calibri" w:eastAsia="Calibri" w:hAnsi="Calibri" w:cs="Calibri"/>
                <w:color w:val="000000"/>
                <w:sz w:val="21"/>
              </w:rPr>
              <w:t xml:space="preserve"> π</w:t>
            </w:r>
            <w:proofErr w:type="spellStart"/>
            <w:r>
              <w:rPr>
                <w:rFonts w:ascii="Calibri" w:eastAsia="Calibri" w:hAnsi="Calibri" w:cs="Calibri"/>
                <w:color w:val="000000"/>
                <w:sz w:val="21"/>
              </w:rPr>
              <w:t>ωλήσεων</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7C79FEC"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04EF3AE" w14:textId="77777777" w:rsidR="00894454" w:rsidRDefault="00894454">
            <w:pPr>
              <w:keepNext/>
              <w:spacing w:before="48" w:after="30"/>
              <w:jc w:val="right"/>
            </w:pPr>
            <w:r>
              <w:rPr>
                <w:rFonts w:ascii="Calibri" w:eastAsia="Calibri" w:hAnsi="Calibri" w:cs="Calibri"/>
                <w:color w:val="000000"/>
                <w:sz w:val="21"/>
              </w:rPr>
              <w:t>-1.450.745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FE736F8" w14:textId="77777777" w:rsidR="00894454" w:rsidRDefault="00894454">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6434C359" w14:textId="77777777" w:rsidR="00894454" w:rsidRDefault="00894454">
            <w:pPr>
              <w:keepNext/>
              <w:spacing w:before="48" w:after="30"/>
              <w:jc w:val="right"/>
            </w:pPr>
            <w:r>
              <w:rPr>
                <w:rFonts w:ascii="Calibri" w:eastAsia="Calibri" w:hAnsi="Calibri" w:cs="Calibri"/>
                <w:color w:val="000000"/>
                <w:sz w:val="21"/>
              </w:rPr>
              <w:t>-1.449.144</w:t>
            </w:r>
          </w:p>
        </w:tc>
      </w:tr>
      <w:tr w:rsidR="00894454" w14:paraId="526A8B12"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79B57FA1" w14:textId="77777777" w:rsidR="00894454" w:rsidRDefault="00894454">
            <w:pPr>
              <w:keepNext/>
              <w:spacing w:line="210" w:lineRule="exact"/>
            </w:pPr>
            <w:proofErr w:type="spellStart"/>
            <w:r>
              <w:rPr>
                <w:rFonts w:ascii="Calibri" w:eastAsia="Calibri" w:hAnsi="Calibri" w:cs="Calibri"/>
                <w:b/>
                <w:color w:val="000000"/>
                <w:sz w:val="21"/>
              </w:rPr>
              <w:t>Μικτά</w:t>
            </w:r>
            <w:proofErr w:type="spellEnd"/>
            <w:r>
              <w:rPr>
                <w:rFonts w:ascii="Calibri" w:eastAsia="Calibri" w:hAnsi="Calibri" w:cs="Calibri"/>
                <w:b/>
                <w:color w:val="000000"/>
                <w:sz w:val="21"/>
              </w:rPr>
              <w:t xml:space="preserve"> </w:t>
            </w:r>
            <w:proofErr w:type="spellStart"/>
            <w:r>
              <w:rPr>
                <w:rFonts w:ascii="Calibri" w:eastAsia="Calibri" w:hAnsi="Calibri" w:cs="Calibri"/>
                <w:b/>
                <w:color w:val="000000"/>
                <w:sz w:val="21"/>
              </w:rPr>
              <w:t>κέρδη</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2EE4198"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95732AB" w14:textId="77777777" w:rsidR="00894454" w:rsidRDefault="00894454">
            <w:pPr>
              <w:keepNext/>
              <w:spacing w:before="48" w:after="30"/>
              <w:jc w:val="right"/>
            </w:pPr>
            <w:r>
              <w:rPr>
                <w:rFonts w:ascii="Calibri" w:eastAsia="Calibri" w:hAnsi="Calibri" w:cs="Calibri"/>
                <w:b/>
                <w:color w:val="000000"/>
                <w:sz w:val="21"/>
              </w:rPr>
              <w:t>561.784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13FAAC8"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2877A45" w14:textId="77777777" w:rsidR="00894454" w:rsidRDefault="00894454">
            <w:pPr>
              <w:keepNext/>
              <w:spacing w:before="48" w:after="30"/>
              <w:jc w:val="right"/>
            </w:pPr>
            <w:r>
              <w:rPr>
                <w:rFonts w:ascii="Calibri" w:eastAsia="Calibri" w:hAnsi="Calibri" w:cs="Calibri"/>
                <w:b/>
                <w:color w:val="000000"/>
                <w:sz w:val="21"/>
              </w:rPr>
              <w:t>535.366</w:t>
            </w:r>
          </w:p>
        </w:tc>
      </w:tr>
      <w:tr w:rsidR="00894454" w14:paraId="0CF421BE"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5C6621DB" w14:textId="77777777" w:rsidR="00894454" w:rsidRDefault="00894454">
            <w:pPr>
              <w:keepNext/>
              <w:spacing w:line="210" w:lineRule="exact"/>
            </w:pPr>
            <w:proofErr w:type="spellStart"/>
            <w:r>
              <w:rPr>
                <w:rFonts w:ascii="Calibri" w:eastAsia="Calibri" w:hAnsi="Calibri" w:cs="Calibri"/>
                <w:color w:val="000000"/>
                <w:sz w:val="21"/>
              </w:rPr>
              <w:t>Άλλ</w:t>
            </w:r>
            <w:proofErr w:type="spellEnd"/>
            <w:r>
              <w:rPr>
                <w:rFonts w:ascii="Calibri" w:eastAsia="Calibri" w:hAnsi="Calibri" w:cs="Calibri"/>
                <w:color w:val="000000"/>
                <w:sz w:val="21"/>
              </w:rPr>
              <w:t>α καθα</w:t>
            </w:r>
            <w:proofErr w:type="spellStart"/>
            <w:r>
              <w:rPr>
                <w:rFonts w:ascii="Calibri" w:eastAsia="Calibri" w:hAnsi="Calibri" w:cs="Calibri"/>
                <w:color w:val="000000"/>
                <w:sz w:val="21"/>
              </w:rPr>
              <w:t>ρά</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έσοδ</w:t>
            </w:r>
            <w:proofErr w:type="spellEnd"/>
            <w:r>
              <w:rPr>
                <w:rFonts w:ascii="Calibri" w:eastAsia="Calibri" w:hAnsi="Calibri" w:cs="Calibri"/>
                <w:color w:val="000000"/>
                <w:sz w:val="21"/>
              </w:rPr>
              <w:t xml:space="preserve">α </w:t>
            </w:r>
            <w:proofErr w:type="spellStart"/>
            <w:r>
              <w:rPr>
                <w:rFonts w:ascii="Calibri" w:eastAsia="Calibri" w:hAnsi="Calibri" w:cs="Calibri"/>
                <w:color w:val="000000"/>
                <w:sz w:val="21"/>
              </w:rPr>
              <w:t>εκμετάλλευσης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52DB31D"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53D303B" w14:textId="77777777" w:rsidR="00894454" w:rsidRDefault="00894454">
            <w:pPr>
              <w:keepNext/>
              <w:spacing w:before="48" w:after="30"/>
              <w:jc w:val="right"/>
            </w:pPr>
            <w:r>
              <w:rPr>
                <w:rFonts w:ascii="Calibri" w:eastAsia="Calibri" w:hAnsi="Calibri" w:cs="Calibri"/>
                <w:color w:val="000000"/>
                <w:sz w:val="21"/>
              </w:rPr>
              <w:t>5.513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7703954" w14:textId="77777777" w:rsidR="00894454" w:rsidRDefault="00894454">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17540297" w14:textId="77777777" w:rsidR="00894454" w:rsidRDefault="00894454">
            <w:pPr>
              <w:keepNext/>
              <w:spacing w:before="48" w:after="30"/>
              <w:jc w:val="right"/>
            </w:pPr>
            <w:r>
              <w:rPr>
                <w:rFonts w:ascii="Calibri" w:eastAsia="Calibri" w:hAnsi="Calibri" w:cs="Calibri"/>
                <w:color w:val="000000"/>
                <w:sz w:val="21"/>
              </w:rPr>
              <w:t>6.462</w:t>
            </w:r>
          </w:p>
        </w:tc>
      </w:tr>
      <w:tr w:rsidR="00894454" w14:paraId="6F74E68C"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0CBF230F" w14:textId="77777777" w:rsidR="00894454" w:rsidRPr="001F4DA1" w:rsidRDefault="00894454">
            <w:pPr>
              <w:keepNext/>
              <w:spacing w:line="210" w:lineRule="exact"/>
              <w:rPr>
                <w:lang w:val="el-GR"/>
              </w:rPr>
            </w:pPr>
            <w:r w:rsidRPr="001F4DA1">
              <w:rPr>
                <w:rFonts w:ascii="Calibri" w:eastAsia="Calibri" w:hAnsi="Calibri" w:cs="Calibri"/>
                <w:color w:val="000000"/>
                <w:sz w:val="21"/>
                <w:lang w:val="el-GR"/>
              </w:rPr>
              <w:t>Έξοδα διοικητικής λειτουργίας και διάθεσης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BB0B04C" w14:textId="77777777" w:rsidR="00894454" w:rsidRPr="001F4DA1" w:rsidRDefault="00894454">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64680FC6" w14:textId="77777777" w:rsidR="00894454" w:rsidRDefault="00894454">
            <w:pPr>
              <w:keepNext/>
              <w:spacing w:before="48" w:after="30"/>
              <w:jc w:val="right"/>
            </w:pPr>
            <w:r>
              <w:rPr>
                <w:rFonts w:ascii="Calibri" w:eastAsia="Calibri" w:hAnsi="Calibri" w:cs="Calibri"/>
                <w:color w:val="000000"/>
                <w:sz w:val="21"/>
              </w:rPr>
              <w:t>-221.812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73219AB" w14:textId="77777777" w:rsidR="00894454" w:rsidRDefault="00894454">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280F5677" w14:textId="77777777" w:rsidR="00894454" w:rsidRDefault="00894454">
            <w:pPr>
              <w:keepNext/>
              <w:spacing w:before="48" w:after="30"/>
              <w:jc w:val="right"/>
            </w:pPr>
            <w:r>
              <w:rPr>
                <w:rFonts w:ascii="Calibri" w:eastAsia="Calibri" w:hAnsi="Calibri" w:cs="Calibri"/>
                <w:color w:val="000000"/>
                <w:sz w:val="21"/>
              </w:rPr>
              <w:t>-221.758</w:t>
            </w:r>
          </w:p>
        </w:tc>
      </w:tr>
      <w:tr w:rsidR="00894454" w14:paraId="355FF2E6" w14:textId="77777777">
        <w:trPr>
          <w:cantSplit/>
          <w:trHeight w:hRule="exact" w:val="52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72BD8876" w14:textId="77777777" w:rsidR="00894454" w:rsidRPr="001F4DA1" w:rsidRDefault="00894454">
            <w:pPr>
              <w:keepNext/>
              <w:spacing w:line="210" w:lineRule="exact"/>
              <w:rPr>
                <w:lang w:val="el-GR"/>
              </w:rPr>
            </w:pPr>
            <w:r w:rsidRPr="001F4DA1">
              <w:rPr>
                <w:rFonts w:ascii="Calibri" w:eastAsia="Calibri" w:hAnsi="Calibri" w:cs="Calibri"/>
                <w:b/>
                <w:color w:val="000000"/>
                <w:sz w:val="21"/>
                <w:lang w:val="el-GR"/>
              </w:rPr>
              <w:t>Κέρδη προ ζημιών απομείωσης υπεραξίας, καθαρών εξόδων χρηματοοικονομικής λειτουργίας και φόρων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C28FD97" w14:textId="77777777" w:rsidR="00894454" w:rsidRPr="001F4DA1" w:rsidRDefault="00894454">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B958B41" w14:textId="77777777" w:rsidR="00894454" w:rsidRDefault="00894454">
            <w:pPr>
              <w:keepNext/>
              <w:spacing w:before="48" w:after="30"/>
              <w:jc w:val="right"/>
            </w:pPr>
            <w:r>
              <w:rPr>
                <w:rFonts w:ascii="Calibri" w:eastAsia="Calibri" w:hAnsi="Calibri" w:cs="Calibri"/>
                <w:b/>
                <w:color w:val="000000"/>
                <w:sz w:val="21"/>
              </w:rPr>
              <w:t>345.485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30C3121"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5C583D8" w14:textId="77777777" w:rsidR="00894454" w:rsidRDefault="00894454">
            <w:pPr>
              <w:keepNext/>
              <w:spacing w:before="48" w:after="30"/>
              <w:jc w:val="right"/>
            </w:pPr>
            <w:r>
              <w:rPr>
                <w:rFonts w:ascii="Calibri" w:eastAsia="Calibri" w:hAnsi="Calibri" w:cs="Calibri"/>
                <w:b/>
                <w:color w:val="000000"/>
                <w:sz w:val="21"/>
              </w:rPr>
              <w:t>320.070</w:t>
            </w:r>
          </w:p>
        </w:tc>
      </w:tr>
      <w:tr w:rsidR="00894454" w14:paraId="52F68624" w14:textId="77777777">
        <w:trPr>
          <w:cantSplit/>
          <w:trHeight w:hRule="exact" w:val="52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3CF63E17" w14:textId="77777777" w:rsidR="00894454" w:rsidRPr="001F4DA1" w:rsidRDefault="00894454">
            <w:pPr>
              <w:keepNext/>
              <w:spacing w:line="210" w:lineRule="exact"/>
              <w:rPr>
                <w:lang w:val="el-GR"/>
              </w:rPr>
            </w:pPr>
            <w:r w:rsidRPr="001F4DA1">
              <w:rPr>
                <w:rFonts w:ascii="Calibri" w:eastAsia="Calibri" w:hAnsi="Calibri" w:cs="Calibri"/>
                <w:i/>
                <w:color w:val="000000"/>
                <w:sz w:val="21"/>
                <w:lang w:val="el-GR"/>
              </w:rPr>
              <w:t>Ζημιές από την πώληση θυγατρικών εταιριών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DB8DEB5" w14:textId="77777777" w:rsidR="00894454" w:rsidRPr="001F4DA1" w:rsidRDefault="00894454">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844A43D" w14:textId="77777777" w:rsidR="00894454" w:rsidRDefault="00894454">
            <w:pPr>
              <w:keepNext/>
              <w:spacing w:before="48" w:after="30"/>
              <w:jc w:val="right"/>
            </w:pPr>
            <w:r>
              <w:rPr>
                <w:rFonts w:ascii="Arial" w:eastAsia="Arial" w:hAnsi="Arial" w:cs="Arial"/>
                <w:color w:val="000000"/>
                <w:sz w:val="21"/>
              </w:rPr>
              <w:t>-52.541</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C5D93E0" w14:textId="77777777" w:rsidR="00894454" w:rsidRDefault="00894454">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7CFEB86F" w14:textId="77777777" w:rsidR="00894454" w:rsidRDefault="00894454">
            <w:pPr>
              <w:keepNext/>
              <w:spacing w:before="48" w:after="30"/>
              <w:jc w:val="right"/>
            </w:pPr>
            <w:r>
              <w:rPr>
                <w:rFonts w:ascii="Calibri" w:eastAsia="Calibri" w:hAnsi="Calibri" w:cs="Calibri"/>
                <w:color w:val="000000"/>
                <w:sz w:val="21"/>
              </w:rPr>
              <w:t>-</w:t>
            </w:r>
          </w:p>
        </w:tc>
      </w:tr>
      <w:tr w:rsidR="00894454" w14:paraId="031F16E0" w14:textId="77777777">
        <w:trPr>
          <w:cantSplit/>
          <w:trHeight w:hRule="exact" w:val="52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5684EAD1" w14:textId="77777777" w:rsidR="00894454" w:rsidRPr="001F4DA1" w:rsidRDefault="00894454">
            <w:pPr>
              <w:keepNext/>
              <w:spacing w:line="210" w:lineRule="exact"/>
              <w:rPr>
                <w:lang w:val="el-GR"/>
              </w:rPr>
            </w:pPr>
            <w:r w:rsidRPr="001F4DA1">
              <w:rPr>
                <w:rFonts w:ascii="Calibri" w:eastAsia="Calibri" w:hAnsi="Calibri" w:cs="Calibri"/>
                <w:i/>
                <w:color w:val="000000"/>
                <w:sz w:val="21"/>
                <w:lang w:val="el-GR"/>
              </w:rPr>
              <w:t xml:space="preserve">        Κέρδη της καθαρής νομισματικής θέσης σε </w:t>
            </w:r>
          </w:p>
          <w:p w14:paraId="443148AA" w14:textId="77777777" w:rsidR="00894454" w:rsidRDefault="00894454">
            <w:pPr>
              <w:spacing w:line="210" w:lineRule="exact"/>
            </w:pPr>
            <w:r w:rsidRPr="001F4DA1">
              <w:rPr>
                <w:rFonts w:ascii="Calibri" w:eastAsia="Calibri" w:hAnsi="Calibri" w:cs="Calibri"/>
                <w:i/>
                <w:color w:val="000000"/>
                <w:sz w:val="21"/>
                <w:lang w:val="el-GR"/>
              </w:rPr>
              <w:t xml:space="preserve">        </w:t>
            </w:r>
            <w:r>
              <w:rPr>
                <w:rFonts w:ascii="Calibri" w:eastAsia="Calibri" w:hAnsi="Calibri" w:cs="Calibri"/>
                <w:i/>
                <w:color w:val="000000"/>
                <w:sz w:val="21"/>
              </w:rPr>
              <w:t>υπ</w:t>
            </w:r>
            <w:proofErr w:type="spellStart"/>
            <w:r>
              <w:rPr>
                <w:rFonts w:ascii="Calibri" w:eastAsia="Calibri" w:hAnsi="Calibri" w:cs="Calibri"/>
                <w:i/>
                <w:color w:val="000000"/>
                <w:sz w:val="21"/>
              </w:rPr>
              <w:t>ερ</w:t>
            </w:r>
            <w:proofErr w:type="spellEnd"/>
            <w:r>
              <w:rPr>
                <w:rFonts w:ascii="Calibri" w:eastAsia="Calibri" w:hAnsi="Calibri" w:cs="Calibri"/>
                <w:i/>
                <w:color w:val="000000"/>
                <w:sz w:val="21"/>
              </w:rPr>
              <w:t xml:space="preserve">πληθωριστικές </w:t>
            </w:r>
            <w:proofErr w:type="spellStart"/>
            <w:r>
              <w:rPr>
                <w:rFonts w:ascii="Calibri" w:eastAsia="Calibri" w:hAnsi="Calibri" w:cs="Calibri"/>
                <w:i/>
                <w:color w:val="000000"/>
                <w:sz w:val="21"/>
              </w:rPr>
              <w:t>οικονομίες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1BD7B73"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D35AE83" w14:textId="77777777" w:rsidR="00894454" w:rsidRDefault="00894454">
            <w:pPr>
              <w:keepNext/>
              <w:spacing w:before="48" w:after="30"/>
              <w:jc w:val="right"/>
            </w:pPr>
            <w:r>
              <w:rPr>
                <w:rFonts w:ascii="Calibri" w:eastAsia="Calibri" w:hAnsi="Calibri" w:cs="Calibri"/>
                <w:color w:val="000000"/>
                <w:sz w:val="21"/>
              </w:rPr>
              <w:t>1.395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F74B939" w14:textId="77777777" w:rsidR="00894454" w:rsidRDefault="00894454">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5BF28D2E" w14:textId="77777777" w:rsidR="00894454" w:rsidRDefault="00894454">
            <w:pPr>
              <w:keepNext/>
              <w:spacing w:before="48" w:after="30"/>
              <w:jc w:val="right"/>
            </w:pPr>
            <w:r>
              <w:rPr>
                <w:rFonts w:ascii="Calibri" w:eastAsia="Calibri" w:hAnsi="Calibri" w:cs="Calibri"/>
                <w:color w:val="000000"/>
                <w:sz w:val="21"/>
              </w:rPr>
              <w:t>7.279</w:t>
            </w:r>
          </w:p>
        </w:tc>
      </w:tr>
      <w:tr w:rsidR="00894454" w14:paraId="07A2B3D5"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5ABD37D6" w14:textId="77777777" w:rsidR="00894454" w:rsidRDefault="00894454">
            <w:pPr>
              <w:keepNext/>
              <w:spacing w:line="210" w:lineRule="exact"/>
            </w:pPr>
            <w:r>
              <w:rPr>
                <w:rFonts w:ascii="Calibri" w:eastAsia="Calibri" w:hAnsi="Calibri" w:cs="Calibri"/>
                <w:i/>
                <w:color w:val="000000"/>
                <w:sz w:val="21"/>
              </w:rPr>
              <w:t xml:space="preserve">       </w:t>
            </w:r>
            <w:proofErr w:type="spellStart"/>
            <w:r>
              <w:rPr>
                <w:rFonts w:ascii="Calibri" w:eastAsia="Calibri" w:hAnsi="Calibri" w:cs="Calibri"/>
                <w:i/>
                <w:color w:val="000000"/>
                <w:sz w:val="21"/>
              </w:rPr>
              <w:t>Έξοδ</w:t>
            </w:r>
            <w:proofErr w:type="spellEnd"/>
            <w:r>
              <w:rPr>
                <w:rFonts w:ascii="Calibri" w:eastAsia="Calibri" w:hAnsi="Calibri" w:cs="Calibri"/>
                <w:i/>
                <w:color w:val="000000"/>
                <w:sz w:val="21"/>
              </w:rPr>
              <w:t xml:space="preserve">α/έσοδα </w:t>
            </w:r>
            <w:proofErr w:type="spellStart"/>
            <w:r>
              <w:rPr>
                <w:rFonts w:ascii="Calibri" w:eastAsia="Calibri" w:hAnsi="Calibri" w:cs="Calibri"/>
                <w:i/>
                <w:color w:val="000000"/>
                <w:sz w:val="21"/>
              </w:rPr>
              <w:t>χρημ</w:t>
            </w:r>
            <w:proofErr w:type="spellEnd"/>
            <w:r>
              <w:rPr>
                <w:rFonts w:ascii="Calibri" w:eastAsia="Calibri" w:hAnsi="Calibri" w:cs="Calibri"/>
                <w:i/>
                <w:color w:val="000000"/>
                <w:sz w:val="21"/>
              </w:rPr>
              <w:t xml:space="preserve">ατοοικονομικής </w:t>
            </w:r>
            <w:proofErr w:type="spellStart"/>
            <w:r>
              <w:rPr>
                <w:rFonts w:ascii="Calibri" w:eastAsia="Calibri" w:hAnsi="Calibri" w:cs="Calibri"/>
                <w:i/>
                <w:color w:val="000000"/>
                <w:sz w:val="21"/>
              </w:rPr>
              <w:t>λειτουργί</w:t>
            </w:r>
            <w:proofErr w:type="spellEnd"/>
            <w:r>
              <w:rPr>
                <w:rFonts w:ascii="Calibri" w:eastAsia="Calibri" w:hAnsi="Calibri" w:cs="Calibri"/>
                <w:i/>
                <w:color w:val="000000"/>
                <w:sz w:val="21"/>
              </w:rPr>
              <w:t xml:space="preserve">ας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813E9E2"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1F00451E" w14:textId="77777777" w:rsidR="00894454" w:rsidRDefault="00894454">
            <w:pPr>
              <w:keepNext/>
              <w:spacing w:before="48" w:after="30"/>
              <w:jc w:val="right"/>
            </w:pPr>
            <w:r>
              <w:rPr>
                <w:rFonts w:ascii="Calibri" w:eastAsia="Calibri" w:hAnsi="Calibri" w:cs="Calibri"/>
                <w:color w:val="000000"/>
                <w:sz w:val="21"/>
              </w:rPr>
              <w:t>-25.034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8684459" w14:textId="77777777" w:rsidR="00894454" w:rsidRDefault="00894454">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0312E9DF" w14:textId="77777777" w:rsidR="00894454" w:rsidRDefault="00894454">
            <w:pPr>
              <w:keepNext/>
              <w:spacing w:before="48" w:after="30"/>
              <w:jc w:val="right"/>
            </w:pPr>
            <w:r>
              <w:rPr>
                <w:rFonts w:ascii="Calibri" w:eastAsia="Calibri" w:hAnsi="Calibri" w:cs="Calibri"/>
                <w:color w:val="000000"/>
                <w:sz w:val="21"/>
              </w:rPr>
              <w:t>-32.183</w:t>
            </w:r>
          </w:p>
        </w:tc>
      </w:tr>
      <w:tr w:rsidR="00894454" w14:paraId="7964C7C4"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07D99F1E" w14:textId="77777777" w:rsidR="00894454" w:rsidRDefault="00894454">
            <w:pPr>
              <w:keepNext/>
              <w:spacing w:line="210" w:lineRule="exact"/>
            </w:pPr>
            <w:r>
              <w:rPr>
                <w:rFonts w:ascii="Calibri" w:eastAsia="Calibri" w:hAnsi="Calibri" w:cs="Calibri"/>
                <w:i/>
                <w:color w:val="000000"/>
                <w:sz w:val="21"/>
              </w:rPr>
              <w:t xml:space="preserve">       </w:t>
            </w:r>
            <w:proofErr w:type="spellStart"/>
            <w:r>
              <w:rPr>
                <w:rFonts w:ascii="Calibri" w:eastAsia="Calibri" w:hAnsi="Calibri" w:cs="Calibri"/>
                <w:i/>
                <w:color w:val="000000"/>
                <w:sz w:val="21"/>
              </w:rPr>
              <w:t>Ζημιές</w:t>
            </w:r>
            <w:proofErr w:type="spellEnd"/>
            <w:r>
              <w:rPr>
                <w:rFonts w:ascii="Calibri" w:eastAsia="Calibri" w:hAnsi="Calibri" w:cs="Calibri"/>
                <w:i/>
                <w:color w:val="000000"/>
                <w:sz w:val="21"/>
              </w:rPr>
              <w:t xml:space="preserve"> από </w:t>
            </w:r>
            <w:proofErr w:type="spellStart"/>
            <w:r>
              <w:rPr>
                <w:rFonts w:ascii="Calibri" w:eastAsia="Calibri" w:hAnsi="Calibri" w:cs="Calibri"/>
                <w:i/>
                <w:color w:val="000000"/>
                <w:sz w:val="21"/>
              </w:rPr>
              <w:t>συν</w:t>
            </w:r>
            <w:proofErr w:type="spellEnd"/>
            <w:r>
              <w:rPr>
                <w:rFonts w:ascii="Calibri" w:eastAsia="Calibri" w:hAnsi="Calibri" w:cs="Calibri"/>
                <w:i/>
                <w:color w:val="000000"/>
                <w:sz w:val="21"/>
              </w:rPr>
              <w:t xml:space="preserve">αλλαγματικές </w:t>
            </w:r>
            <w:proofErr w:type="spellStart"/>
            <w:r>
              <w:rPr>
                <w:rFonts w:ascii="Calibri" w:eastAsia="Calibri" w:hAnsi="Calibri" w:cs="Calibri"/>
                <w:i/>
                <w:color w:val="000000"/>
                <w:sz w:val="21"/>
              </w:rPr>
              <w:t>δι</w:t>
            </w:r>
            <w:proofErr w:type="spellEnd"/>
            <w:r>
              <w:rPr>
                <w:rFonts w:ascii="Calibri" w:eastAsia="Calibri" w:hAnsi="Calibri" w:cs="Calibri"/>
                <w:i/>
                <w:color w:val="000000"/>
                <w:sz w:val="21"/>
              </w:rPr>
              <w:t xml:space="preserve">αφορές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2B9F6DD"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34056F9" w14:textId="77777777" w:rsidR="00894454" w:rsidRDefault="00894454">
            <w:pPr>
              <w:keepNext/>
              <w:spacing w:before="48" w:after="30"/>
              <w:jc w:val="right"/>
            </w:pPr>
            <w:r>
              <w:rPr>
                <w:rFonts w:ascii="Calibri" w:eastAsia="Calibri" w:hAnsi="Calibri" w:cs="Calibri"/>
                <w:color w:val="000000"/>
                <w:sz w:val="21"/>
              </w:rPr>
              <w:t>-9.589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6558DD7"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1B2F1C7E" w14:textId="77777777" w:rsidR="00894454" w:rsidRDefault="00894454">
            <w:pPr>
              <w:keepNext/>
              <w:spacing w:before="48" w:after="30"/>
              <w:jc w:val="right"/>
            </w:pPr>
            <w:r>
              <w:rPr>
                <w:rFonts w:ascii="Calibri" w:eastAsia="Calibri" w:hAnsi="Calibri" w:cs="Calibri"/>
                <w:color w:val="000000"/>
                <w:sz w:val="21"/>
              </w:rPr>
              <w:t>-3.929</w:t>
            </w:r>
          </w:p>
        </w:tc>
      </w:tr>
      <w:tr w:rsidR="00894454" w14:paraId="249C0C4E"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2A509AAC" w14:textId="77777777" w:rsidR="00894454" w:rsidRDefault="00894454">
            <w:pPr>
              <w:keepNext/>
              <w:spacing w:line="210" w:lineRule="exact"/>
            </w:pPr>
            <w:r>
              <w:rPr>
                <w:rFonts w:ascii="Calibri" w:eastAsia="Calibri" w:hAnsi="Calibri" w:cs="Calibri"/>
                <w:b/>
                <w:i/>
                <w:color w:val="000000"/>
                <w:sz w:val="21"/>
              </w:rPr>
              <w:t xml:space="preserve">       Καθα</w:t>
            </w:r>
            <w:proofErr w:type="spellStart"/>
            <w:r>
              <w:rPr>
                <w:rFonts w:ascii="Calibri" w:eastAsia="Calibri" w:hAnsi="Calibri" w:cs="Calibri"/>
                <w:b/>
                <w:i/>
                <w:color w:val="000000"/>
                <w:sz w:val="21"/>
              </w:rPr>
              <w:t>ρά</w:t>
            </w:r>
            <w:proofErr w:type="spellEnd"/>
            <w:r>
              <w:rPr>
                <w:rFonts w:ascii="Calibri" w:eastAsia="Calibri" w:hAnsi="Calibri" w:cs="Calibri"/>
                <w:b/>
                <w:i/>
                <w:color w:val="000000"/>
                <w:sz w:val="21"/>
              </w:rPr>
              <w:t xml:space="preserve"> </w:t>
            </w:r>
            <w:proofErr w:type="spellStart"/>
            <w:r>
              <w:rPr>
                <w:rFonts w:ascii="Calibri" w:eastAsia="Calibri" w:hAnsi="Calibri" w:cs="Calibri"/>
                <w:b/>
                <w:i/>
                <w:color w:val="000000"/>
                <w:sz w:val="21"/>
              </w:rPr>
              <w:t>έξοδ</w:t>
            </w:r>
            <w:proofErr w:type="spellEnd"/>
            <w:r>
              <w:rPr>
                <w:rFonts w:ascii="Calibri" w:eastAsia="Calibri" w:hAnsi="Calibri" w:cs="Calibri"/>
                <w:b/>
                <w:i/>
                <w:color w:val="000000"/>
                <w:sz w:val="21"/>
              </w:rPr>
              <w:t xml:space="preserve">α </w:t>
            </w:r>
            <w:proofErr w:type="spellStart"/>
            <w:r>
              <w:rPr>
                <w:rFonts w:ascii="Calibri" w:eastAsia="Calibri" w:hAnsi="Calibri" w:cs="Calibri"/>
                <w:b/>
                <w:i/>
                <w:color w:val="000000"/>
                <w:sz w:val="21"/>
              </w:rPr>
              <w:t>χρημ</w:t>
            </w:r>
            <w:proofErr w:type="spellEnd"/>
            <w:r>
              <w:rPr>
                <w:rFonts w:ascii="Calibri" w:eastAsia="Calibri" w:hAnsi="Calibri" w:cs="Calibri"/>
                <w:b/>
                <w:i/>
                <w:color w:val="000000"/>
                <w:sz w:val="21"/>
              </w:rPr>
              <w:t xml:space="preserve">ατοοικονομικής </w:t>
            </w:r>
            <w:proofErr w:type="spellStart"/>
            <w:r>
              <w:rPr>
                <w:rFonts w:ascii="Calibri" w:eastAsia="Calibri" w:hAnsi="Calibri" w:cs="Calibri"/>
                <w:b/>
                <w:i/>
                <w:color w:val="000000"/>
                <w:sz w:val="21"/>
              </w:rPr>
              <w:t>λειτουργί</w:t>
            </w:r>
            <w:proofErr w:type="spellEnd"/>
            <w:r>
              <w:rPr>
                <w:rFonts w:ascii="Calibri" w:eastAsia="Calibri" w:hAnsi="Calibri" w:cs="Calibri"/>
                <w:b/>
                <w:i/>
                <w:color w:val="000000"/>
                <w:sz w:val="21"/>
              </w:rPr>
              <w:t>ας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14A84AF"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2D1235C" w14:textId="77777777" w:rsidR="00894454" w:rsidRDefault="00894454">
            <w:pPr>
              <w:keepNext/>
              <w:spacing w:before="48" w:after="30"/>
              <w:jc w:val="right"/>
            </w:pPr>
            <w:r>
              <w:rPr>
                <w:rFonts w:ascii="Calibri" w:eastAsia="Calibri" w:hAnsi="Calibri" w:cs="Calibri"/>
                <w:b/>
                <w:i/>
                <w:color w:val="000000"/>
                <w:sz w:val="21"/>
              </w:rPr>
              <w:t>-85.769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C466EF1"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51AEA51" w14:textId="77777777" w:rsidR="00894454" w:rsidRDefault="00894454">
            <w:pPr>
              <w:keepNext/>
              <w:spacing w:before="48" w:after="30"/>
              <w:jc w:val="right"/>
            </w:pPr>
            <w:r>
              <w:rPr>
                <w:rFonts w:ascii="Calibri" w:eastAsia="Calibri" w:hAnsi="Calibri" w:cs="Calibri"/>
                <w:b/>
                <w:i/>
                <w:color w:val="000000"/>
                <w:sz w:val="21"/>
              </w:rPr>
              <w:t>-28.833</w:t>
            </w:r>
          </w:p>
        </w:tc>
      </w:tr>
      <w:tr w:rsidR="00894454" w14:paraId="2B917D8F" w14:textId="77777777">
        <w:trPr>
          <w:cantSplit/>
          <w:trHeight w:hRule="exact" w:val="49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1190CEF3" w14:textId="77777777" w:rsidR="00894454" w:rsidRPr="001F4DA1" w:rsidRDefault="00894454">
            <w:pPr>
              <w:keepNext/>
              <w:spacing w:line="210" w:lineRule="exact"/>
              <w:rPr>
                <w:lang w:val="el-GR"/>
              </w:rPr>
            </w:pPr>
            <w:r w:rsidRPr="001F4DA1">
              <w:rPr>
                <w:rFonts w:ascii="Calibri" w:eastAsia="Calibri" w:hAnsi="Calibri" w:cs="Calibri"/>
                <w:color w:val="000000"/>
                <w:sz w:val="21"/>
                <w:lang w:val="el-GR"/>
              </w:rPr>
              <w:t>Συμμετοχή στα κέρδη συγγενών εταιριών και κοινοπραξιών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B60061B" w14:textId="77777777" w:rsidR="00894454" w:rsidRPr="001F4DA1" w:rsidRDefault="00894454">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2DD7451A" w14:textId="77777777" w:rsidR="00894454" w:rsidRDefault="00894454">
            <w:pPr>
              <w:keepNext/>
              <w:spacing w:before="48" w:after="30"/>
              <w:jc w:val="right"/>
            </w:pPr>
            <w:r>
              <w:rPr>
                <w:rFonts w:ascii="Calibri" w:eastAsia="Calibri" w:hAnsi="Calibri" w:cs="Calibri"/>
                <w:color w:val="000000"/>
                <w:sz w:val="21"/>
              </w:rPr>
              <w:t>3.758</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682C3B3"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519A67EB" w14:textId="77777777" w:rsidR="00894454" w:rsidRDefault="00894454">
            <w:pPr>
              <w:keepNext/>
              <w:spacing w:before="48" w:after="30"/>
              <w:jc w:val="right"/>
            </w:pPr>
            <w:r>
              <w:rPr>
                <w:rFonts w:ascii="Calibri" w:eastAsia="Calibri" w:hAnsi="Calibri" w:cs="Calibri"/>
                <w:color w:val="000000"/>
                <w:sz w:val="21"/>
              </w:rPr>
              <w:t>806</w:t>
            </w:r>
          </w:p>
        </w:tc>
      </w:tr>
      <w:tr w:rsidR="00894454" w14:paraId="36073FF4"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078AB2F7" w14:textId="77777777" w:rsidR="00894454" w:rsidRDefault="00894454">
            <w:pPr>
              <w:keepNext/>
              <w:spacing w:line="210" w:lineRule="exact"/>
            </w:pPr>
            <w:proofErr w:type="spellStart"/>
            <w:r>
              <w:rPr>
                <w:rFonts w:ascii="Calibri" w:eastAsia="Calibri" w:hAnsi="Calibri" w:cs="Calibri"/>
                <w:b/>
                <w:color w:val="000000"/>
                <w:sz w:val="21"/>
              </w:rPr>
              <w:t>Κέρδη</w:t>
            </w:r>
            <w:proofErr w:type="spellEnd"/>
            <w:r>
              <w:rPr>
                <w:rFonts w:ascii="Calibri" w:eastAsia="Calibri" w:hAnsi="Calibri" w:cs="Calibri"/>
                <w:b/>
                <w:color w:val="000000"/>
                <w:sz w:val="21"/>
              </w:rPr>
              <w:t xml:space="preserve"> π</w:t>
            </w:r>
            <w:proofErr w:type="spellStart"/>
            <w:r>
              <w:rPr>
                <w:rFonts w:ascii="Calibri" w:eastAsia="Calibri" w:hAnsi="Calibri" w:cs="Calibri"/>
                <w:b/>
                <w:color w:val="000000"/>
                <w:sz w:val="21"/>
              </w:rPr>
              <w:t>ρο</w:t>
            </w:r>
            <w:proofErr w:type="spellEnd"/>
            <w:r>
              <w:rPr>
                <w:rFonts w:ascii="Calibri" w:eastAsia="Calibri" w:hAnsi="Calibri" w:cs="Calibri"/>
                <w:b/>
                <w:color w:val="000000"/>
                <w:sz w:val="21"/>
              </w:rPr>
              <w:t xml:space="preserve"> </w:t>
            </w:r>
            <w:proofErr w:type="spellStart"/>
            <w:r>
              <w:rPr>
                <w:rFonts w:ascii="Calibri" w:eastAsia="Calibri" w:hAnsi="Calibri" w:cs="Calibri"/>
                <w:b/>
                <w:color w:val="000000"/>
                <w:sz w:val="21"/>
              </w:rPr>
              <w:t>φόρων</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F00634D"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CEE7C4D" w14:textId="77777777" w:rsidR="00894454" w:rsidRDefault="00894454">
            <w:pPr>
              <w:keepNext/>
              <w:spacing w:before="48" w:after="30"/>
              <w:jc w:val="right"/>
            </w:pPr>
            <w:r>
              <w:rPr>
                <w:rFonts w:ascii="Calibri" w:eastAsia="Calibri" w:hAnsi="Calibri" w:cs="Calibri"/>
                <w:b/>
                <w:color w:val="000000"/>
                <w:sz w:val="21"/>
              </w:rPr>
              <w:t>263.474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4239593"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42E0F21" w14:textId="77777777" w:rsidR="00894454" w:rsidRDefault="00894454">
            <w:pPr>
              <w:keepNext/>
              <w:spacing w:before="48" w:after="30"/>
              <w:jc w:val="right"/>
            </w:pPr>
            <w:r>
              <w:rPr>
                <w:rFonts w:ascii="Calibri" w:eastAsia="Calibri" w:hAnsi="Calibri" w:cs="Calibri"/>
                <w:b/>
                <w:color w:val="000000"/>
                <w:sz w:val="21"/>
              </w:rPr>
              <w:t>292.043</w:t>
            </w:r>
          </w:p>
        </w:tc>
      </w:tr>
      <w:tr w:rsidR="00894454" w14:paraId="1FF56D02"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4F2D3ABF" w14:textId="77777777" w:rsidR="00894454" w:rsidRDefault="00894454">
            <w:pPr>
              <w:keepNext/>
              <w:spacing w:line="210" w:lineRule="exact"/>
            </w:pPr>
            <w:proofErr w:type="spellStart"/>
            <w:r>
              <w:rPr>
                <w:rFonts w:ascii="Calibri" w:eastAsia="Calibri" w:hAnsi="Calibri" w:cs="Calibri"/>
                <w:color w:val="000000"/>
                <w:sz w:val="21"/>
              </w:rPr>
              <w:t>Φόρος</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εισοδήμ</w:t>
            </w:r>
            <w:proofErr w:type="spellEnd"/>
            <w:r>
              <w:rPr>
                <w:rFonts w:ascii="Calibri" w:eastAsia="Calibri" w:hAnsi="Calibri" w:cs="Calibri"/>
                <w:color w:val="000000"/>
                <w:sz w:val="21"/>
              </w:rPr>
              <w:t>ατος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53399B1"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79BC8C7" w14:textId="77777777" w:rsidR="00894454" w:rsidRDefault="00894454">
            <w:pPr>
              <w:keepNext/>
              <w:spacing w:before="48" w:after="30"/>
              <w:jc w:val="right"/>
            </w:pPr>
            <w:r>
              <w:rPr>
                <w:rFonts w:ascii="Calibri" w:eastAsia="Calibri" w:hAnsi="Calibri" w:cs="Calibri"/>
                <w:color w:val="000000"/>
                <w:sz w:val="21"/>
              </w:rPr>
              <w:t>-76.639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E728450"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A4ABB03" w14:textId="77777777" w:rsidR="00894454" w:rsidRDefault="00894454">
            <w:pPr>
              <w:keepNext/>
              <w:spacing w:before="48" w:after="30"/>
              <w:jc w:val="right"/>
            </w:pPr>
            <w:r>
              <w:rPr>
                <w:rFonts w:ascii="Calibri" w:eastAsia="Calibri" w:hAnsi="Calibri" w:cs="Calibri"/>
                <w:color w:val="000000"/>
                <w:sz w:val="21"/>
              </w:rPr>
              <w:t>-66.855</w:t>
            </w:r>
          </w:p>
        </w:tc>
      </w:tr>
      <w:tr w:rsidR="00894454" w14:paraId="3F47D75C" w14:textId="77777777">
        <w:trPr>
          <w:cantSplit/>
          <w:trHeight w:hRule="exact" w:val="300"/>
        </w:trPr>
        <w:tc>
          <w:tcPr>
            <w:tcW w:w="5700" w:type="dxa"/>
            <w:tcBorders>
              <w:top w:val="single" w:sz="2" w:space="0" w:color="000000"/>
              <w:left w:val="nil"/>
              <w:bottom w:val="single" w:sz="8" w:space="0" w:color="4F81BD"/>
              <w:right w:val="nil"/>
            </w:tcBorders>
            <w:tcMar>
              <w:top w:w="0" w:type="dxa"/>
              <w:left w:w="53" w:type="dxa"/>
              <w:bottom w:w="0" w:type="dxa"/>
              <w:right w:w="53" w:type="dxa"/>
            </w:tcMar>
            <w:vAlign w:val="bottom"/>
          </w:tcPr>
          <w:p w14:paraId="2563B693" w14:textId="77777777" w:rsidR="00894454" w:rsidRDefault="00894454">
            <w:pPr>
              <w:keepNext/>
              <w:spacing w:before="48" w:after="30" w:line="210" w:lineRule="exact"/>
            </w:pPr>
            <w:proofErr w:type="spellStart"/>
            <w:r>
              <w:rPr>
                <w:rFonts w:ascii="Calibri" w:eastAsia="Calibri" w:hAnsi="Calibri" w:cs="Calibri"/>
                <w:b/>
                <w:color w:val="000000"/>
                <w:sz w:val="21"/>
              </w:rPr>
              <w:t>Κέρδη</w:t>
            </w:r>
            <w:proofErr w:type="spellEnd"/>
            <w:r>
              <w:rPr>
                <w:rFonts w:ascii="Calibri" w:eastAsia="Calibri" w:hAnsi="Calibri" w:cs="Calibri"/>
                <w:b/>
                <w:color w:val="000000"/>
                <w:sz w:val="21"/>
              </w:rPr>
              <w:t xml:space="preserve"> </w:t>
            </w:r>
            <w:proofErr w:type="spellStart"/>
            <w:r>
              <w:rPr>
                <w:rFonts w:ascii="Calibri" w:eastAsia="Calibri" w:hAnsi="Calibri" w:cs="Calibri"/>
                <w:b/>
                <w:color w:val="000000"/>
                <w:sz w:val="21"/>
              </w:rPr>
              <w:t>μετά</w:t>
            </w:r>
            <w:proofErr w:type="spellEnd"/>
            <w:r>
              <w:rPr>
                <w:rFonts w:ascii="Calibri" w:eastAsia="Calibri" w:hAnsi="Calibri" w:cs="Calibri"/>
                <w:b/>
                <w:color w:val="000000"/>
                <w:sz w:val="21"/>
              </w:rPr>
              <w:t xml:space="preserve"> από </w:t>
            </w:r>
            <w:proofErr w:type="spellStart"/>
            <w:r>
              <w:rPr>
                <w:rFonts w:ascii="Calibri" w:eastAsia="Calibri" w:hAnsi="Calibri" w:cs="Calibri"/>
                <w:b/>
                <w:color w:val="000000"/>
                <w:sz w:val="21"/>
              </w:rPr>
              <w:t>φόρους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D5FFEDD" w14:textId="77777777" w:rsidR="00894454" w:rsidRDefault="00894454">
            <w:pPr>
              <w:keepNext/>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66C15FD7" w14:textId="77777777" w:rsidR="00894454" w:rsidRDefault="00894454">
            <w:pPr>
              <w:keepNext/>
              <w:spacing w:before="48" w:after="30"/>
              <w:jc w:val="right"/>
            </w:pPr>
            <w:r>
              <w:rPr>
                <w:rFonts w:ascii="Calibri" w:eastAsia="Calibri" w:hAnsi="Calibri" w:cs="Calibri"/>
                <w:b/>
                <w:color w:val="000000"/>
                <w:sz w:val="21"/>
              </w:rPr>
              <w:t>186.835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386A92D" w14:textId="77777777" w:rsidR="00894454" w:rsidRDefault="00894454">
            <w:pPr>
              <w:keepNext/>
            </w:pPr>
          </w:p>
        </w:tc>
        <w:tc>
          <w:tcPr>
            <w:tcW w:w="1560" w:type="dxa"/>
            <w:tcBorders>
              <w:top w:val="single" w:sz="2" w:space="0" w:color="000000"/>
              <w:left w:val="nil"/>
              <w:bottom w:val="single" w:sz="8" w:space="0" w:color="4F81BD"/>
              <w:right w:val="nil"/>
            </w:tcBorders>
            <w:tcMar>
              <w:top w:w="0" w:type="dxa"/>
              <w:left w:w="0" w:type="dxa"/>
              <w:bottom w:w="0" w:type="dxa"/>
              <w:right w:w="53" w:type="dxa"/>
            </w:tcMar>
            <w:vAlign w:val="bottom"/>
          </w:tcPr>
          <w:p w14:paraId="0014F6AC" w14:textId="77777777" w:rsidR="00894454" w:rsidRDefault="00894454">
            <w:pPr>
              <w:keepNext/>
              <w:spacing w:before="48" w:after="30"/>
              <w:jc w:val="right"/>
            </w:pPr>
            <w:r>
              <w:rPr>
                <w:rFonts w:ascii="Calibri" w:eastAsia="Calibri" w:hAnsi="Calibri" w:cs="Calibri"/>
                <w:b/>
                <w:color w:val="000000"/>
                <w:sz w:val="21"/>
              </w:rPr>
              <w:t>225.188</w:t>
            </w:r>
          </w:p>
        </w:tc>
      </w:tr>
      <w:tr w:rsidR="00894454" w14:paraId="51D01B31" w14:textId="77777777">
        <w:trPr>
          <w:cantSplit/>
          <w:trHeight w:hRule="exact" w:val="300"/>
        </w:trPr>
        <w:tc>
          <w:tcPr>
            <w:tcW w:w="5700" w:type="dxa"/>
            <w:tcBorders>
              <w:top w:val="single" w:sz="8" w:space="0" w:color="4F81BD"/>
              <w:left w:val="nil"/>
              <w:bottom w:val="nil"/>
              <w:right w:val="nil"/>
            </w:tcBorders>
            <w:shd w:val="clear" w:color="auto" w:fill="FFFFFF"/>
            <w:tcMar>
              <w:top w:w="0" w:type="dxa"/>
              <w:left w:w="53" w:type="dxa"/>
              <w:bottom w:w="0" w:type="dxa"/>
              <w:right w:w="53" w:type="dxa"/>
            </w:tcMar>
            <w:vAlign w:val="center"/>
          </w:tcPr>
          <w:p w14:paraId="421DCB13"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C04798A" w14:textId="77777777" w:rsidR="00894454" w:rsidRDefault="00894454">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22B74A3F"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CA825AE" w14:textId="77777777" w:rsidR="00894454" w:rsidRDefault="00894454">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09BA7967" w14:textId="77777777" w:rsidR="00894454" w:rsidRDefault="00894454">
            <w:pPr>
              <w:keepNext/>
            </w:pPr>
          </w:p>
        </w:tc>
      </w:tr>
      <w:tr w:rsidR="00894454" w:rsidRPr="000F4B08" w14:paraId="4A197FE8" w14:textId="77777777">
        <w:trPr>
          <w:cantSplit/>
          <w:trHeight w:hRule="exact" w:val="300"/>
        </w:trPr>
        <w:tc>
          <w:tcPr>
            <w:tcW w:w="5700" w:type="dxa"/>
            <w:tcBorders>
              <w:top w:val="nil"/>
              <w:left w:val="nil"/>
              <w:bottom w:val="single" w:sz="2" w:space="0" w:color="000000"/>
              <w:right w:val="nil"/>
            </w:tcBorders>
            <w:shd w:val="clear" w:color="auto" w:fill="FFFFFF"/>
            <w:tcMar>
              <w:top w:w="0" w:type="dxa"/>
              <w:left w:w="53" w:type="dxa"/>
              <w:bottom w:w="0" w:type="dxa"/>
              <w:right w:w="53" w:type="dxa"/>
            </w:tcMar>
            <w:vAlign w:val="center"/>
          </w:tcPr>
          <w:p w14:paraId="37AFF82C" w14:textId="77777777" w:rsidR="00894454" w:rsidRPr="001F4DA1" w:rsidRDefault="00894454">
            <w:pPr>
              <w:keepNext/>
              <w:spacing w:line="210" w:lineRule="exact"/>
              <w:rPr>
                <w:lang w:val="el-GR"/>
              </w:rPr>
            </w:pPr>
            <w:r w:rsidRPr="001F4DA1">
              <w:rPr>
                <w:rFonts w:ascii="Calibri" w:eastAsia="Calibri" w:hAnsi="Calibri" w:cs="Calibri"/>
                <w:b/>
                <w:color w:val="000000"/>
                <w:sz w:val="21"/>
                <w:u w:val="single"/>
                <w:lang w:val="el-GR"/>
              </w:rPr>
              <w:t>Τα καθαρά κέρδη αναλογούν σε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4D093DC" w14:textId="77777777" w:rsidR="00894454" w:rsidRPr="001F4DA1" w:rsidRDefault="00894454">
            <w:pPr>
              <w:keepNext/>
              <w:rPr>
                <w:lang w:val="el-GR"/>
              </w:rPr>
            </w:pPr>
          </w:p>
        </w:tc>
        <w:tc>
          <w:tcPr>
            <w:tcW w:w="156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00C56400" w14:textId="77777777" w:rsidR="00894454" w:rsidRPr="001F4DA1" w:rsidRDefault="00894454">
            <w:pPr>
              <w:keepNext/>
              <w:rPr>
                <w:lang w:val="el-GR"/>
              </w:rPr>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F99F7E4" w14:textId="77777777" w:rsidR="00894454" w:rsidRPr="001F4DA1" w:rsidRDefault="00894454">
            <w:pPr>
              <w:keepNext/>
              <w:rPr>
                <w:lang w:val="el-GR"/>
              </w:rPr>
            </w:pPr>
          </w:p>
        </w:tc>
        <w:tc>
          <w:tcPr>
            <w:tcW w:w="156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40C7BFE5" w14:textId="77777777" w:rsidR="00894454" w:rsidRPr="001F4DA1" w:rsidRDefault="00894454">
            <w:pPr>
              <w:keepNext/>
              <w:rPr>
                <w:lang w:val="el-GR"/>
              </w:rPr>
            </w:pPr>
          </w:p>
        </w:tc>
      </w:tr>
      <w:tr w:rsidR="00894454" w14:paraId="594C0B5D"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4F4CC2FE" w14:textId="77777777" w:rsidR="00894454" w:rsidRDefault="00894454">
            <w:pPr>
              <w:keepNext/>
              <w:spacing w:line="210" w:lineRule="exact"/>
            </w:pPr>
            <w:proofErr w:type="spellStart"/>
            <w:r>
              <w:rPr>
                <w:rFonts w:ascii="Calibri" w:eastAsia="Calibri" w:hAnsi="Calibri" w:cs="Calibri"/>
                <w:color w:val="000000"/>
                <w:sz w:val="21"/>
              </w:rPr>
              <w:t>Μετόχους</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της</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Ετ</w:t>
            </w:r>
            <w:proofErr w:type="spellEnd"/>
            <w:r>
              <w:rPr>
                <w:rFonts w:ascii="Calibri" w:eastAsia="Calibri" w:hAnsi="Calibri" w:cs="Calibri"/>
                <w:color w:val="000000"/>
                <w:sz w:val="21"/>
              </w:rPr>
              <w:t>αιρίας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EE170B3"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39AD687B" w14:textId="77777777" w:rsidR="00894454" w:rsidRDefault="00894454">
            <w:pPr>
              <w:keepNext/>
              <w:spacing w:before="48" w:after="30"/>
              <w:jc w:val="right"/>
            </w:pPr>
            <w:r>
              <w:rPr>
                <w:rFonts w:ascii="Calibri" w:eastAsia="Calibri" w:hAnsi="Calibri" w:cs="Calibri"/>
                <w:color w:val="000000"/>
                <w:sz w:val="21"/>
              </w:rPr>
              <w:t>170.829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C8E0E46"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00C67A3C" w14:textId="77777777" w:rsidR="00894454" w:rsidRDefault="00894454">
            <w:pPr>
              <w:keepNext/>
              <w:spacing w:before="48" w:after="30"/>
              <w:jc w:val="right"/>
            </w:pPr>
            <w:r>
              <w:rPr>
                <w:rFonts w:ascii="Calibri" w:eastAsia="Calibri" w:hAnsi="Calibri" w:cs="Calibri"/>
                <w:color w:val="000000"/>
                <w:sz w:val="21"/>
              </w:rPr>
              <w:t>224.581</w:t>
            </w:r>
          </w:p>
        </w:tc>
      </w:tr>
      <w:tr w:rsidR="00894454" w14:paraId="0528024C" w14:textId="77777777">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555CD822" w14:textId="77777777" w:rsidR="00894454" w:rsidRDefault="00894454">
            <w:pPr>
              <w:keepNext/>
              <w:spacing w:line="210" w:lineRule="exact"/>
            </w:pPr>
            <w:proofErr w:type="spellStart"/>
            <w:r>
              <w:rPr>
                <w:rFonts w:ascii="Calibri" w:eastAsia="Calibri" w:hAnsi="Calibri" w:cs="Calibri"/>
                <w:color w:val="000000"/>
                <w:sz w:val="21"/>
              </w:rPr>
              <w:t>Μη</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ελέγχουσες</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συμμετοχές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5DC847D"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7D39E14" w14:textId="77777777" w:rsidR="00894454" w:rsidRDefault="00894454">
            <w:pPr>
              <w:keepNext/>
              <w:spacing w:before="48" w:after="30"/>
              <w:jc w:val="right"/>
            </w:pPr>
            <w:r>
              <w:rPr>
                <w:rFonts w:ascii="Calibri" w:eastAsia="Calibri" w:hAnsi="Calibri" w:cs="Calibri"/>
                <w:color w:val="000000"/>
                <w:sz w:val="21"/>
              </w:rPr>
              <w:t>16.006</w:t>
            </w:r>
          </w:p>
        </w:tc>
        <w:tc>
          <w:tcPr>
            <w:tcW w:w="9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6C6449F8"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5E768DBA" w14:textId="77777777" w:rsidR="00894454" w:rsidRDefault="00894454">
            <w:pPr>
              <w:keepNext/>
              <w:spacing w:before="48" w:after="30"/>
              <w:jc w:val="right"/>
            </w:pPr>
            <w:r>
              <w:rPr>
                <w:rFonts w:ascii="Calibri" w:eastAsia="Calibri" w:hAnsi="Calibri" w:cs="Calibri"/>
                <w:color w:val="000000"/>
                <w:sz w:val="21"/>
              </w:rPr>
              <w:t>607</w:t>
            </w:r>
          </w:p>
        </w:tc>
      </w:tr>
      <w:tr w:rsidR="00894454" w14:paraId="2EB77573" w14:textId="77777777">
        <w:trPr>
          <w:cantSplit/>
          <w:trHeight w:hRule="exact" w:val="300"/>
        </w:trPr>
        <w:tc>
          <w:tcPr>
            <w:tcW w:w="5700" w:type="dxa"/>
            <w:tcBorders>
              <w:top w:val="single" w:sz="2" w:space="0" w:color="000000"/>
              <w:left w:val="nil"/>
              <w:bottom w:val="nil"/>
              <w:right w:val="nil"/>
            </w:tcBorders>
            <w:shd w:val="clear" w:color="auto" w:fill="FFFFFF"/>
            <w:tcMar>
              <w:top w:w="0" w:type="dxa"/>
              <w:left w:w="0" w:type="dxa"/>
              <w:bottom w:w="0" w:type="dxa"/>
              <w:right w:w="0" w:type="dxa"/>
            </w:tcMar>
            <w:vAlign w:val="bottom"/>
          </w:tcPr>
          <w:p w14:paraId="6AECDC66"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BD01723" w14:textId="77777777" w:rsidR="00894454" w:rsidRDefault="00894454">
            <w:pPr>
              <w:keepNext/>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19146AB7" w14:textId="77777777" w:rsidR="00894454" w:rsidRDefault="00894454">
            <w:pPr>
              <w:keepNext/>
              <w:spacing w:before="48" w:after="30"/>
              <w:jc w:val="right"/>
            </w:pPr>
            <w:r>
              <w:rPr>
                <w:rFonts w:ascii="Calibri" w:eastAsia="Calibri" w:hAnsi="Calibri" w:cs="Calibri"/>
                <w:b/>
                <w:color w:val="000000"/>
                <w:sz w:val="21"/>
              </w:rPr>
              <w:t>186.835</w:t>
            </w:r>
          </w:p>
        </w:tc>
        <w:tc>
          <w:tcPr>
            <w:tcW w:w="90" w:type="dxa"/>
            <w:tcBorders>
              <w:top w:val="single" w:sz="2" w:space="0" w:color="000000"/>
              <w:left w:val="nil"/>
              <w:bottom w:val="nil"/>
              <w:right w:val="nil"/>
            </w:tcBorders>
            <w:shd w:val="clear" w:color="auto" w:fill="FFFFFF"/>
            <w:tcMar>
              <w:top w:w="0" w:type="dxa"/>
              <w:left w:w="0" w:type="dxa"/>
              <w:bottom w:w="0" w:type="dxa"/>
              <w:right w:w="0" w:type="dxa"/>
            </w:tcMar>
            <w:vAlign w:val="bottom"/>
          </w:tcPr>
          <w:p w14:paraId="3F4EAF85" w14:textId="77777777" w:rsidR="00894454" w:rsidRDefault="00894454">
            <w:pPr>
              <w:keepNext/>
            </w:pPr>
          </w:p>
        </w:tc>
        <w:tc>
          <w:tcPr>
            <w:tcW w:w="1560" w:type="dxa"/>
            <w:tcBorders>
              <w:top w:val="single" w:sz="2" w:space="0" w:color="000000"/>
              <w:left w:val="nil"/>
              <w:bottom w:val="single" w:sz="8" w:space="0" w:color="4F81BD"/>
              <w:right w:val="nil"/>
            </w:tcBorders>
            <w:tcMar>
              <w:top w:w="0" w:type="dxa"/>
              <w:left w:w="0" w:type="dxa"/>
              <w:bottom w:w="0" w:type="dxa"/>
              <w:right w:w="53" w:type="dxa"/>
            </w:tcMar>
            <w:vAlign w:val="bottom"/>
          </w:tcPr>
          <w:p w14:paraId="48B04E44" w14:textId="77777777" w:rsidR="00894454" w:rsidRDefault="00894454">
            <w:pPr>
              <w:keepNext/>
              <w:spacing w:before="48" w:after="30"/>
              <w:jc w:val="right"/>
            </w:pPr>
            <w:r>
              <w:rPr>
                <w:rFonts w:ascii="Calibri" w:eastAsia="Calibri" w:hAnsi="Calibri" w:cs="Calibri"/>
                <w:b/>
                <w:color w:val="000000"/>
                <w:sz w:val="21"/>
              </w:rPr>
              <w:t>225.188</w:t>
            </w:r>
          </w:p>
        </w:tc>
      </w:tr>
      <w:tr w:rsidR="00894454" w14:paraId="4A00D0EA" w14:textId="77777777">
        <w:trPr>
          <w:cantSplit/>
          <w:trHeight w:hRule="exact" w:val="585"/>
        </w:trPr>
        <w:tc>
          <w:tcPr>
            <w:tcW w:w="5700" w:type="dxa"/>
            <w:tcBorders>
              <w:top w:val="nil"/>
              <w:left w:val="nil"/>
              <w:bottom w:val="nil"/>
              <w:right w:val="nil"/>
            </w:tcBorders>
            <w:shd w:val="clear" w:color="auto" w:fill="FFFFFF"/>
            <w:tcMar>
              <w:top w:w="0" w:type="dxa"/>
              <w:left w:w="0" w:type="dxa"/>
              <w:bottom w:w="0" w:type="dxa"/>
              <w:right w:w="0" w:type="dxa"/>
            </w:tcMar>
            <w:vAlign w:val="bottom"/>
          </w:tcPr>
          <w:p w14:paraId="4F218216"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3886081" w14:textId="77777777" w:rsidR="00894454" w:rsidRDefault="00894454">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31EB1EE3"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40CC521" w14:textId="77777777" w:rsidR="00894454" w:rsidRDefault="00894454">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18F35497" w14:textId="77777777" w:rsidR="00894454" w:rsidRDefault="00894454">
            <w:pPr>
              <w:keepNext/>
            </w:pPr>
          </w:p>
        </w:tc>
      </w:tr>
      <w:tr w:rsidR="00894454" w:rsidRPr="000F4B08" w14:paraId="7B65356F" w14:textId="77777777">
        <w:trPr>
          <w:cantSplit/>
          <w:trHeight w:hRule="exact" w:val="645"/>
        </w:trPr>
        <w:tc>
          <w:tcPr>
            <w:tcW w:w="9000" w:type="dxa"/>
            <w:gridSpan w:val="5"/>
            <w:tcBorders>
              <w:top w:val="single" w:sz="8" w:space="0" w:color="004380"/>
              <w:left w:val="nil"/>
              <w:bottom w:val="single" w:sz="8" w:space="0" w:color="000000"/>
              <w:right w:val="nil"/>
            </w:tcBorders>
            <w:shd w:val="clear" w:color="auto" w:fill="FFFFFF"/>
            <w:tcMar>
              <w:top w:w="0" w:type="dxa"/>
              <w:left w:w="53" w:type="dxa"/>
              <w:bottom w:w="0" w:type="dxa"/>
              <w:right w:w="53" w:type="dxa"/>
            </w:tcMar>
            <w:vAlign w:val="bottom"/>
          </w:tcPr>
          <w:p w14:paraId="1C5B735B" w14:textId="77777777" w:rsidR="00894454" w:rsidRPr="001F4DA1" w:rsidRDefault="00894454">
            <w:pPr>
              <w:keepNext/>
              <w:spacing w:before="33" w:after="30" w:line="280" w:lineRule="exact"/>
              <w:rPr>
                <w:lang w:val="el-GR"/>
              </w:rPr>
            </w:pPr>
            <w:r w:rsidRPr="001F4DA1">
              <w:rPr>
                <w:rFonts w:ascii="Calibri" w:eastAsia="Calibri" w:hAnsi="Calibri" w:cs="Calibri"/>
                <w:b/>
                <w:color w:val="00183D"/>
                <w:sz w:val="28"/>
                <w:lang w:val="el-GR"/>
              </w:rPr>
              <w:t>Κέρδη προ φόρων, χρηματοοικονομικών και επενδυτικών αποτελεσμάτων, αποσβέσεων και απομειώσεων (</w:t>
            </w:r>
            <w:r>
              <w:rPr>
                <w:rFonts w:ascii="Calibri" w:eastAsia="Calibri" w:hAnsi="Calibri" w:cs="Calibri"/>
                <w:b/>
                <w:color w:val="00183D"/>
                <w:sz w:val="28"/>
              </w:rPr>
              <w:t>EBITDA</w:t>
            </w:r>
            <w:r w:rsidRPr="001F4DA1">
              <w:rPr>
                <w:rFonts w:ascii="Calibri" w:eastAsia="Calibri" w:hAnsi="Calibri" w:cs="Calibri"/>
                <w:b/>
                <w:color w:val="00183D"/>
                <w:sz w:val="28"/>
                <w:lang w:val="el-GR"/>
              </w:rPr>
              <w:t>)</w:t>
            </w:r>
          </w:p>
        </w:tc>
      </w:tr>
      <w:tr w:rsidR="00894454" w:rsidRPr="000F4B08" w14:paraId="3BEE3D5C" w14:textId="77777777">
        <w:trPr>
          <w:cantSplit/>
          <w:trHeight w:hRule="exact" w:val="165"/>
        </w:trPr>
        <w:tc>
          <w:tcPr>
            <w:tcW w:w="5700" w:type="dxa"/>
            <w:tcBorders>
              <w:top w:val="nil"/>
              <w:left w:val="nil"/>
              <w:bottom w:val="single" w:sz="8" w:space="0" w:color="4F81BD"/>
              <w:right w:val="nil"/>
            </w:tcBorders>
            <w:tcMar>
              <w:top w:w="0" w:type="dxa"/>
              <w:left w:w="0" w:type="dxa"/>
              <w:bottom w:w="0" w:type="dxa"/>
              <w:right w:w="0" w:type="dxa"/>
            </w:tcMar>
            <w:vAlign w:val="bottom"/>
          </w:tcPr>
          <w:p w14:paraId="74BFD92F" w14:textId="77777777" w:rsidR="00894454" w:rsidRPr="001F4DA1" w:rsidRDefault="00894454">
            <w:pPr>
              <w:keepNext/>
              <w:rPr>
                <w:lang w:val="el-GR"/>
              </w:rPr>
            </w:pPr>
          </w:p>
        </w:tc>
        <w:tc>
          <w:tcPr>
            <w:tcW w:w="90" w:type="dxa"/>
            <w:tcBorders>
              <w:top w:val="single" w:sz="8" w:space="0" w:color="000000"/>
              <w:left w:val="nil"/>
              <w:bottom w:val="nil"/>
              <w:right w:val="nil"/>
            </w:tcBorders>
            <w:tcMar>
              <w:top w:w="0" w:type="dxa"/>
              <w:left w:w="0" w:type="dxa"/>
              <w:bottom w:w="0" w:type="dxa"/>
              <w:right w:w="0" w:type="dxa"/>
            </w:tcMar>
            <w:vAlign w:val="bottom"/>
          </w:tcPr>
          <w:p w14:paraId="7EFBD5A2" w14:textId="77777777" w:rsidR="00894454" w:rsidRPr="001F4DA1" w:rsidRDefault="00894454">
            <w:pPr>
              <w:keepNext/>
              <w:rPr>
                <w:lang w:val="el-GR"/>
              </w:rPr>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1E3FA7E8" w14:textId="77777777" w:rsidR="00894454" w:rsidRPr="001F4DA1" w:rsidRDefault="00894454">
            <w:pPr>
              <w:keepNext/>
              <w:rPr>
                <w:lang w:val="el-GR"/>
              </w:rPr>
            </w:pPr>
          </w:p>
        </w:tc>
        <w:tc>
          <w:tcPr>
            <w:tcW w:w="90" w:type="dxa"/>
            <w:tcBorders>
              <w:top w:val="single" w:sz="8" w:space="0" w:color="000000"/>
              <w:left w:val="nil"/>
              <w:bottom w:val="single" w:sz="8" w:space="0" w:color="4F81BD"/>
              <w:right w:val="nil"/>
            </w:tcBorders>
            <w:tcMar>
              <w:top w:w="0" w:type="dxa"/>
              <w:left w:w="0" w:type="dxa"/>
              <w:bottom w:w="0" w:type="dxa"/>
              <w:right w:w="0" w:type="dxa"/>
            </w:tcMar>
            <w:vAlign w:val="bottom"/>
          </w:tcPr>
          <w:p w14:paraId="0B193318" w14:textId="77777777" w:rsidR="00894454" w:rsidRPr="001F4DA1" w:rsidRDefault="00894454">
            <w:pPr>
              <w:keepNext/>
              <w:rPr>
                <w:lang w:val="el-GR"/>
              </w:rPr>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60C9E1F4" w14:textId="77777777" w:rsidR="00894454" w:rsidRPr="001F4DA1" w:rsidRDefault="00894454">
            <w:pPr>
              <w:keepNext/>
              <w:rPr>
                <w:lang w:val="el-GR"/>
              </w:rPr>
            </w:pPr>
          </w:p>
        </w:tc>
      </w:tr>
      <w:tr w:rsidR="00894454" w:rsidRPr="000F4B08" w14:paraId="23FAAEDD" w14:textId="77777777">
        <w:trPr>
          <w:cantSplit/>
          <w:trHeight w:hRule="exact" w:val="525"/>
        </w:trPr>
        <w:tc>
          <w:tcPr>
            <w:tcW w:w="5700" w:type="dxa"/>
            <w:tcBorders>
              <w:top w:val="single" w:sz="8" w:space="0" w:color="4F81BD"/>
              <w:left w:val="nil"/>
              <w:bottom w:val="nil"/>
              <w:right w:val="nil"/>
            </w:tcBorders>
            <w:shd w:val="clear" w:color="auto" w:fill="FFFFFF"/>
            <w:tcMar>
              <w:top w:w="0" w:type="dxa"/>
              <w:left w:w="53" w:type="dxa"/>
              <w:bottom w:w="0" w:type="dxa"/>
              <w:right w:w="53" w:type="dxa"/>
            </w:tcMar>
          </w:tcPr>
          <w:p w14:paraId="3DB4C598" w14:textId="77777777" w:rsidR="00894454" w:rsidRDefault="00894454">
            <w:pPr>
              <w:keepNext/>
              <w:spacing w:before="33" w:after="30" w:line="180" w:lineRule="exact"/>
            </w:pPr>
            <w:r>
              <w:rPr>
                <w:rFonts w:ascii="Calibri" w:eastAsia="Calibri" w:hAnsi="Calibri" w:cs="Calibri"/>
                <w:i/>
                <w:color w:val="000000"/>
                <w:sz w:val="18"/>
              </w:rPr>
              <w:t>(π</w:t>
            </w:r>
            <w:proofErr w:type="spellStart"/>
            <w:r>
              <w:rPr>
                <w:rFonts w:ascii="Calibri" w:eastAsia="Calibri" w:hAnsi="Calibri" w:cs="Calibri"/>
                <w:i/>
                <w:color w:val="000000"/>
                <w:sz w:val="18"/>
              </w:rPr>
              <w:t>οσά</w:t>
            </w:r>
            <w:proofErr w:type="spellEnd"/>
            <w:r>
              <w:rPr>
                <w:rFonts w:ascii="Calibri" w:eastAsia="Calibri" w:hAnsi="Calibri" w:cs="Calibri"/>
                <w:i/>
                <w:color w:val="000000"/>
                <w:sz w:val="18"/>
              </w:rPr>
              <w:t xml:space="preserve"> </w:t>
            </w:r>
            <w:proofErr w:type="spellStart"/>
            <w:r>
              <w:rPr>
                <w:rFonts w:ascii="Calibri" w:eastAsia="Calibri" w:hAnsi="Calibri" w:cs="Calibri"/>
                <w:i/>
                <w:color w:val="000000"/>
                <w:sz w:val="18"/>
              </w:rPr>
              <w:t>σε</w:t>
            </w:r>
            <w:proofErr w:type="spellEnd"/>
            <w:r>
              <w:rPr>
                <w:rFonts w:ascii="Calibri" w:eastAsia="Calibri" w:hAnsi="Calibri" w:cs="Calibri"/>
                <w:i/>
                <w:color w:val="000000"/>
                <w:sz w:val="18"/>
              </w:rPr>
              <w:t xml:space="preserve"> </w:t>
            </w:r>
            <w:proofErr w:type="spellStart"/>
            <w:r>
              <w:rPr>
                <w:rFonts w:ascii="Calibri" w:eastAsia="Calibri" w:hAnsi="Calibri" w:cs="Calibri"/>
                <w:i/>
                <w:color w:val="000000"/>
                <w:sz w:val="18"/>
              </w:rPr>
              <w:t>χιλιάδες</w:t>
            </w:r>
            <w:proofErr w:type="spellEnd"/>
            <w:r>
              <w:rPr>
                <w:rFonts w:ascii="Calibri" w:eastAsia="Calibri" w:hAnsi="Calibri" w:cs="Calibri"/>
                <w:i/>
                <w:color w:val="000000"/>
                <w:sz w:val="18"/>
              </w:rPr>
              <w:t xml:space="preserve">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B0D2385" w14:textId="77777777" w:rsidR="00894454" w:rsidRDefault="00894454">
            <w:pPr>
              <w:keepNext/>
            </w:pPr>
          </w:p>
        </w:tc>
        <w:tc>
          <w:tcPr>
            <w:tcW w:w="3210" w:type="dxa"/>
            <w:gridSpan w:val="3"/>
            <w:tcBorders>
              <w:top w:val="nil"/>
              <w:left w:val="nil"/>
              <w:bottom w:val="nil"/>
              <w:right w:val="nil"/>
            </w:tcBorders>
            <w:shd w:val="clear" w:color="auto" w:fill="FFFFFF"/>
            <w:tcMar>
              <w:top w:w="0" w:type="dxa"/>
              <w:left w:w="53" w:type="dxa"/>
              <w:bottom w:w="0" w:type="dxa"/>
              <w:right w:w="53" w:type="dxa"/>
            </w:tcMar>
            <w:vAlign w:val="bottom"/>
          </w:tcPr>
          <w:p w14:paraId="22189436" w14:textId="77777777" w:rsidR="00894454" w:rsidRPr="001F4DA1" w:rsidRDefault="00894454">
            <w:pPr>
              <w:keepNext/>
              <w:spacing w:before="33" w:after="30" w:line="210" w:lineRule="exact"/>
              <w:jc w:val="center"/>
              <w:rPr>
                <w:lang w:val="el-GR"/>
              </w:rPr>
            </w:pPr>
            <w:r w:rsidRPr="001F4DA1">
              <w:rPr>
                <w:rFonts w:ascii="Calibri" w:eastAsia="Calibri" w:hAnsi="Calibri" w:cs="Calibri"/>
                <w:b/>
                <w:color w:val="000000"/>
                <w:sz w:val="21"/>
                <w:lang w:val="el-GR"/>
              </w:rPr>
              <w:t>Για το εννεάμηνο που έληξε την 30/9</w:t>
            </w:r>
          </w:p>
        </w:tc>
      </w:tr>
      <w:tr w:rsidR="00894454" w14:paraId="1564C33B" w14:textId="77777777">
        <w:trPr>
          <w:cantSplit/>
          <w:trHeight w:hRule="exact" w:val="255"/>
        </w:trPr>
        <w:tc>
          <w:tcPr>
            <w:tcW w:w="5700" w:type="dxa"/>
            <w:tcBorders>
              <w:top w:val="nil"/>
              <w:left w:val="nil"/>
              <w:bottom w:val="nil"/>
              <w:right w:val="nil"/>
            </w:tcBorders>
            <w:shd w:val="clear" w:color="auto" w:fill="FFFFFF"/>
            <w:tcMar>
              <w:top w:w="0" w:type="dxa"/>
              <w:left w:w="0" w:type="dxa"/>
              <w:bottom w:w="0" w:type="dxa"/>
              <w:right w:w="0" w:type="dxa"/>
            </w:tcMar>
            <w:vAlign w:val="bottom"/>
          </w:tcPr>
          <w:p w14:paraId="6313268E" w14:textId="77777777" w:rsidR="00894454" w:rsidRPr="001F4DA1" w:rsidRDefault="00894454">
            <w:pPr>
              <w:keepNext/>
              <w:rPr>
                <w:lang w:val="el-GR"/>
              </w:rPr>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0BB005B" w14:textId="77777777" w:rsidR="00894454" w:rsidRPr="001F4DA1" w:rsidRDefault="00894454">
            <w:pPr>
              <w:keepNext/>
              <w:rPr>
                <w:lang w:val="el-GR"/>
              </w:rPr>
            </w:pPr>
          </w:p>
        </w:tc>
        <w:tc>
          <w:tcPr>
            <w:tcW w:w="1560" w:type="dxa"/>
            <w:tcBorders>
              <w:top w:val="single" w:sz="2" w:space="0" w:color="000000"/>
              <w:left w:val="nil"/>
              <w:bottom w:val="single" w:sz="8" w:space="0" w:color="000000"/>
              <w:right w:val="nil"/>
            </w:tcBorders>
            <w:shd w:val="clear" w:color="auto" w:fill="DDDDDD"/>
            <w:tcMar>
              <w:top w:w="0" w:type="dxa"/>
              <w:left w:w="0" w:type="dxa"/>
              <w:bottom w:w="0" w:type="dxa"/>
              <w:right w:w="53" w:type="dxa"/>
            </w:tcMar>
            <w:vAlign w:val="bottom"/>
          </w:tcPr>
          <w:p w14:paraId="51099D0B" w14:textId="77777777" w:rsidR="00894454" w:rsidRDefault="00894454">
            <w:pPr>
              <w:keepNext/>
              <w:spacing w:before="48" w:after="30"/>
              <w:jc w:val="right"/>
            </w:pPr>
            <w:r>
              <w:rPr>
                <w:rFonts w:ascii="Calibri" w:eastAsia="Calibri" w:hAnsi="Calibri" w:cs="Calibri"/>
                <w:b/>
                <w:color w:val="000000"/>
                <w:sz w:val="21"/>
              </w:rPr>
              <w:t>2025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8DA7DBE" w14:textId="77777777" w:rsidR="00894454" w:rsidRDefault="00894454">
            <w:pPr>
              <w:keepNext/>
            </w:pPr>
          </w:p>
        </w:tc>
        <w:tc>
          <w:tcPr>
            <w:tcW w:w="1560" w:type="dxa"/>
            <w:tcBorders>
              <w:top w:val="single" w:sz="2" w:space="0" w:color="000000"/>
              <w:left w:val="nil"/>
              <w:bottom w:val="single" w:sz="8" w:space="0" w:color="000000"/>
              <w:right w:val="nil"/>
            </w:tcBorders>
            <w:shd w:val="clear" w:color="auto" w:fill="FFFFFF"/>
            <w:tcMar>
              <w:top w:w="0" w:type="dxa"/>
              <w:left w:w="0" w:type="dxa"/>
              <w:bottom w:w="0" w:type="dxa"/>
              <w:right w:w="53" w:type="dxa"/>
            </w:tcMar>
            <w:vAlign w:val="bottom"/>
          </w:tcPr>
          <w:p w14:paraId="7116DE8D" w14:textId="77777777" w:rsidR="00894454" w:rsidRDefault="00894454">
            <w:pPr>
              <w:keepNext/>
              <w:spacing w:before="48" w:after="30"/>
              <w:jc w:val="right"/>
            </w:pPr>
            <w:r>
              <w:rPr>
                <w:rFonts w:ascii="Calibri" w:eastAsia="Calibri" w:hAnsi="Calibri" w:cs="Calibri"/>
                <w:b/>
                <w:color w:val="000000"/>
                <w:sz w:val="21"/>
              </w:rPr>
              <w:t>2024</w:t>
            </w:r>
          </w:p>
        </w:tc>
      </w:tr>
      <w:tr w:rsidR="00894454" w14:paraId="78304C25" w14:textId="77777777">
        <w:trPr>
          <w:cantSplit/>
          <w:trHeight w:hRule="exact" w:val="195"/>
        </w:trPr>
        <w:tc>
          <w:tcPr>
            <w:tcW w:w="570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55A27996"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51F5073" w14:textId="77777777" w:rsidR="00894454" w:rsidRDefault="00894454">
            <w:pPr>
              <w:keepNext/>
            </w:pPr>
          </w:p>
        </w:tc>
        <w:tc>
          <w:tcPr>
            <w:tcW w:w="1560" w:type="dxa"/>
            <w:tcBorders>
              <w:top w:val="single" w:sz="8" w:space="0" w:color="000000"/>
              <w:left w:val="nil"/>
              <w:bottom w:val="single" w:sz="2" w:space="0" w:color="000000"/>
              <w:right w:val="nil"/>
            </w:tcBorders>
            <w:tcMar>
              <w:top w:w="0" w:type="dxa"/>
              <w:left w:w="0" w:type="dxa"/>
              <w:bottom w:w="0" w:type="dxa"/>
              <w:right w:w="0" w:type="dxa"/>
            </w:tcMar>
            <w:vAlign w:val="bottom"/>
          </w:tcPr>
          <w:p w14:paraId="2D5E2744" w14:textId="77777777" w:rsidR="00894454" w:rsidRDefault="00894454">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0152D3A" w14:textId="77777777" w:rsidR="00894454" w:rsidRDefault="00894454">
            <w:pPr>
              <w:keepNext/>
            </w:pPr>
          </w:p>
        </w:tc>
        <w:tc>
          <w:tcPr>
            <w:tcW w:w="1560" w:type="dxa"/>
            <w:tcBorders>
              <w:top w:val="single" w:sz="8" w:space="0" w:color="000000"/>
              <w:left w:val="nil"/>
              <w:bottom w:val="single" w:sz="2" w:space="0" w:color="000000"/>
              <w:right w:val="nil"/>
            </w:tcBorders>
            <w:tcMar>
              <w:top w:w="0" w:type="dxa"/>
              <w:left w:w="0" w:type="dxa"/>
              <w:bottom w:w="0" w:type="dxa"/>
              <w:right w:w="0" w:type="dxa"/>
            </w:tcMar>
            <w:vAlign w:val="bottom"/>
          </w:tcPr>
          <w:p w14:paraId="1774D587" w14:textId="77777777" w:rsidR="00894454" w:rsidRDefault="00894454">
            <w:pPr>
              <w:keepNext/>
            </w:pPr>
          </w:p>
        </w:tc>
      </w:tr>
      <w:tr w:rsidR="00894454" w14:paraId="5C873CDB" w14:textId="77777777">
        <w:trPr>
          <w:cantSplit/>
          <w:trHeight w:hRule="exact" w:val="52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6FE618CE" w14:textId="77777777" w:rsidR="00894454" w:rsidRPr="001F4DA1" w:rsidRDefault="00894454">
            <w:pPr>
              <w:keepNext/>
              <w:spacing w:line="210" w:lineRule="exact"/>
              <w:rPr>
                <w:lang w:val="el-GR"/>
              </w:rPr>
            </w:pPr>
            <w:r w:rsidRPr="001F4DA1">
              <w:rPr>
                <w:rFonts w:ascii="Calibri" w:eastAsia="Calibri" w:hAnsi="Calibri" w:cs="Calibri"/>
                <w:b/>
                <w:color w:val="000000"/>
                <w:sz w:val="21"/>
                <w:lang w:val="el-GR"/>
              </w:rPr>
              <w:t>Κέρδη προ ζημιών απομείωσης υπεραξίας, καθαρών εξόδων χρηματοοικονομικής λειτουργίας και φόρων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952904B" w14:textId="77777777" w:rsidR="00894454" w:rsidRPr="001F4DA1" w:rsidRDefault="00894454">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1F767805" w14:textId="77777777" w:rsidR="00894454" w:rsidRDefault="00894454">
            <w:pPr>
              <w:keepNext/>
              <w:spacing w:before="48" w:after="30"/>
              <w:jc w:val="right"/>
            </w:pPr>
            <w:r>
              <w:rPr>
                <w:rFonts w:ascii="Calibri" w:eastAsia="Calibri" w:hAnsi="Calibri" w:cs="Calibri"/>
                <w:b/>
                <w:color w:val="000000"/>
                <w:sz w:val="21"/>
              </w:rPr>
              <w:t>345.485</w:t>
            </w:r>
          </w:p>
        </w:tc>
        <w:tc>
          <w:tcPr>
            <w:tcW w:w="90" w:type="dxa"/>
            <w:tcBorders>
              <w:top w:val="nil"/>
              <w:left w:val="nil"/>
              <w:bottom w:val="nil"/>
              <w:right w:val="nil"/>
            </w:tcBorders>
            <w:tcMar>
              <w:top w:w="0" w:type="dxa"/>
              <w:left w:w="0" w:type="dxa"/>
              <w:bottom w:w="0" w:type="dxa"/>
              <w:right w:w="0" w:type="dxa"/>
            </w:tcMar>
            <w:vAlign w:val="bottom"/>
          </w:tcPr>
          <w:p w14:paraId="1EE72B70" w14:textId="77777777" w:rsidR="00894454" w:rsidRDefault="00894454">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257A3670" w14:textId="77777777" w:rsidR="00894454" w:rsidRDefault="00894454">
            <w:pPr>
              <w:keepNext/>
              <w:spacing w:before="48" w:after="30"/>
              <w:jc w:val="right"/>
            </w:pPr>
            <w:r>
              <w:rPr>
                <w:rFonts w:ascii="Calibri" w:eastAsia="Calibri" w:hAnsi="Calibri" w:cs="Calibri"/>
                <w:b/>
                <w:color w:val="000000"/>
                <w:sz w:val="21"/>
              </w:rPr>
              <w:t>320.070</w:t>
            </w:r>
          </w:p>
        </w:tc>
      </w:tr>
      <w:tr w:rsidR="00894454" w14:paraId="2812B629" w14:textId="77777777">
        <w:trPr>
          <w:cantSplit/>
          <w:trHeight w:hRule="exact" w:val="300"/>
        </w:trPr>
        <w:tc>
          <w:tcPr>
            <w:tcW w:w="5700" w:type="dxa"/>
            <w:tcBorders>
              <w:top w:val="single" w:sz="2" w:space="0" w:color="000000"/>
              <w:left w:val="nil"/>
              <w:bottom w:val="nil"/>
              <w:right w:val="nil"/>
            </w:tcBorders>
            <w:shd w:val="clear" w:color="auto" w:fill="FFFFFF"/>
            <w:tcMar>
              <w:top w:w="0" w:type="dxa"/>
              <w:left w:w="53" w:type="dxa"/>
              <w:bottom w:w="0" w:type="dxa"/>
              <w:right w:w="53" w:type="dxa"/>
            </w:tcMar>
            <w:vAlign w:val="center"/>
          </w:tcPr>
          <w:p w14:paraId="4B36730D" w14:textId="77777777" w:rsidR="00894454" w:rsidRPr="001F4DA1" w:rsidRDefault="00894454">
            <w:pPr>
              <w:keepNext/>
              <w:spacing w:line="210" w:lineRule="exact"/>
              <w:rPr>
                <w:lang w:val="el-GR"/>
              </w:rPr>
            </w:pPr>
            <w:r w:rsidRPr="001F4DA1">
              <w:rPr>
                <w:rFonts w:ascii="Calibri" w:eastAsia="Calibri" w:hAnsi="Calibri" w:cs="Calibri"/>
                <w:color w:val="000000"/>
                <w:sz w:val="21"/>
                <w:lang w:val="el-GR"/>
              </w:rPr>
              <w:t>Αποσβέσεις ενσώματων και ασώματων ακινητοποιήσεων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2E89D3B" w14:textId="77777777" w:rsidR="00894454" w:rsidRPr="001F4DA1" w:rsidRDefault="00894454">
            <w:pPr>
              <w:keepNext/>
              <w:rPr>
                <w:lang w:val="el-GR"/>
              </w:rPr>
            </w:pPr>
          </w:p>
        </w:tc>
        <w:tc>
          <w:tcPr>
            <w:tcW w:w="1560" w:type="dxa"/>
            <w:tcBorders>
              <w:top w:val="single" w:sz="2" w:space="0" w:color="000000"/>
              <w:left w:val="nil"/>
              <w:bottom w:val="nil"/>
              <w:right w:val="nil"/>
            </w:tcBorders>
            <w:shd w:val="clear" w:color="auto" w:fill="DDDDDD"/>
            <w:tcMar>
              <w:top w:w="0" w:type="dxa"/>
              <w:left w:w="0" w:type="dxa"/>
              <w:bottom w:w="0" w:type="dxa"/>
              <w:right w:w="53" w:type="dxa"/>
            </w:tcMar>
            <w:vAlign w:val="bottom"/>
          </w:tcPr>
          <w:p w14:paraId="30E49C4D" w14:textId="77777777" w:rsidR="00894454" w:rsidRDefault="00894454">
            <w:pPr>
              <w:keepNext/>
              <w:spacing w:before="48" w:after="30"/>
              <w:jc w:val="right"/>
            </w:pPr>
            <w:r>
              <w:rPr>
                <w:rFonts w:ascii="Calibri" w:eastAsia="Calibri" w:hAnsi="Calibri" w:cs="Calibri"/>
                <w:color w:val="000000"/>
                <w:sz w:val="21"/>
              </w:rPr>
              <w:t>128.089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D4D14D5" w14:textId="77777777" w:rsidR="00894454" w:rsidRDefault="00894454">
            <w:pPr>
              <w:keepNext/>
            </w:pPr>
          </w:p>
        </w:tc>
        <w:tc>
          <w:tcPr>
            <w:tcW w:w="1560" w:type="dxa"/>
            <w:tcBorders>
              <w:top w:val="single" w:sz="2" w:space="0" w:color="000000"/>
              <w:left w:val="nil"/>
              <w:bottom w:val="nil"/>
              <w:right w:val="nil"/>
            </w:tcBorders>
            <w:shd w:val="clear" w:color="auto" w:fill="FFFFFF"/>
            <w:tcMar>
              <w:top w:w="0" w:type="dxa"/>
              <w:left w:w="0" w:type="dxa"/>
              <w:bottom w:w="0" w:type="dxa"/>
              <w:right w:w="53" w:type="dxa"/>
            </w:tcMar>
            <w:vAlign w:val="bottom"/>
          </w:tcPr>
          <w:p w14:paraId="21251E93" w14:textId="77777777" w:rsidR="00894454" w:rsidRDefault="00894454">
            <w:pPr>
              <w:keepNext/>
              <w:spacing w:before="48" w:after="30"/>
              <w:jc w:val="right"/>
            </w:pPr>
            <w:r>
              <w:rPr>
                <w:rFonts w:ascii="Calibri" w:eastAsia="Calibri" w:hAnsi="Calibri" w:cs="Calibri"/>
                <w:color w:val="000000"/>
                <w:sz w:val="21"/>
              </w:rPr>
              <w:t>116.925</w:t>
            </w:r>
          </w:p>
        </w:tc>
      </w:tr>
      <w:tr w:rsidR="00894454" w14:paraId="27920A4A" w14:textId="77777777">
        <w:trPr>
          <w:cantSplit/>
          <w:trHeight w:hRule="exact" w:val="525"/>
        </w:trPr>
        <w:tc>
          <w:tcPr>
            <w:tcW w:w="5700" w:type="dxa"/>
            <w:tcBorders>
              <w:top w:val="single" w:sz="2" w:space="0" w:color="000000"/>
              <w:left w:val="nil"/>
              <w:bottom w:val="single" w:sz="8" w:space="0" w:color="4F81BD"/>
              <w:right w:val="nil"/>
            </w:tcBorders>
            <w:shd w:val="clear" w:color="auto" w:fill="FFFFFF"/>
            <w:tcMar>
              <w:top w:w="0" w:type="dxa"/>
              <w:left w:w="53" w:type="dxa"/>
              <w:bottom w:w="0" w:type="dxa"/>
              <w:right w:w="53" w:type="dxa"/>
            </w:tcMar>
            <w:vAlign w:val="bottom"/>
          </w:tcPr>
          <w:p w14:paraId="70E304AE" w14:textId="77777777" w:rsidR="00894454" w:rsidRPr="001F4DA1" w:rsidRDefault="00894454">
            <w:pPr>
              <w:spacing w:before="48" w:after="30" w:line="210" w:lineRule="exact"/>
              <w:rPr>
                <w:lang w:val="el-GR"/>
              </w:rPr>
            </w:pPr>
            <w:r w:rsidRPr="001F4DA1">
              <w:rPr>
                <w:rFonts w:ascii="Calibri" w:eastAsia="Calibri" w:hAnsi="Calibri" w:cs="Calibri"/>
                <w:b/>
                <w:color w:val="000000"/>
                <w:sz w:val="21"/>
                <w:lang w:val="el-GR"/>
              </w:rPr>
              <w:t>Κέρδη προ φόρων, χρηματοδοτικών, επενδυτικών αποτελεσμάτων, αποσβέσεων και απομειώσεων (</w:t>
            </w:r>
            <w:r>
              <w:rPr>
                <w:rFonts w:ascii="Calibri" w:eastAsia="Calibri" w:hAnsi="Calibri" w:cs="Calibri"/>
                <w:b/>
                <w:color w:val="000000"/>
                <w:sz w:val="21"/>
              </w:rPr>
              <w:t>EBITDA</w:t>
            </w:r>
            <w:r w:rsidRPr="001F4DA1">
              <w:rPr>
                <w:rFonts w:ascii="Calibri" w:eastAsia="Calibri" w:hAnsi="Calibri" w:cs="Calibri"/>
                <w:b/>
                <w:color w:val="000000"/>
                <w:sz w:val="21"/>
                <w:lang w:val="el-GR"/>
              </w:rPr>
              <w:t>)</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037737B" w14:textId="77777777" w:rsidR="00894454" w:rsidRPr="001F4DA1" w:rsidRDefault="00894454">
            <w:pPr>
              <w:rPr>
                <w:lang w:val="el-GR"/>
              </w:rPr>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7A5621A7" w14:textId="77777777" w:rsidR="00894454" w:rsidRDefault="00894454">
            <w:pPr>
              <w:spacing w:before="48" w:after="30"/>
              <w:jc w:val="right"/>
            </w:pPr>
            <w:r>
              <w:rPr>
                <w:rFonts w:ascii="Calibri" w:eastAsia="Calibri" w:hAnsi="Calibri" w:cs="Calibri"/>
                <w:b/>
                <w:color w:val="000000"/>
                <w:sz w:val="21"/>
              </w:rPr>
              <w:t>473.574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555FA0E" w14:textId="77777777" w:rsidR="00894454" w:rsidRDefault="00894454"/>
        </w:tc>
        <w:tc>
          <w:tcPr>
            <w:tcW w:w="1560" w:type="dxa"/>
            <w:tcBorders>
              <w:top w:val="single" w:sz="2" w:space="0" w:color="000000"/>
              <w:left w:val="nil"/>
              <w:bottom w:val="single" w:sz="8" w:space="0" w:color="4F81BD"/>
              <w:right w:val="nil"/>
            </w:tcBorders>
            <w:shd w:val="clear" w:color="auto" w:fill="FFFFFF"/>
            <w:tcMar>
              <w:top w:w="0" w:type="dxa"/>
              <w:left w:w="0" w:type="dxa"/>
              <w:bottom w:w="0" w:type="dxa"/>
              <w:right w:w="53" w:type="dxa"/>
            </w:tcMar>
            <w:vAlign w:val="bottom"/>
          </w:tcPr>
          <w:p w14:paraId="5E66C4A0" w14:textId="77777777" w:rsidR="00894454" w:rsidRDefault="00894454">
            <w:pPr>
              <w:spacing w:before="48" w:after="30"/>
              <w:jc w:val="right"/>
            </w:pPr>
            <w:r>
              <w:rPr>
                <w:rFonts w:ascii="Calibri" w:eastAsia="Calibri" w:hAnsi="Calibri" w:cs="Calibri"/>
                <w:b/>
                <w:color w:val="000000"/>
                <w:sz w:val="21"/>
              </w:rPr>
              <w:t>436.995</w:t>
            </w:r>
          </w:p>
        </w:tc>
      </w:tr>
    </w:tbl>
    <w:p w14:paraId="28A17C65" w14:textId="77777777" w:rsidR="00894454" w:rsidRDefault="00894454" w:rsidP="00894454">
      <w:pPr>
        <w:spacing w:line="288" w:lineRule="auto"/>
        <w:rPr>
          <w:sz w:val="2"/>
        </w:rPr>
      </w:pPr>
    </w:p>
    <w:p w14:paraId="6449F8D4" w14:textId="77777777" w:rsidR="005509B3" w:rsidRDefault="005509B3" w:rsidP="00F06BBE">
      <w:pPr>
        <w:pStyle w:val="NoSpacing"/>
        <w:jc w:val="both"/>
        <w:rPr>
          <w:rFonts w:ascii="Calibri Light" w:hAnsi="Calibri Light" w:cs="Arial"/>
          <w:color w:val="21286C"/>
          <w:sz w:val="21"/>
          <w:szCs w:val="20"/>
          <w:lang w:val="en-US"/>
        </w:rPr>
      </w:pPr>
    </w:p>
    <w:p w14:paraId="38DEBE86" w14:textId="77777777" w:rsidR="001F4DA1" w:rsidRDefault="001F4DA1" w:rsidP="00F06BBE">
      <w:pPr>
        <w:pStyle w:val="NoSpacing"/>
        <w:jc w:val="both"/>
        <w:rPr>
          <w:rFonts w:ascii="Calibri Light" w:hAnsi="Calibri Light" w:cs="Arial"/>
          <w:color w:val="21286C"/>
          <w:sz w:val="21"/>
          <w:szCs w:val="20"/>
          <w:lang w:val="en-US"/>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5"/>
        <w:gridCol w:w="90"/>
        <w:gridCol w:w="1560"/>
        <w:gridCol w:w="90"/>
        <w:gridCol w:w="1560"/>
      </w:tblGrid>
      <w:tr w:rsidR="001F4DA1" w:rsidRPr="000F4B08" w14:paraId="70253DA4" w14:textId="77777777">
        <w:trPr>
          <w:cantSplit/>
          <w:trHeight w:hRule="exact" w:val="645"/>
        </w:trPr>
        <w:tc>
          <w:tcPr>
            <w:tcW w:w="8985" w:type="dxa"/>
            <w:gridSpan w:val="5"/>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E79C272" w14:textId="77777777" w:rsidR="001F4DA1" w:rsidRPr="001F4DA1" w:rsidRDefault="001F4DA1">
            <w:pPr>
              <w:keepNext/>
              <w:spacing w:before="53" w:after="30" w:line="280" w:lineRule="exact"/>
              <w:rPr>
                <w:lang w:val="el-GR"/>
              </w:rPr>
            </w:pPr>
            <w:r w:rsidRPr="001F4DA1">
              <w:rPr>
                <w:rFonts w:ascii="Calibri" w:eastAsia="Calibri" w:hAnsi="Calibri" w:cs="Calibri"/>
                <w:b/>
                <w:color w:val="00183D"/>
                <w:sz w:val="28"/>
                <w:lang w:val="el-GR"/>
              </w:rPr>
              <w:lastRenderedPageBreak/>
              <w:t xml:space="preserve">Σύνοψη Ενδιάμεσης Ενοποιημένης Κατάστασης Χρηματοοικονομικής Θέσης </w:t>
            </w:r>
          </w:p>
        </w:tc>
      </w:tr>
      <w:tr w:rsidR="001F4DA1" w:rsidRPr="000F4B08" w14:paraId="2E9745B3" w14:textId="77777777">
        <w:trPr>
          <w:cantSplit/>
          <w:trHeight w:hRule="exact" w:val="165"/>
        </w:trPr>
        <w:tc>
          <w:tcPr>
            <w:tcW w:w="5685"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5FBABF8D" w14:textId="77777777" w:rsidR="001F4DA1" w:rsidRPr="001F4DA1" w:rsidRDefault="001F4DA1">
            <w:pPr>
              <w:keepNext/>
              <w:rPr>
                <w:lang w:val="el-GR"/>
              </w:rPr>
            </w:pPr>
          </w:p>
        </w:tc>
        <w:tc>
          <w:tcPr>
            <w:tcW w:w="9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A53718C" w14:textId="77777777" w:rsidR="001F4DA1" w:rsidRPr="001F4DA1" w:rsidRDefault="001F4DA1">
            <w:pPr>
              <w:keepNext/>
              <w:rPr>
                <w:lang w:val="el-GR"/>
              </w:rPr>
            </w:pPr>
          </w:p>
        </w:tc>
        <w:tc>
          <w:tcPr>
            <w:tcW w:w="1560" w:type="dxa"/>
            <w:tcBorders>
              <w:top w:val="single" w:sz="8" w:space="0" w:color="000000"/>
              <w:left w:val="nil"/>
              <w:bottom w:val="single" w:sz="8" w:space="0" w:color="4F81BD"/>
              <w:right w:val="nil"/>
            </w:tcBorders>
            <w:shd w:val="clear" w:color="auto" w:fill="FFFFFF"/>
            <w:tcMar>
              <w:top w:w="0" w:type="dxa"/>
              <w:left w:w="0" w:type="dxa"/>
              <w:bottom w:w="0" w:type="dxa"/>
              <w:right w:w="0" w:type="dxa"/>
            </w:tcMar>
            <w:vAlign w:val="bottom"/>
          </w:tcPr>
          <w:p w14:paraId="0E37BBDD" w14:textId="77777777" w:rsidR="001F4DA1" w:rsidRPr="001F4DA1" w:rsidRDefault="001F4DA1">
            <w:pPr>
              <w:keepNext/>
              <w:rPr>
                <w:lang w:val="el-GR"/>
              </w:rPr>
            </w:pPr>
          </w:p>
        </w:tc>
        <w:tc>
          <w:tcPr>
            <w:tcW w:w="90" w:type="dxa"/>
            <w:tcBorders>
              <w:top w:val="single" w:sz="8" w:space="0" w:color="000000"/>
              <w:left w:val="nil"/>
              <w:bottom w:val="single" w:sz="8" w:space="0" w:color="4F81BD"/>
              <w:right w:val="nil"/>
            </w:tcBorders>
            <w:shd w:val="clear" w:color="auto" w:fill="FFFFFF"/>
            <w:tcMar>
              <w:top w:w="0" w:type="dxa"/>
              <w:left w:w="0" w:type="dxa"/>
              <w:bottom w:w="0" w:type="dxa"/>
              <w:right w:w="0" w:type="dxa"/>
            </w:tcMar>
            <w:vAlign w:val="bottom"/>
          </w:tcPr>
          <w:p w14:paraId="0B2EC303" w14:textId="77777777" w:rsidR="001F4DA1" w:rsidRPr="001F4DA1" w:rsidRDefault="001F4DA1">
            <w:pPr>
              <w:keepNext/>
              <w:rPr>
                <w:lang w:val="el-GR"/>
              </w:rPr>
            </w:pPr>
          </w:p>
        </w:tc>
        <w:tc>
          <w:tcPr>
            <w:tcW w:w="1560" w:type="dxa"/>
            <w:tcBorders>
              <w:top w:val="single" w:sz="8" w:space="0" w:color="000000"/>
              <w:left w:val="nil"/>
              <w:bottom w:val="single" w:sz="8" w:space="0" w:color="4F81BD"/>
              <w:right w:val="nil"/>
            </w:tcBorders>
            <w:shd w:val="clear" w:color="auto" w:fill="FFFFFF"/>
            <w:tcMar>
              <w:top w:w="0" w:type="dxa"/>
              <w:left w:w="0" w:type="dxa"/>
              <w:bottom w:w="0" w:type="dxa"/>
              <w:right w:w="0" w:type="dxa"/>
            </w:tcMar>
            <w:vAlign w:val="bottom"/>
          </w:tcPr>
          <w:p w14:paraId="1BFC06A2" w14:textId="77777777" w:rsidR="001F4DA1" w:rsidRPr="001F4DA1" w:rsidRDefault="001F4DA1">
            <w:pPr>
              <w:keepNext/>
              <w:rPr>
                <w:lang w:val="el-GR"/>
              </w:rPr>
            </w:pPr>
          </w:p>
        </w:tc>
      </w:tr>
      <w:tr w:rsidR="001F4DA1" w14:paraId="6810C532" w14:textId="77777777">
        <w:trPr>
          <w:cantSplit/>
          <w:trHeight w:hRule="exact" w:val="300"/>
        </w:trPr>
        <w:tc>
          <w:tcPr>
            <w:tcW w:w="5685" w:type="dxa"/>
            <w:tcBorders>
              <w:top w:val="single" w:sz="8" w:space="0" w:color="4F81BD"/>
              <w:left w:val="nil"/>
              <w:bottom w:val="nil"/>
              <w:right w:val="nil"/>
            </w:tcBorders>
            <w:shd w:val="clear" w:color="auto" w:fill="FFFFFF"/>
            <w:tcMar>
              <w:top w:w="0" w:type="dxa"/>
              <w:left w:w="53" w:type="dxa"/>
              <w:bottom w:w="0" w:type="dxa"/>
              <w:right w:w="53" w:type="dxa"/>
            </w:tcMar>
            <w:vAlign w:val="center"/>
          </w:tcPr>
          <w:p w14:paraId="7C59BD7D" w14:textId="77777777" w:rsidR="001F4DA1" w:rsidRDefault="001F4DA1">
            <w:pPr>
              <w:keepNext/>
              <w:spacing w:line="180" w:lineRule="exact"/>
            </w:pPr>
            <w:r>
              <w:rPr>
                <w:rFonts w:ascii="Calibri" w:eastAsia="Calibri" w:hAnsi="Calibri" w:cs="Calibri"/>
                <w:i/>
                <w:color w:val="000000"/>
                <w:sz w:val="18"/>
              </w:rPr>
              <w:t>(π</w:t>
            </w:r>
            <w:proofErr w:type="spellStart"/>
            <w:r>
              <w:rPr>
                <w:rFonts w:ascii="Calibri" w:eastAsia="Calibri" w:hAnsi="Calibri" w:cs="Calibri"/>
                <w:i/>
                <w:color w:val="000000"/>
                <w:sz w:val="18"/>
              </w:rPr>
              <w:t>οσά</w:t>
            </w:r>
            <w:proofErr w:type="spellEnd"/>
            <w:r>
              <w:rPr>
                <w:rFonts w:ascii="Calibri" w:eastAsia="Calibri" w:hAnsi="Calibri" w:cs="Calibri"/>
                <w:i/>
                <w:color w:val="000000"/>
                <w:sz w:val="18"/>
              </w:rPr>
              <w:t xml:space="preserve"> </w:t>
            </w:r>
            <w:proofErr w:type="spellStart"/>
            <w:r>
              <w:rPr>
                <w:rFonts w:ascii="Calibri" w:eastAsia="Calibri" w:hAnsi="Calibri" w:cs="Calibri"/>
                <w:i/>
                <w:color w:val="000000"/>
                <w:sz w:val="18"/>
              </w:rPr>
              <w:t>σε</w:t>
            </w:r>
            <w:proofErr w:type="spellEnd"/>
            <w:r>
              <w:rPr>
                <w:rFonts w:ascii="Calibri" w:eastAsia="Calibri" w:hAnsi="Calibri" w:cs="Calibri"/>
                <w:i/>
                <w:color w:val="000000"/>
                <w:sz w:val="18"/>
              </w:rPr>
              <w:t xml:space="preserve"> </w:t>
            </w:r>
            <w:proofErr w:type="spellStart"/>
            <w:r>
              <w:rPr>
                <w:rFonts w:ascii="Calibri" w:eastAsia="Calibri" w:hAnsi="Calibri" w:cs="Calibri"/>
                <w:i/>
                <w:color w:val="000000"/>
                <w:sz w:val="18"/>
              </w:rPr>
              <w:t>χιλιάδες</w:t>
            </w:r>
            <w:proofErr w:type="spellEnd"/>
            <w:r>
              <w:rPr>
                <w:rFonts w:ascii="Calibri" w:eastAsia="Calibri" w:hAnsi="Calibri" w:cs="Calibri"/>
                <w:i/>
                <w:color w:val="000000"/>
                <w:sz w:val="18"/>
              </w:rPr>
              <w:t xml:space="preserve">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9C75FF8" w14:textId="77777777" w:rsidR="001F4DA1" w:rsidRDefault="001F4DA1">
            <w:pPr>
              <w:keepNext/>
            </w:pPr>
          </w:p>
        </w:tc>
        <w:tc>
          <w:tcPr>
            <w:tcW w:w="1560" w:type="dxa"/>
            <w:tcBorders>
              <w:top w:val="single" w:sz="8" w:space="0" w:color="4F81BD"/>
              <w:left w:val="nil"/>
              <w:bottom w:val="nil"/>
              <w:right w:val="nil"/>
            </w:tcBorders>
            <w:shd w:val="clear" w:color="auto" w:fill="DBDBDB"/>
            <w:tcMar>
              <w:top w:w="0" w:type="dxa"/>
              <w:left w:w="0" w:type="dxa"/>
              <w:bottom w:w="0" w:type="dxa"/>
              <w:right w:w="53" w:type="dxa"/>
            </w:tcMar>
            <w:vAlign w:val="bottom"/>
          </w:tcPr>
          <w:p w14:paraId="10B974CE" w14:textId="77777777" w:rsidR="001F4DA1" w:rsidRDefault="001F4DA1">
            <w:pPr>
              <w:keepNext/>
              <w:spacing w:before="33" w:after="30"/>
              <w:jc w:val="right"/>
            </w:pPr>
            <w:r>
              <w:rPr>
                <w:rFonts w:ascii="Calibri" w:eastAsia="Calibri" w:hAnsi="Calibri" w:cs="Calibri"/>
                <w:b/>
                <w:color w:val="000000"/>
                <w:sz w:val="21"/>
              </w:rPr>
              <w:t>30/9/2025</w:t>
            </w:r>
          </w:p>
        </w:tc>
        <w:tc>
          <w:tcPr>
            <w:tcW w:w="9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35C2AFCB" w14:textId="77777777" w:rsidR="001F4DA1" w:rsidRDefault="001F4DA1">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53" w:type="dxa"/>
            </w:tcMar>
            <w:vAlign w:val="bottom"/>
          </w:tcPr>
          <w:p w14:paraId="08DED7FD" w14:textId="77777777" w:rsidR="001F4DA1" w:rsidRDefault="001F4DA1">
            <w:pPr>
              <w:keepNext/>
              <w:spacing w:before="33" w:after="30"/>
              <w:jc w:val="right"/>
            </w:pPr>
            <w:r>
              <w:rPr>
                <w:rFonts w:ascii="Calibri" w:eastAsia="Calibri" w:hAnsi="Calibri" w:cs="Calibri"/>
                <w:b/>
                <w:color w:val="000000"/>
                <w:sz w:val="21"/>
              </w:rPr>
              <w:t>31/12/2024</w:t>
            </w:r>
          </w:p>
        </w:tc>
      </w:tr>
      <w:tr w:rsidR="001F4DA1" w14:paraId="5190D453" w14:textId="77777777">
        <w:trPr>
          <w:cantSplit/>
          <w:trHeight w:hRule="exact" w:val="300"/>
        </w:trPr>
        <w:tc>
          <w:tcPr>
            <w:tcW w:w="5685" w:type="dxa"/>
            <w:tcBorders>
              <w:top w:val="nil"/>
              <w:left w:val="nil"/>
              <w:bottom w:val="nil"/>
              <w:right w:val="nil"/>
            </w:tcBorders>
            <w:shd w:val="clear" w:color="auto" w:fill="FFFFFF"/>
            <w:tcMar>
              <w:top w:w="0" w:type="dxa"/>
              <w:left w:w="0" w:type="dxa"/>
              <w:bottom w:w="0" w:type="dxa"/>
              <w:right w:w="0" w:type="dxa"/>
            </w:tcMar>
            <w:vAlign w:val="bottom"/>
          </w:tcPr>
          <w:p w14:paraId="666A0985"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CFC24E9" w14:textId="77777777" w:rsidR="001F4DA1" w:rsidRDefault="001F4DA1">
            <w:pPr>
              <w:keepNext/>
            </w:pP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020C035"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37A889F" w14:textId="77777777" w:rsidR="001F4DA1" w:rsidRDefault="001F4DA1">
            <w:pPr>
              <w:keepNext/>
            </w:pP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ED80DA8" w14:textId="77777777" w:rsidR="001F4DA1" w:rsidRDefault="001F4DA1">
            <w:pPr>
              <w:keepNext/>
            </w:pPr>
          </w:p>
        </w:tc>
      </w:tr>
      <w:tr w:rsidR="001F4DA1" w14:paraId="62D6DF30" w14:textId="77777777">
        <w:trPr>
          <w:cantSplit/>
          <w:trHeight w:hRule="exact" w:val="300"/>
        </w:trPr>
        <w:tc>
          <w:tcPr>
            <w:tcW w:w="5685" w:type="dxa"/>
            <w:tcBorders>
              <w:top w:val="nil"/>
              <w:left w:val="nil"/>
              <w:bottom w:val="single" w:sz="8" w:space="0" w:color="4F81BD"/>
              <w:right w:val="nil"/>
            </w:tcBorders>
            <w:shd w:val="clear" w:color="auto" w:fill="FFFFFF"/>
            <w:tcMar>
              <w:top w:w="0" w:type="dxa"/>
              <w:left w:w="53" w:type="dxa"/>
              <w:bottom w:w="0" w:type="dxa"/>
              <w:right w:w="53" w:type="dxa"/>
            </w:tcMar>
            <w:vAlign w:val="bottom"/>
          </w:tcPr>
          <w:p w14:paraId="3C2E5C61" w14:textId="77777777" w:rsidR="001F4DA1" w:rsidRDefault="001F4DA1">
            <w:pPr>
              <w:keepNext/>
              <w:spacing w:before="53" w:after="30" w:line="240" w:lineRule="exact"/>
            </w:pPr>
            <w:proofErr w:type="spellStart"/>
            <w:r>
              <w:rPr>
                <w:rFonts w:ascii="Calibri" w:eastAsia="Calibri" w:hAnsi="Calibri" w:cs="Calibri"/>
                <w:b/>
                <w:color w:val="4F81BD"/>
              </w:rPr>
              <w:t>Ενεργητικό</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99AC21D" w14:textId="77777777" w:rsidR="001F4DA1" w:rsidRDefault="001F4DA1">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2115BA50"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999587E" w14:textId="77777777" w:rsidR="001F4DA1" w:rsidRDefault="001F4DA1">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6AE4B3E9" w14:textId="77777777" w:rsidR="001F4DA1" w:rsidRDefault="001F4DA1">
            <w:pPr>
              <w:keepNext/>
            </w:pPr>
          </w:p>
        </w:tc>
      </w:tr>
      <w:tr w:rsidR="001F4DA1" w14:paraId="62AB95CA" w14:textId="77777777">
        <w:trPr>
          <w:cantSplit/>
          <w:trHeight w:hRule="exact" w:val="300"/>
        </w:trPr>
        <w:tc>
          <w:tcPr>
            <w:tcW w:w="5685" w:type="dxa"/>
            <w:tcBorders>
              <w:top w:val="single" w:sz="8" w:space="0" w:color="4F81BD"/>
              <w:left w:val="nil"/>
              <w:bottom w:val="single" w:sz="2" w:space="0" w:color="000000"/>
              <w:right w:val="nil"/>
            </w:tcBorders>
            <w:shd w:val="clear" w:color="auto" w:fill="FFFFFF"/>
            <w:tcMar>
              <w:top w:w="0" w:type="dxa"/>
              <w:left w:w="53" w:type="dxa"/>
              <w:bottom w:w="0" w:type="dxa"/>
              <w:right w:w="53" w:type="dxa"/>
            </w:tcMar>
            <w:vAlign w:val="bottom"/>
          </w:tcPr>
          <w:p w14:paraId="683D23DB" w14:textId="77777777" w:rsidR="001F4DA1" w:rsidRPr="001F4DA1" w:rsidRDefault="001F4DA1">
            <w:pPr>
              <w:keepNext/>
              <w:spacing w:before="33" w:after="30" w:line="210" w:lineRule="exact"/>
              <w:rPr>
                <w:lang w:val="el-GR"/>
              </w:rPr>
            </w:pPr>
            <w:r w:rsidRPr="001F4DA1">
              <w:rPr>
                <w:rFonts w:ascii="Calibri" w:eastAsia="Calibri" w:hAnsi="Calibri" w:cs="Calibri"/>
                <w:color w:val="000000"/>
                <w:sz w:val="21"/>
                <w:lang w:val="el-GR"/>
              </w:rPr>
              <w:t>Ενσώματες, ασώματες ακινητοποιήσεις και υπεραξία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C956639" w14:textId="77777777" w:rsidR="001F4DA1" w:rsidRPr="001F4DA1" w:rsidRDefault="001F4DA1">
            <w:pPr>
              <w:keepNext/>
              <w:rPr>
                <w:lang w:val="el-GR"/>
              </w:rPr>
            </w:pPr>
          </w:p>
        </w:tc>
        <w:tc>
          <w:tcPr>
            <w:tcW w:w="1560" w:type="dxa"/>
            <w:tcBorders>
              <w:top w:val="single" w:sz="8" w:space="0" w:color="4F81BD"/>
              <w:left w:val="nil"/>
              <w:bottom w:val="single" w:sz="2" w:space="0" w:color="000000"/>
              <w:right w:val="nil"/>
            </w:tcBorders>
            <w:shd w:val="clear" w:color="auto" w:fill="DDDDDD"/>
            <w:tcMar>
              <w:top w:w="0" w:type="dxa"/>
              <w:left w:w="0" w:type="dxa"/>
              <w:bottom w:w="0" w:type="dxa"/>
              <w:right w:w="53" w:type="dxa"/>
            </w:tcMar>
            <w:vAlign w:val="bottom"/>
          </w:tcPr>
          <w:p w14:paraId="5A7F4E21" w14:textId="77777777" w:rsidR="001F4DA1" w:rsidRDefault="001F4DA1">
            <w:pPr>
              <w:keepNext/>
              <w:spacing w:before="33" w:after="30"/>
              <w:jc w:val="right"/>
            </w:pPr>
            <w:r>
              <w:rPr>
                <w:rFonts w:ascii="Calibri" w:eastAsia="Calibri" w:hAnsi="Calibri" w:cs="Calibri"/>
                <w:color w:val="000000"/>
                <w:sz w:val="21"/>
              </w:rPr>
              <w:t>1.975.400</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0E53562" w14:textId="77777777" w:rsidR="001F4DA1" w:rsidRDefault="001F4DA1">
            <w:pPr>
              <w:keepNext/>
            </w:pPr>
          </w:p>
        </w:tc>
        <w:tc>
          <w:tcPr>
            <w:tcW w:w="1560" w:type="dxa"/>
            <w:tcBorders>
              <w:top w:val="single" w:sz="8" w:space="0" w:color="4F81BD"/>
              <w:left w:val="nil"/>
              <w:bottom w:val="single" w:sz="2" w:space="0" w:color="000000"/>
              <w:right w:val="nil"/>
            </w:tcBorders>
            <w:shd w:val="clear" w:color="auto" w:fill="FFFFFF"/>
            <w:tcMar>
              <w:top w:w="0" w:type="dxa"/>
              <w:left w:w="0" w:type="dxa"/>
              <w:bottom w:w="0" w:type="dxa"/>
              <w:right w:w="53" w:type="dxa"/>
            </w:tcMar>
            <w:vAlign w:val="bottom"/>
          </w:tcPr>
          <w:p w14:paraId="543DD1EF" w14:textId="77777777" w:rsidR="001F4DA1" w:rsidRDefault="001F4DA1">
            <w:pPr>
              <w:keepNext/>
              <w:spacing w:before="33" w:after="30"/>
              <w:jc w:val="right"/>
            </w:pPr>
            <w:r>
              <w:rPr>
                <w:rFonts w:ascii="Calibri" w:eastAsia="Calibri" w:hAnsi="Calibri" w:cs="Calibri"/>
                <w:color w:val="000000"/>
                <w:sz w:val="21"/>
              </w:rPr>
              <w:t>2.195.902</w:t>
            </w:r>
          </w:p>
        </w:tc>
      </w:tr>
      <w:tr w:rsidR="001F4DA1" w14:paraId="781FF3B9"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6B9E49A9" w14:textId="77777777" w:rsidR="001F4DA1" w:rsidRPr="001F4DA1" w:rsidRDefault="001F4DA1">
            <w:pPr>
              <w:keepNext/>
              <w:spacing w:before="48" w:after="30" w:line="210" w:lineRule="exact"/>
              <w:rPr>
                <w:lang w:val="el-GR"/>
              </w:rPr>
            </w:pPr>
            <w:r w:rsidRPr="001F4DA1">
              <w:rPr>
                <w:rFonts w:ascii="Calibri" w:eastAsia="Calibri" w:hAnsi="Calibri" w:cs="Calibri"/>
                <w:color w:val="000000"/>
                <w:sz w:val="21"/>
                <w:lang w:val="el-GR"/>
              </w:rPr>
              <w:t xml:space="preserve">Λοιπά μη </w:t>
            </w:r>
            <w:proofErr w:type="spellStart"/>
            <w:r w:rsidRPr="001F4DA1">
              <w:rPr>
                <w:rFonts w:ascii="Calibri" w:eastAsia="Calibri" w:hAnsi="Calibri" w:cs="Calibri"/>
                <w:color w:val="000000"/>
                <w:sz w:val="21"/>
                <w:lang w:val="el-GR"/>
              </w:rPr>
              <w:t>κυκλοφορούντα</w:t>
            </w:r>
            <w:proofErr w:type="spellEnd"/>
            <w:r w:rsidRPr="001F4DA1">
              <w:rPr>
                <w:rFonts w:ascii="Calibri" w:eastAsia="Calibri" w:hAnsi="Calibri" w:cs="Calibri"/>
                <w:color w:val="000000"/>
                <w:sz w:val="21"/>
                <w:lang w:val="el-GR"/>
              </w:rPr>
              <w:t xml:space="preserve"> περιουσιακά στοιχεία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27CCC16" w14:textId="77777777" w:rsidR="001F4DA1" w:rsidRPr="001F4DA1" w:rsidRDefault="001F4DA1">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8AE2CD9" w14:textId="77777777" w:rsidR="001F4DA1" w:rsidRDefault="001F4DA1">
            <w:pPr>
              <w:keepNext/>
              <w:spacing w:before="48" w:after="30"/>
              <w:jc w:val="right"/>
            </w:pPr>
            <w:r>
              <w:rPr>
                <w:rFonts w:ascii="Calibri" w:eastAsia="Calibri" w:hAnsi="Calibri" w:cs="Calibri"/>
                <w:color w:val="000000"/>
                <w:sz w:val="21"/>
              </w:rPr>
              <w:t>196.263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CFB7E43"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6727ACE0" w14:textId="77777777" w:rsidR="001F4DA1" w:rsidRDefault="001F4DA1">
            <w:pPr>
              <w:keepNext/>
              <w:spacing w:before="48" w:after="30"/>
              <w:jc w:val="right"/>
            </w:pPr>
            <w:r>
              <w:rPr>
                <w:rFonts w:ascii="Calibri" w:eastAsia="Calibri" w:hAnsi="Calibri" w:cs="Calibri"/>
                <w:color w:val="000000"/>
                <w:sz w:val="21"/>
              </w:rPr>
              <w:t>136.142</w:t>
            </w:r>
          </w:p>
        </w:tc>
      </w:tr>
      <w:tr w:rsidR="001F4DA1" w14:paraId="1AD6CE0F"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7CD6050D" w14:textId="77777777" w:rsidR="001F4DA1" w:rsidRPr="001F4DA1" w:rsidRDefault="001F4DA1">
            <w:pPr>
              <w:keepNext/>
              <w:spacing w:before="48" w:after="30" w:line="210" w:lineRule="exact"/>
              <w:rPr>
                <w:lang w:val="el-GR"/>
              </w:rPr>
            </w:pPr>
            <w:r w:rsidRPr="001F4DA1">
              <w:rPr>
                <w:rFonts w:ascii="Calibri" w:eastAsia="Calibri" w:hAnsi="Calibri" w:cs="Calibri"/>
                <w:b/>
                <w:color w:val="000000"/>
                <w:sz w:val="21"/>
                <w:lang w:val="el-GR"/>
              </w:rPr>
              <w:t xml:space="preserve">Σύνολο μη </w:t>
            </w:r>
            <w:proofErr w:type="spellStart"/>
            <w:r w:rsidRPr="001F4DA1">
              <w:rPr>
                <w:rFonts w:ascii="Calibri" w:eastAsia="Calibri" w:hAnsi="Calibri" w:cs="Calibri"/>
                <w:b/>
                <w:color w:val="000000"/>
                <w:sz w:val="21"/>
                <w:lang w:val="el-GR"/>
              </w:rPr>
              <w:t>κυκλοφορούντων</w:t>
            </w:r>
            <w:proofErr w:type="spellEnd"/>
            <w:r w:rsidRPr="001F4DA1">
              <w:rPr>
                <w:rFonts w:ascii="Calibri" w:eastAsia="Calibri" w:hAnsi="Calibri" w:cs="Calibri"/>
                <w:b/>
                <w:color w:val="000000"/>
                <w:sz w:val="21"/>
                <w:lang w:val="el-GR"/>
              </w:rPr>
              <w:t xml:space="preserve"> περιουσιακών στοιχείων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98CC5E0" w14:textId="77777777" w:rsidR="001F4DA1" w:rsidRPr="001F4DA1" w:rsidRDefault="001F4DA1">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688FE97B" w14:textId="77777777" w:rsidR="001F4DA1" w:rsidRDefault="001F4DA1">
            <w:pPr>
              <w:keepNext/>
              <w:spacing w:before="48" w:after="30"/>
              <w:jc w:val="right"/>
            </w:pPr>
            <w:r>
              <w:rPr>
                <w:rFonts w:ascii="Calibri" w:eastAsia="Calibri" w:hAnsi="Calibri" w:cs="Calibri"/>
                <w:b/>
                <w:color w:val="000000"/>
                <w:sz w:val="21"/>
              </w:rPr>
              <w:t>2.171.663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3FCFBFB"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B5BC664" w14:textId="77777777" w:rsidR="001F4DA1" w:rsidRDefault="001F4DA1">
            <w:pPr>
              <w:keepNext/>
              <w:spacing w:before="48" w:after="30"/>
              <w:jc w:val="right"/>
            </w:pPr>
            <w:r>
              <w:rPr>
                <w:rFonts w:ascii="Calibri" w:eastAsia="Calibri" w:hAnsi="Calibri" w:cs="Calibri"/>
                <w:b/>
                <w:color w:val="000000"/>
                <w:sz w:val="21"/>
              </w:rPr>
              <w:t>2.332.044</w:t>
            </w:r>
          </w:p>
        </w:tc>
      </w:tr>
      <w:tr w:rsidR="001F4DA1" w14:paraId="6F3934D5"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DABE639"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6ABEB35"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0C6B0335"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066CF84"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0333A478" w14:textId="77777777" w:rsidR="001F4DA1" w:rsidRDefault="001F4DA1">
            <w:pPr>
              <w:keepNext/>
            </w:pPr>
          </w:p>
        </w:tc>
      </w:tr>
      <w:tr w:rsidR="001F4DA1" w14:paraId="511FF0D1"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00ACC229" w14:textId="77777777" w:rsidR="001F4DA1" w:rsidRDefault="001F4DA1">
            <w:pPr>
              <w:keepNext/>
              <w:spacing w:before="48" w:after="30" w:line="210" w:lineRule="exact"/>
            </w:pPr>
            <w:r>
              <w:rPr>
                <w:rFonts w:ascii="Calibri" w:eastAsia="Calibri" w:hAnsi="Calibri" w:cs="Calibri"/>
                <w:color w:val="000000"/>
                <w:sz w:val="21"/>
              </w:rPr>
              <w:t>Απ</w:t>
            </w:r>
            <w:proofErr w:type="spellStart"/>
            <w:r>
              <w:rPr>
                <w:rFonts w:ascii="Calibri" w:eastAsia="Calibri" w:hAnsi="Calibri" w:cs="Calibri"/>
                <w:color w:val="000000"/>
                <w:sz w:val="21"/>
              </w:rPr>
              <w:t>οθέμ</w:t>
            </w:r>
            <w:proofErr w:type="spellEnd"/>
            <w:r>
              <w:rPr>
                <w:rFonts w:ascii="Calibri" w:eastAsia="Calibri" w:hAnsi="Calibri" w:cs="Calibri"/>
                <w:color w:val="000000"/>
                <w:sz w:val="21"/>
              </w:rPr>
              <w:t>ατα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EA15D02"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F7A05D3" w14:textId="77777777" w:rsidR="001F4DA1" w:rsidRDefault="001F4DA1">
            <w:pPr>
              <w:keepNext/>
              <w:spacing w:before="48" w:after="30"/>
              <w:jc w:val="right"/>
            </w:pPr>
            <w:r>
              <w:rPr>
                <w:rFonts w:ascii="Calibri" w:eastAsia="Calibri" w:hAnsi="Calibri" w:cs="Calibri"/>
                <w:color w:val="000000"/>
                <w:sz w:val="21"/>
              </w:rPr>
              <w:t>408.567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73E247A"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060A3856" w14:textId="77777777" w:rsidR="001F4DA1" w:rsidRDefault="001F4DA1">
            <w:pPr>
              <w:keepNext/>
              <w:spacing w:before="48" w:after="30"/>
              <w:jc w:val="right"/>
            </w:pPr>
            <w:r>
              <w:rPr>
                <w:rFonts w:ascii="Calibri" w:eastAsia="Calibri" w:hAnsi="Calibri" w:cs="Calibri"/>
                <w:color w:val="000000"/>
                <w:sz w:val="21"/>
              </w:rPr>
              <w:t>442.186</w:t>
            </w:r>
          </w:p>
        </w:tc>
      </w:tr>
      <w:tr w:rsidR="001F4DA1" w14:paraId="25C3DC8B" w14:textId="77777777">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516656E5" w14:textId="77777777" w:rsidR="001F4DA1" w:rsidRPr="001F4DA1" w:rsidRDefault="001F4DA1">
            <w:pPr>
              <w:keepNext/>
              <w:spacing w:before="48" w:after="30" w:line="210" w:lineRule="exact"/>
              <w:rPr>
                <w:lang w:val="el-GR"/>
              </w:rPr>
            </w:pPr>
            <w:r w:rsidRPr="001F4DA1">
              <w:rPr>
                <w:rFonts w:ascii="Calibri" w:eastAsia="Calibri" w:hAnsi="Calibri" w:cs="Calibri"/>
                <w:color w:val="000000"/>
                <w:sz w:val="21"/>
                <w:lang w:val="el-GR"/>
              </w:rPr>
              <w:t xml:space="preserve">Απαιτήσεις, προπληρωμές και λοιπά </w:t>
            </w:r>
            <w:proofErr w:type="spellStart"/>
            <w:r w:rsidRPr="001F4DA1">
              <w:rPr>
                <w:rFonts w:ascii="Calibri" w:eastAsia="Calibri" w:hAnsi="Calibri" w:cs="Calibri"/>
                <w:color w:val="000000"/>
                <w:sz w:val="21"/>
                <w:lang w:val="el-GR"/>
              </w:rPr>
              <w:t>κυκλοφορούντα</w:t>
            </w:r>
            <w:proofErr w:type="spellEnd"/>
            <w:r w:rsidRPr="001F4DA1">
              <w:rPr>
                <w:rFonts w:ascii="Calibri" w:eastAsia="Calibri" w:hAnsi="Calibri" w:cs="Calibri"/>
                <w:color w:val="000000"/>
                <w:sz w:val="21"/>
                <w:lang w:val="el-GR"/>
              </w:rPr>
              <w:t xml:space="preserve"> περιουσιακά στοιχεία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E206848" w14:textId="77777777" w:rsidR="001F4DA1" w:rsidRPr="001F4DA1" w:rsidRDefault="001F4DA1">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1C4D6AE0" w14:textId="77777777" w:rsidR="001F4DA1" w:rsidRDefault="001F4DA1">
            <w:pPr>
              <w:keepNext/>
              <w:spacing w:before="48" w:after="30"/>
              <w:jc w:val="right"/>
            </w:pPr>
            <w:r>
              <w:rPr>
                <w:rFonts w:ascii="Calibri" w:eastAsia="Calibri" w:hAnsi="Calibri" w:cs="Calibri"/>
                <w:color w:val="000000"/>
                <w:sz w:val="21"/>
              </w:rPr>
              <w:t>425.227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109C93F"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F7A66BA" w14:textId="77777777" w:rsidR="001F4DA1" w:rsidRDefault="001F4DA1">
            <w:pPr>
              <w:keepNext/>
              <w:spacing w:before="48" w:after="30"/>
              <w:jc w:val="right"/>
            </w:pPr>
            <w:r>
              <w:rPr>
                <w:rFonts w:ascii="Calibri" w:eastAsia="Calibri" w:hAnsi="Calibri" w:cs="Calibri"/>
                <w:color w:val="000000"/>
                <w:sz w:val="21"/>
              </w:rPr>
              <w:t>385.064</w:t>
            </w:r>
          </w:p>
        </w:tc>
      </w:tr>
      <w:tr w:rsidR="001F4DA1" w14:paraId="48625CEE" w14:textId="77777777">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65F07458" w14:textId="77777777" w:rsidR="001F4DA1" w:rsidRPr="001F4DA1" w:rsidRDefault="001F4DA1">
            <w:pPr>
              <w:keepNext/>
              <w:spacing w:before="48" w:after="30" w:line="210" w:lineRule="exact"/>
              <w:rPr>
                <w:lang w:val="el-GR"/>
              </w:rPr>
            </w:pPr>
            <w:r w:rsidRPr="001F4DA1">
              <w:rPr>
                <w:rFonts w:ascii="Calibri" w:eastAsia="Calibri" w:hAnsi="Calibri" w:cs="Calibri"/>
                <w:color w:val="000000"/>
                <w:sz w:val="21"/>
                <w:lang w:val="el-GR"/>
              </w:rPr>
              <w:t>Ταμειακά διαθέσιμα, ισοδύναμα και προθεσμιακές καταθέσεις σε τράπεζες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4AC487B" w14:textId="77777777" w:rsidR="001F4DA1" w:rsidRPr="001F4DA1" w:rsidRDefault="001F4DA1">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06581D4" w14:textId="77777777" w:rsidR="001F4DA1" w:rsidRDefault="001F4DA1">
            <w:pPr>
              <w:keepNext/>
              <w:spacing w:before="48" w:after="30"/>
              <w:jc w:val="right"/>
            </w:pPr>
            <w:r>
              <w:rPr>
                <w:rFonts w:ascii="Calibri" w:eastAsia="Calibri" w:hAnsi="Calibri" w:cs="Calibri"/>
                <w:color w:val="000000"/>
                <w:sz w:val="21"/>
              </w:rPr>
              <w:t>392.390</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132987B"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0D1060E8" w14:textId="77777777" w:rsidR="001F4DA1" w:rsidRDefault="001F4DA1">
            <w:pPr>
              <w:keepNext/>
              <w:spacing w:before="48" w:after="30"/>
              <w:jc w:val="right"/>
            </w:pPr>
            <w:r>
              <w:rPr>
                <w:rFonts w:ascii="Calibri" w:eastAsia="Calibri" w:hAnsi="Calibri" w:cs="Calibri"/>
                <w:color w:val="000000"/>
                <w:sz w:val="21"/>
              </w:rPr>
              <w:t>123.283</w:t>
            </w:r>
          </w:p>
        </w:tc>
      </w:tr>
      <w:tr w:rsidR="001F4DA1" w14:paraId="55D3D7F1"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0093E1BB" w14:textId="77777777" w:rsidR="001F4DA1" w:rsidRDefault="001F4DA1">
            <w:pPr>
              <w:keepNext/>
              <w:spacing w:before="48" w:after="30" w:line="210" w:lineRule="exact"/>
            </w:pPr>
            <w:proofErr w:type="spellStart"/>
            <w:r>
              <w:rPr>
                <w:rFonts w:ascii="Calibri" w:eastAsia="Calibri" w:hAnsi="Calibri" w:cs="Calibri"/>
                <w:b/>
                <w:color w:val="000000"/>
                <w:sz w:val="21"/>
              </w:rPr>
              <w:t>Σύνολο</w:t>
            </w:r>
            <w:proofErr w:type="spellEnd"/>
            <w:r>
              <w:rPr>
                <w:rFonts w:ascii="Calibri" w:eastAsia="Calibri" w:hAnsi="Calibri" w:cs="Calibri"/>
                <w:b/>
                <w:color w:val="000000"/>
                <w:sz w:val="21"/>
              </w:rPr>
              <w:t xml:space="preserve"> </w:t>
            </w:r>
            <w:proofErr w:type="spellStart"/>
            <w:r>
              <w:rPr>
                <w:rFonts w:ascii="Calibri" w:eastAsia="Calibri" w:hAnsi="Calibri" w:cs="Calibri"/>
                <w:b/>
                <w:color w:val="000000"/>
                <w:sz w:val="21"/>
              </w:rPr>
              <w:t>κυκλοφορούντων</w:t>
            </w:r>
            <w:proofErr w:type="spellEnd"/>
            <w:r>
              <w:rPr>
                <w:rFonts w:ascii="Calibri" w:eastAsia="Calibri" w:hAnsi="Calibri" w:cs="Calibri"/>
                <w:b/>
                <w:color w:val="000000"/>
                <w:sz w:val="21"/>
              </w:rPr>
              <w:t xml:space="preserve"> π</w:t>
            </w:r>
            <w:proofErr w:type="spellStart"/>
            <w:r>
              <w:rPr>
                <w:rFonts w:ascii="Calibri" w:eastAsia="Calibri" w:hAnsi="Calibri" w:cs="Calibri"/>
                <w:b/>
                <w:color w:val="000000"/>
                <w:sz w:val="21"/>
              </w:rPr>
              <w:t>εριουσι</w:t>
            </w:r>
            <w:proofErr w:type="spellEnd"/>
            <w:r>
              <w:rPr>
                <w:rFonts w:ascii="Calibri" w:eastAsia="Calibri" w:hAnsi="Calibri" w:cs="Calibri"/>
                <w:b/>
                <w:color w:val="000000"/>
                <w:sz w:val="21"/>
              </w:rPr>
              <w:t xml:space="preserve">ακών </w:t>
            </w:r>
            <w:proofErr w:type="spellStart"/>
            <w:r>
              <w:rPr>
                <w:rFonts w:ascii="Calibri" w:eastAsia="Calibri" w:hAnsi="Calibri" w:cs="Calibri"/>
                <w:b/>
                <w:color w:val="000000"/>
                <w:sz w:val="21"/>
              </w:rPr>
              <w:t>στοιχείων</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44774D6"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45A0E8A" w14:textId="77777777" w:rsidR="001F4DA1" w:rsidRDefault="001F4DA1">
            <w:pPr>
              <w:keepNext/>
              <w:spacing w:before="48" w:after="30"/>
              <w:jc w:val="right"/>
            </w:pPr>
            <w:r>
              <w:rPr>
                <w:rFonts w:ascii="Calibri" w:eastAsia="Calibri" w:hAnsi="Calibri" w:cs="Calibri"/>
                <w:b/>
                <w:color w:val="000000"/>
                <w:sz w:val="21"/>
              </w:rPr>
              <w:t>1.226.184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DEC6614"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114CB9B" w14:textId="77777777" w:rsidR="001F4DA1" w:rsidRDefault="001F4DA1">
            <w:pPr>
              <w:keepNext/>
              <w:spacing w:before="48" w:after="30"/>
              <w:jc w:val="right"/>
            </w:pPr>
            <w:r>
              <w:rPr>
                <w:rFonts w:ascii="Calibri" w:eastAsia="Calibri" w:hAnsi="Calibri" w:cs="Calibri"/>
                <w:b/>
                <w:color w:val="000000"/>
                <w:sz w:val="21"/>
              </w:rPr>
              <w:t>950.533</w:t>
            </w:r>
          </w:p>
        </w:tc>
      </w:tr>
      <w:tr w:rsidR="001F4DA1" w14:paraId="68FF90D7"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B102233"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4FCDCB6"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23AC1852"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C2DD257"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24EB1133" w14:textId="77777777" w:rsidR="001F4DA1" w:rsidRDefault="001F4DA1">
            <w:pPr>
              <w:keepNext/>
            </w:pPr>
          </w:p>
        </w:tc>
      </w:tr>
      <w:tr w:rsidR="001F4DA1" w14:paraId="652B6DBF" w14:textId="77777777">
        <w:trPr>
          <w:cantSplit/>
          <w:trHeight w:hRule="exact" w:val="300"/>
        </w:trPr>
        <w:tc>
          <w:tcPr>
            <w:tcW w:w="5685" w:type="dxa"/>
            <w:tcBorders>
              <w:top w:val="single" w:sz="2" w:space="0" w:color="000000"/>
              <w:left w:val="nil"/>
              <w:bottom w:val="single" w:sz="8" w:space="0" w:color="4F81BD"/>
              <w:right w:val="nil"/>
            </w:tcBorders>
            <w:shd w:val="clear" w:color="auto" w:fill="FFFFFF"/>
            <w:tcMar>
              <w:top w:w="0" w:type="dxa"/>
              <w:left w:w="53" w:type="dxa"/>
              <w:bottom w:w="0" w:type="dxa"/>
              <w:right w:w="53" w:type="dxa"/>
            </w:tcMar>
            <w:vAlign w:val="bottom"/>
          </w:tcPr>
          <w:p w14:paraId="2F64749A" w14:textId="77777777" w:rsidR="001F4DA1" w:rsidRDefault="001F4DA1">
            <w:pPr>
              <w:keepNext/>
              <w:spacing w:before="48" w:after="30" w:line="210" w:lineRule="exact"/>
            </w:pPr>
            <w:proofErr w:type="spellStart"/>
            <w:r>
              <w:rPr>
                <w:rFonts w:ascii="Calibri" w:eastAsia="Calibri" w:hAnsi="Calibri" w:cs="Calibri"/>
                <w:b/>
                <w:color w:val="000000"/>
                <w:sz w:val="21"/>
              </w:rPr>
              <w:t>Σύνολο</w:t>
            </w:r>
            <w:proofErr w:type="spellEnd"/>
            <w:r>
              <w:rPr>
                <w:rFonts w:ascii="Calibri" w:eastAsia="Calibri" w:hAnsi="Calibri" w:cs="Calibri"/>
                <w:b/>
                <w:color w:val="000000"/>
                <w:sz w:val="21"/>
              </w:rPr>
              <w:t xml:space="preserve"> </w:t>
            </w:r>
            <w:proofErr w:type="spellStart"/>
            <w:r>
              <w:rPr>
                <w:rFonts w:ascii="Calibri" w:eastAsia="Calibri" w:hAnsi="Calibri" w:cs="Calibri"/>
                <w:b/>
                <w:color w:val="000000"/>
                <w:sz w:val="21"/>
              </w:rPr>
              <w:t>Ενεργητικού</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BDA1262" w14:textId="77777777" w:rsidR="001F4DA1" w:rsidRDefault="001F4DA1">
            <w:pPr>
              <w:keepNext/>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38001CA8" w14:textId="77777777" w:rsidR="001F4DA1" w:rsidRDefault="001F4DA1">
            <w:pPr>
              <w:keepNext/>
              <w:spacing w:before="48" w:after="30"/>
              <w:jc w:val="right"/>
            </w:pPr>
            <w:r>
              <w:rPr>
                <w:rFonts w:ascii="Calibri" w:eastAsia="Calibri" w:hAnsi="Calibri" w:cs="Calibri"/>
                <w:b/>
                <w:color w:val="000000"/>
                <w:sz w:val="21"/>
              </w:rPr>
              <w:t>3.397.847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75837D0" w14:textId="77777777" w:rsidR="001F4DA1" w:rsidRDefault="001F4DA1">
            <w:pPr>
              <w:keepNext/>
            </w:pPr>
          </w:p>
        </w:tc>
        <w:tc>
          <w:tcPr>
            <w:tcW w:w="1560" w:type="dxa"/>
            <w:tcBorders>
              <w:top w:val="single" w:sz="2" w:space="0" w:color="000000"/>
              <w:left w:val="nil"/>
              <w:bottom w:val="single" w:sz="8" w:space="0" w:color="4F81BD"/>
              <w:right w:val="nil"/>
            </w:tcBorders>
            <w:shd w:val="clear" w:color="auto" w:fill="FFFFFF"/>
            <w:tcMar>
              <w:top w:w="0" w:type="dxa"/>
              <w:left w:w="0" w:type="dxa"/>
              <w:bottom w:w="0" w:type="dxa"/>
              <w:right w:w="53" w:type="dxa"/>
            </w:tcMar>
            <w:vAlign w:val="bottom"/>
          </w:tcPr>
          <w:p w14:paraId="0E621E27" w14:textId="77777777" w:rsidR="001F4DA1" w:rsidRDefault="001F4DA1">
            <w:pPr>
              <w:keepNext/>
              <w:spacing w:before="48" w:after="30"/>
              <w:jc w:val="right"/>
            </w:pPr>
            <w:r>
              <w:rPr>
                <w:rFonts w:ascii="Calibri" w:eastAsia="Calibri" w:hAnsi="Calibri" w:cs="Calibri"/>
                <w:b/>
                <w:color w:val="000000"/>
                <w:sz w:val="21"/>
              </w:rPr>
              <w:t>3.282.577</w:t>
            </w:r>
          </w:p>
        </w:tc>
      </w:tr>
      <w:tr w:rsidR="001F4DA1" w14:paraId="5FEC0932" w14:textId="77777777">
        <w:trPr>
          <w:cantSplit/>
          <w:trHeight w:hRule="exact" w:val="300"/>
        </w:trPr>
        <w:tc>
          <w:tcPr>
            <w:tcW w:w="5685"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4E1E1F56"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4A5161B" w14:textId="77777777" w:rsidR="001F4DA1" w:rsidRDefault="001F4DA1">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7C4E1147"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9F9BA37" w14:textId="77777777" w:rsidR="001F4DA1" w:rsidRDefault="001F4DA1">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5C69BFB2" w14:textId="77777777" w:rsidR="001F4DA1" w:rsidRDefault="001F4DA1">
            <w:pPr>
              <w:keepNext/>
            </w:pPr>
          </w:p>
        </w:tc>
      </w:tr>
      <w:tr w:rsidR="001F4DA1" w14:paraId="32E9E6EC" w14:textId="77777777">
        <w:trPr>
          <w:cantSplit/>
          <w:trHeight w:hRule="exact" w:val="300"/>
        </w:trPr>
        <w:tc>
          <w:tcPr>
            <w:tcW w:w="5685" w:type="dxa"/>
            <w:tcBorders>
              <w:top w:val="nil"/>
              <w:left w:val="nil"/>
              <w:bottom w:val="single" w:sz="8" w:space="0" w:color="4F81BD"/>
              <w:right w:val="nil"/>
            </w:tcBorders>
            <w:shd w:val="clear" w:color="auto" w:fill="FFFFFF"/>
            <w:tcMar>
              <w:top w:w="0" w:type="dxa"/>
              <w:left w:w="53" w:type="dxa"/>
              <w:bottom w:w="0" w:type="dxa"/>
              <w:right w:w="53" w:type="dxa"/>
            </w:tcMar>
            <w:vAlign w:val="bottom"/>
          </w:tcPr>
          <w:p w14:paraId="7D29B4D4" w14:textId="77777777" w:rsidR="001F4DA1" w:rsidRDefault="001F4DA1">
            <w:pPr>
              <w:keepNext/>
              <w:spacing w:before="53" w:after="30" w:line="240" w:lineRule="exact"/>
            </w:pPr>
            <w:proofErr w:type="spellStart"/>
            <w:r>
              <w:rPr>
                <w:rFonts w:ascii="Calibri" w:eastAsia="Calibri" w:hAnsi="Calibri" w:cs="Calibri"/>
                <w:b/>
                <w:color w:val="4F81BD"/>
              </w:rPr>
              <w:t>Ίδι</w:t>
            </w:r>
            <w:proofErr w:type="spellEnd"/>
            <w:r>
              <w:rPr>
                <w:rFonts w:ascii="Calibri" w:eastAsia="Calibri" w:hAnsi="Calibri" w:cs="Calibri"/>
                <w:b/>
                <w:color w:val="4F81BD"/>
              </w:rPr>
              <w:t xml:space="preserve">α </w:t>
            </w:r>
            <w:proofErr w:type="spellStart"/>
            <w:r>
              <w:rPr>
                <w:rFonts w:ascii="Calibri" w:eastAsia="Calibri" w:hAnsi="Calibri" w:cs="Calibri"/>
                <w:b/>
                <w:color w:val="4F81BD"/>
              </w:rPr>
              <w:t>Κεφάλ</w:t>
            </w:r>
            <w:proofErr w:type="spellEnd"/>
            <w:r>
              <w:rPr>
                <w:rFonts w:ascii="Calibri" w:eastAsia="Calibri" w:hAnsi="Calibri" w:cs="Calibri"/>
                <w:b/>
                <w:color w:val="4F81BD"/>
              </w:rPr>
              <w:t>αια και Υπ</w:t>
            </w:r>
            <w:proofErr w:type="spellStart"/>
            <w:r>
              <w:rPr>
                <w:rFonts w:ascii="Calibri" w:eastAsia="Calibri" w:hAnsi="Calibri" w:cs="Calibri"/>
                <w:b/>
                <w:color w:val="4F81BD"/>
              </w:rPr>
              <w:t>οχρεώσεις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40B17E9" w14:textId="77777777" w:rsidR="001F4DA1" w:rsidRDefault="001F4DA1">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78A118E3"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744B519" w14:textId="77777777" w:rsidR="001F4DA1" w:rsidRDefault="001F4DA1">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01E46B02" w14:textId="77777777" w:rsidR="001F4DA1" w:rsidRDefault="001F4DA1">
            <w:pPr>
              <w:keepNext/>
            </w:pPr>
          </w:p>
        </w:tc>
      </w:tr>
      <w:tr w:rsidR="001F4DA1" w14:paraId="0843AA85" w14:textId="77777777">
        <w:trPr>
          <w:cantSplit/>
          <w:trHeight w:hRule="exact" w:val="525"/>
        </w:trPr>
        <w:tc>
          <w:tcPr>
            <w:tcW w:w="5685" w:type="dxa"/>
            <w:tcBorders>
              <w:top w:val="single" w:sz="8" w:space="0" w:color="4F81BD"/>
              <w:left w:val="nil"/>
              <w:bottom w:val="single" w:sz="2" w:space="0" w:color="000000"/>
              <w:right w:val="nil"/>
            </w:tcBorders>
            <w:shd w:val="clear" w:color="auto" w:fill="FFFFFF"/>
            <w:tcMar>
              <w:top w:w="0" w:type="dxa"/>
              <w:left w:w="53" w:type="dxa"/>
              <w:bottom w:w="0" w:type="dxa"/>
              <w:right w:w="53" w:type="dxa"/>
            </w:tcMar>
            <w:vAlign w:val="bottom"/>
          </w:tcPr>
          <w:p w14:paraId="524CB23E" w14:textId="77777777" w:rsidR="001F4DA1" w:rsidRPr="001F4DA1" w:rsidRDefault="001F4DA1">
            <w:pPr>
              <w:keepNext/>
              <w:spacing w:before="33" w:after="30" w:line="210" w:lineRule="exact"/>
              <w:rPr>
                <w:lang w:val="el-GR"/>
              </w:rPr>
            </w:pPr>
            <w:r w:rsidRPr="001F4DA1">
              <w:rPr>
                <w:rFonts w:ascii="Calibri" w:eastAsia="Calibri" w:hAnsi="Calibri" w:cs="Calibri"/>
                <w:color w:val="000000"/>
                <w:sz w:val="21"/>
                <w:lang w:val="el-GR"/>
              </w:rPr>
              <w:t>Σύνολο ιδίων κεφαλαίων και αποθεματικών που αναλογούν σε μετόχους της μητρικής Εταιρίας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35EE271" w14:textId="77777777" w:rsidR="001F4DA1" w:rsidRPr="001F4DA1" w:rsidRDefault="001F4DA1">
            <w:pPr>
              <w:keepNext/>
              <w:rPr>
                <w:lang w:val="el-GR"/>
              </w:rPr>
            </w:pPr>
          </w:p>
        </w:tc>
        <w:tc>
          <w:tcPr>
            <w:tcW w:w="1560" w:type="dxa"/>
            <w:tcBorders>
              <w:top w:val="single" w:sz="8" w:space="0" w:color="4F81BD"/>
              <w:left w:val="nil"/>
              <w:bottom w:val="single" w:sz="2" w:space="0" w:color="000000"/>
              <w:right w:val="nil"/>
            </w:tcBorders>
            <w:shd w:val="clear" w:color="auto" w:fill="DDDDDD"/>
            <w:tcMar>
              <w:top w:w="0" w:type="dxa"/>
              <w:left w:w="0" w:type="dxa"/>
              <w:bottom w:w="0" w:type="dxa"/>
              <w:right w:w="53" w:type="dxa"/>
            </w:tcMar>
            <w:vAlign w:val="bottom"/>
          </w:tcPr>
          <w:p w14:paraId="4A21F4CC" w14:textId="77777777" w:rsidR="001F4DA1" w:rsidRDefault="001F4DA1">
            <w:pPr>
              <w:keepNext/>
              <w:spacing w:before="33" w:after="30"/>
              <w:jc w:val="right"/>
            </w:pPr>
            <w:r>
              <w:rPr>
                <w:rFonts w:ascii="Calibri" w:eastAsia="Calibri" w:hAnsi="Calibri" w:cs="Calibri"/>
                <w:color w:val="000000"/>
                <w:sz w:val="21"/>
              </w:rPr>
              <w:t>1.923.650</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3B91798" w14:textId="77777777" w:rsidR="001F4DA1" w:rsidRDefault="001F4DA1">
            <w:pPr>
              <w:keepNext/>
            </w:pPr>
          </w:p>
        </w:tc>
        <w:tc>
          <w:tcPr>
            <w:tcW w:w="1560" w:type="dxa"/>
            <w:tcBorders>
              <w:top w:val="single" w:sz="8" w:space="0" w:color="4F81BD"/>
              <w:left w:val="nil"/>
              <w:bottom w:val="single" w:sz="2" w:space="0" w:color="000000"/>
              <w:right w:val="nil"/>
            </w:tcBorders>
            <w:shd w:val="clear" w:color="auto" w:fill="FFFFFF"/>
            <w:tcMar>
              <w:top w:w="0" w:type="dxa"/>
              <w:left w:w="0" w:type="dxa"/>
              <w:bottom w:w="0" w:type="dxa"/>
              <w:right w:w="53" w:type="dxa"/>
            </w:tcMar>
            <w:vAlign w:val="bottom"/>
          </w:tcPr>
          <w:p w14:paraId="3ECAE1C2" w14:textId="77777777" w:rsidR="001F4DA1" w:rsidRDefault="001F4DA1">
            <w:pPr>
              <w:keepNext/>
              <w:spacing w:before="33" w:after="30"/>
              <w:jc w:val="right"/>
            </w:pPr>
            <w:r>
              <w:rPr>
                <w:rFonts w:ascii="Calibri" w:eastAsia="Calibri" w:hAnsi="Calibri" w:cs="Calibri"/>
                <w:color w:val="000000"/>
                <w:sz w:val="21"/>
              </w:rPr>
              <w:t>1.787.064</w:t>
            </w:r>
          </w:p>
        </w:tc>
      </w:tr>
      <w:tr w:rsidR="001F4DA1" w14:paraId="286163C7"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26F15808" w14:textId="77777777" w:rsidR="001F4DA1" w:rsidRDefault="001F4DA1">
            <w:pPr>
              <w:keepNext/>
              <w:spacing w:before="48" w:after="30" w:line="210" w:lineRule="exact"/>
            </w:pPr>
            <w:proofErr w:type="spellStart"/>
            <w:r>
              <w:rPr>
                <w:rFonts w:ascii="Calibri" w:eastAsia="Calibri" w:hAnsi="Calibri" w:cs="Calibri"/>
                <w:color w:val="000000"/>
                <w:sz w:val="21"/>
              </w:rPr>
              <w:t>Μη</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ελέγχουσες</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συμμετοχές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3CAE8BA"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6A4ED56D" w14:textId="77777777" w:rsidR="001F4DA1" w:rsidRDefault="001F4DA1">
            <w:pPr>
              <w:keepNext/>
              <w:spacing w:before="48" w:after="30"/>
              <w:jc w:val="right"/>
            </w:pPr>
            <w:r>
              <w:rPr>
                <w:rFonts w:ascii="Calibri" w:eastAsia="Calibri" w:hAnsi="Calibri" w:cs="Calibri"/>
                <w:color w:val="000000"/>
                <w:sz w:val="21"/>
              </w:rPr>
              <w:t>106.660</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D5E96BA"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60C95F7F" w14:textId="77777777" w:rsidR="001F4DA1" w:rsidRDefault="001F4DA1">
            <w:pPr>
              <w:keepNext/>
              <w:spacing w:before="48" w:after="30"/>
              <w:jc w:val="right"/>
            </w:pPr>
            <w:r>
              <w:rPr>
                <w:rFonts w:ascii="Calibri" w:eastAsia="Calibri" w:hAnsi="Calibri" w:cs="Calibri"/>
                <w:color w:val="000000"/>
                <w:sz w:val="21"/>
              </w:rPr>
              <w:t>37.449</w:t>
            </w:r>
          </w:p>
        </w:tc>
      </w:tr>
      <w:tr w:rsidR="001F4DA1" w14:paraId="3BF9E20F"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3B3D9E90" w14:textId="77777777" w:rsidR="001F4DA1" w:rsidRDefault="001F4DA1">
            <w:pPr>
              <w:keepNext/>
              <w:spacing w:before="48" w:after="30" w:line="210" w:lineRule="exact"/>
            </w:pPr>
            <w:proofErr w:type="spellStart"/>
            <w:r>
              <w:rPr>
                <w:rFonts w:ascii="Calibri" w:eastAsia="Calibri" w:hAnsi="Calibri" w:cs="Calibri"/>
                <w:b/>
                <w:color w:val="000000"/>
                <w:sz w:val="21"/>
              </w:rPr>
              <w:t>Σύνολο</w:t>
            </w:r>
            <w:proofErr w:type="spellEnd"/>
            <w:r>
              <w:rPr>
                <w:rFonts w:ascii="Calibri" w:eastAsia="Calibri" w:hAnsi="Calibri" w:cs="Calibri"/>
                <w:b/>
                <w:color w:val="000000"/>
                <w:sz w:val="21"/>
              </w:rPr>
              <w:t xml:space="preserve"> </w:t>
            </w:r>
            <w:proofErr w:type="spellStart"/>
            <w:r>
              <w:rPr>
                <w:rFonts w:ascii="Calibri" w:eastAsia="Calibri" w:hAnsi="Calibri" w:cs="Calibri"/>
                <w:b/>
                <w:color w:val="000000"/>
                <w:sz w:val="21"/>
              </w:rPr>
              <w:t>Ιδίων</w:t>
            </w:r>
            <w:proofErr w:type="spellEnd"/>
            <w:r>
              <w:rPr>
                <w:rFonts w:ascii="Calibri" w:eastAsia="Calibri" w:hAnsi="Calibri" w:cs="Calibri"/>
                <w:b/>
                <w:color w:val="000000"/>
                <w:sz w:val="21"/>
              </w:rPr>
              <w:t xml:space="preserve"> </w:t>
            </w:r>
            <w:proofErr w:type="spellStart"/>
            <w:r>
              <w:rPr>
                <w:rFonts w:ascii="Calibri" w:eastAsia="Calibri" w:hAnsi="Calibri" w:cs="Calibri"/>
                <w:b/>
                <w:color w:val="000000"/>
                <w:sz w:val="21"/>
              </w:rPr>
              <w:t>Κεφ</w:t>
            </w:r>
            <w:proofErr w:type="spellEnd"/>
            <w:r>
              <w:rPr>
                <w:rFonts w:ascii="Calibri" w:eastAsia="Calibri" w:hAnsi="Calibri" w:cs="Calibri"/>
                <w:b/>
                <w:color w:val="000000"/>
                <w:sz w:val="21"/>
              </w:rPr>
              <w:t>αλαίων (α)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5F8C8EA"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440813C" w14:textId="77777777" w:rsidR="001F4DA1" w:rsidRDefault="001F4DA1">
            <w:pPr>
              <w:keepNext/>
              <w:spacing w:before="48" w:after="30"/>
              <w:jc w:val="right"/>
            </w:pPr>
            <w:r>
              <w:rPr>
                <w:rFonts w:ascii="Calibri" w:eastAsia="Calibri" w:hAnsi="Calibri" w:cs="Calibri"/>
                <w:b/>
                <w:color w:val="000000"/>
                <w:sz w:val="21"/>
              </w:rPr>
              <w:t>2.030.310</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9AADEE5"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5B35DA05" w14:textId="77777777" w:rsidR="001F4DA1" w:rsidRDefault="001F4DA1">
            <w:pPr>
              <w:keepNext/>
              <w:spacing w:before="48" w:after="30"/>
              <w:jc w:val="right"/>
            </w:pPr>
            <w:r>
              <w:rPr>
                <w:rFonts w:ascii="Calibri" w:eastAsia="Calibri" w:hAnsi="Calibri" w:cs="Calibri"/>
                <w:b/>
                <w:color w:val="000000"/>
                <w:sz w:val="21"/>
              </w:rPr>
              <w:t>1.824.513</w:t>
            </w:r>
          </w:p>
        </w:tc>
      </w:tr>
      <w:tr w:rsidR="001F4DA1" w14:paraId="6C34D9D5"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7C623708"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EE62916"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EC32282"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F0FB62F"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78CD048F" w14:textId="77777777" w:rsidR="001F4DA1" w:rsidRDefault="001F4DA1">
            <w:pPr>
              <w:keepNext/>
            </w:pPr>
          </w:p>
        </w:tc>
      </w:tr>
      <w:tr w:rsidR="001F4DA1" w14:paraId="6FA15447" w14:textId="77777777">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4295B232" w14:textId="77777777" w:rsidR="001F4DA1" w:rsidRPr="001F4DA1" w:rsidRDefault="001F4DA1">
            <w:pPr>
              <w:keepNext/>
              <w:spacing w:before="48" w:after="30" w:line="210" w:lineRule="exact"/>
              <w:rPr>
                <w:lang w:val="el-GR"/>
              </w:rPr>
            </w:pPr>
            <w:r w:rsidRPr="001F4DA1">
              <w:rPr>
                <w:rFonts w:ascii="Calibri" w:eastAsia="Calibri" w:hAnsi="Calibri" w:cs="Calibri"/>
                <w:color w:val="000000"/>
                <w:sz w:val="21"/>
                <w:lang w:val="el-GR"/>
              </w:rPr>
              <w:t>Μακροπρόθεσμες δανειακές υποχρεώσεις και υποχρεώσεις μισθώσεων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3E1FEB6" w14:textId="77777777" w:rsidR="001F4DA1" w:rsidRPr="001F4DA1" w:rsidRDefault="001F4DA1">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FF537BB" w14:textId="77777777" w:rsidR="001F4DA1" w:rsidRDefault="001F4DA1">
            <w:pPr>
              <w:keepNext/>
              <w:spacing w:before="48" w:after="30"/>
              <w:jc w:val="right"/>
            </w:pPr>
            <w:r>
              <w:rPr>
                <w:rFonts w:ascii="Calibri" w:eastAsia="Calibri" w:hAnsi="Calibri" w:cs="Calibri"/>
                <w:color w:val="000000"/>
                <w:sz w:val="21"/>
              </w:rPr>
              <w:t>578.848</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D67A978"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1CDD44B3" w14:textId="77777777" w:rsidR="001F4DA1" w:rsidRDefault="001F4DA1">
            <w:pPr>
              <w:keepNext/>
              <w:spacing w:before="48" w:after="30"/>
              <w:jc w:val="right"/>
            </w:pPr>
            <w:r>
              <w:rPr>
                <w:rFonts w:ascii="Calibri" w:eastAsia="Calibri" w:hAnsi="Calibri" w:cs="Calibri"/>
                <w:color w:val="000000"/>
                <w:sz w:val="21"/>
              </w:rPr>
              <w:t>662.196</w:t>
            </w:r>
          </w:p>
        </w:tc>
      </w:tr>
      <w:tr w:rsidR="001F4DA1" w14:paraId="344372B7"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1B2B0C0D" w14:textId="77777777" w:rsidR="001F4DA1" w:rsidRDefault="001F4DA1">
            <w:pPr>
              <w:keepNext/>
              <w:spacing w:before="48" w:after="30" w:line="210" w:lineRule="exact"/>
            </w:pPr>
            <w:proofErr w:type="spellStart"/>
            <w:r>
              <w:rPr>
                <w:rFonts w:ascii="Calibri" w:eastAsia="Calibri" w:hAnsi="Calibri" w:cs="Calibri"/>
                <w:color w:val="000000"/>
                <w:sz w:val="21"/>
              </w:rPr>
              <w:t>Λοι</w:t>
            </w:r>
            <w:proofErr w:type="spellEnd"/>
            <w:r>
              <w:rPr>
                <w:rFonts w:ascii="Calibri" w:eastAsia="Calibri" w:hAnsi="Calibri" w:cs="Calibri"/>
                <w:color w:val="000000"/>
                <w:sz w:val="21"/>
              </w:rPr>
              <w:t>πές μα</w:t>
            </w:r>
            <w:proofErr w:type="spellStart"/>
            <w:r>
              <w:rPr>
                <w:rFonts w:ascii="Calibri" w:eastAsia="Calibri" w:hAnsi="Calibri" w:cs="Calibri"/>
                <w:color w:val="000000"/>
                <w:sz w:val="21"/>
              </w:rPr>
              <w:t>κρο</w:t>
            </w:r>
            <w:proofErr w:type="spellEnd"/>
            <w:r>
              <w:rPr>
                <w:rFonts w:ascii="Calibri" w:eastAsia="Calibri" w:hAnsi="Calibri" w:cs="Calibri"/>
                <w:color w:val="000000"/>
                <w:sz w:val="21"/>
              </w:rPr>
              <w:t>πρόθεσμες υπ</w:t>
            </w:r>
            <w:proofErr w:type="spellStart"/>
            <w:r>
              <w:rPr>
                <w:rFonts w:ascii="Calibri" w:eastAsia="Calibri" w:hAnsi="Calibri" w:cs="Calibri"/>
                <w:color w:val="000000"/>
                <w:sz w:val="21"/>
              </w:rPr>
              <w:t>οχρεώσεις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D7A03B2"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2CECAD9D" w14:textId="77777777" w:rsidR="001F4DA1" w:rsidRDefault="001F4DA1">
            <w:pPr>
              <w:keepNext/>
              <w:spacing w:before="48" w:after="30"/>
              <w:jc w:val="right"/>
            </w:pPr>
            <w:r>
              <w:rPr>
                <w:rFonts w:ascii="Calibri" w:eastAsia="Calibri" w:hAnsi="Calibri" w:cs="Calibri"/>
                <w:color w:val="000000"/>
                <w:sz w:val="21"/>
              </w:rPr>
              <w:t>256.447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ECD33BC"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14662A6" w14:textId="77777777" w:rsidR="001F4DA1" w:rsidRDefault="001F4DA1">
            <w:pPr>
              <w:keepNext/>
              <w:spacing w:before="48" w:after="30"/>
              <w:jc w:val="right"/>
            </w:pPr>
            <w:r>
              <w:rPr>
                <w:rFonts w:ascii="Calibri" w:eastAsia="Calibri" w:hAnsi="Calibri" w:cs="Calibri"/>
                <w:color w:val="000000"/>
                <w:sz w:val="21"/>
              </w:rPr>
              <w:t>258.336</w:t>
            </w:r>
          </w:p>
        </w:tc>
      </w:tr>
      <w:tr w:rsidR="001F4DA1" w14:paraId="1F75D1C9"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1A94AC6D" w14:textId="77777777" w:rsidR="001F4DA1" w:rsidRDefault="001F4DA1">
            <w:pPr>
              <w:keepNext/>
              <w:spacing w:before="48" w:after="30" w:line="210" w:lineRule="exact"/>
            </w:pPr>
            <w:proofErr w:type="spellStart"/>
            <w:r>
              <w:rPr>
                <w:rFonts w:ascii="Calibri" w:eastAsia="Calibri" w:hAnsi="Calibri" w:cs="Calibri"/>
                <w:b/>
                <w:color w:val="000000"/>
                <w:sz w:val="21"/>
              </w:rPr>
              <w:t>Σύνολο</w:t>
            </w:r>
            <w:proofErr w:type="spellEnd"/>
            <w:r>
              <w:rPr>
                <w:rFonts w:ascii="Calibri" w:eastAsia="Calibri" w:hAnsi="Calibri" w:cs="Calibri"/>
                <w:b/>
                <w:color w:val="000000"/>
                <w:sz w:val="21"/>
              </w:rPr>
              <w:t xml:space="preserve"> μα</w:t>
            </w:r>
            <w:proofErr w:type="spellStart"/>
            <w:r>
              <w:rPr>
                <w:rFonts w:ascii="Calibri" w:eastAsia="Calibri" w:hAnsi="Calibri" w:cs="Calibri"/>
                <w:b/>
                <w:color w:val="000000"/>
                <w:sz w:val="21"/>
              </w:rPr>
              <w:t>κρο</w:t>
            </w:r>
            <w:proofErr w:type="spellEnd"/>
            <w:r>
              <w:rPr>
                <w:rFonts w:ascii="Calibri" w:eastAsia="Calibri" w:hAnsi="Calibri" w:cs="Calibri"/>
                <w:b/>
                <w:color w:val="000000"/>
                <w:sz w:val="21"/>
              </w:rPr>
              <w:t>προθέσμων υπ</w:t>
            </w:r>
            <w:proofErr w:type="spellStart"/>
            <w:r>
              <w:rPr>
                <w:rFonts w:ascii="Calibri" w:eastAsia="Calibri" w:hAnsi="Calibri" w:cs="Calibri"/>
                <w:b/>
                <w:color w:val="000000"/>
                <w:sz w:val="21"/>
              </w:rPr>
              <w:t>οχρεώσεων</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4A7922F"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3BA004F1" w14:textId="77777777" w:rsidR="001F4DA1" w:rsidRDefault="001F4DA1">
            <w:pPr>
              <w:keepNext/>
              <w:spacing w:before="48" w:after="30"/>
              <w:jc w:val="right"/>
            </w:pPr>
            <w:r>
              <w:rPr>
                <w:rFonts w:ascii="Calibri" w:eastAsia="Calibri" w:hAnsi="Calibri" w:cs="Calibri"/>
                <w:b/>
                <w:color w:val="000000"/>
                <w:sz w:val="21"/>
              </w:rPr>
              <w:t>835.295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4EA72A9"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313D8075" w14:textId="77777777" w:rsidR="001F4DA1" w:rsidRDefault="001F4DA1">
            <w:pPr>
              <w:keepNext/>
              <w:spacing w:before="48" w:after="30"/>
              <w:jc w:val="right"/>
            </w:pPr>
            <w:r>
              <w:rPr>
                <w:rFonts w:ascii="Calibri" w:eastAsia="Calibri" w:hAnsi="Calibri" w:cs="Calibri"/>
                <w:b/>
                <w:color w:val="000000"/>
                <w:sz w:val="21"/>
              </w:rPr>
              <w:t>920.532</w:t>
            </w:r>
          </w:p>
        </w:tc>
      </w:tr>
      <w:tr w:rsidR="001F4DA1" w14:paraId="6B522A98"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05FDD83A"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65CD221"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61F62A81"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BC99412"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F423E05" w14:textId="77777777" w:rsidR="001F4DA1" w:rsidRDefault="001F4DA1">
            <w:pPr>
              <w:keepNext/>
            </w:pPr>
          </w:p>
        </w:tc>
      </w:tr>
      <w:tr w:rsidR="001F4DA1" w14:paraId="64B11612" w14:textId="77777777">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4A38EED2" w14:textId="77777777" w:rsidR="001F4DA1" w:rsidRPr="001F4DA1" w:rsidRDefault="001F4DA1">
            <w:pPr>
              <w:keepNext/>
              <w:spacing w:before="48" w:after="30" w:line="210" w:lineRule="exact"/>
              <w:rPr>
                <w:lang w:val="el-GR"/>
              </w:rPr>
            </w:pPr>
            <w:r w:rsidRPr="001F4DA1">
              <w:rPr>
                <w:rFonts w:ascii="Calibri" w:eastAsia="Calibri" w:hAnsi="Calibri" w:cs="Calibri"/>
                <w:color w:val="000000"/>
                <w:sz w:val="21"/>
                <w:lang w:val="el-GR"/>
              </w:rPr>
              <w:t>Βραχυπρόθεσμες δανειακές υποχρεώσεις και υποχρεώσεις μισθώσεων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52ED3D2" w14:textId="77777777" w:rsidR="001F4DA1" w:rsidRPr="001F4DA1" w:rsidRDefault="001F4DA1">
            <w:pPr>
              <w:keepNext/>
              <w:rPr>
                <w:lang w:val="el-GR"/>
              </w:rPr>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080D77C" w14:textId="77777777" w:rsidR="001F4DA1" w:rsidRDefault="001F4DA1">
            <w:pPr>
              <w:keepNext/>
              <w:spacing w:before="48" w:after="30"/>
              <w:jc w:val="right"/>
            </w:pPr>
            <w:r>
              <w:rPr>
                <w:rFonts w:ascii="Calibri" w:eastAsia="Calibri" w:hAnsi="Calibri" w:cs="Calibri"/>
                <w:color w:val="000000"/>
                <w:sz w:val="21"/>
              </w:rPr>
              <w:t>115.231</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9D792BB"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E24CBF3" w14:textId="77777777" w:rsidR="001F4DA1" w:rsidRDefault="001F4DA1">
            <w:pPr>
              <w:keepNext/>
              <w:spacing w:before="48" w:after="30"/>
              <w:jc w:val="right"/>
            </w:pPr>
            <w:r>
              <w:rPr>
                <w:rFonts w:ascii="Calibri" w:eastAsia="Calibri" w:hAnsi="Calibri" w:cs="Calibri"/>
                <w:color w:val="000000"/>
                <w:sz w:val="21"/>
              </w:rPr>
              <w:t>83.135</w:t>
            </w:r>
          </w:p>
        </w:tc>
      </w:tr>
      <w:tr w:rsidR="001F4DA1" w14:paraId="729BA78C"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78A8A6D9" w14:textId="77777777" w:rsidR="001F4DA1" w:rsidRDefault="001F4DA1">
            <w:pPr>
              <w:keepNext/>
              <w:spacing w:before="48" w:after="30" w:line="210" w:lineRule="exact"/>
            </w:pPr>
            <w:proofErr w:type="spellStart"/>
            <w:r>
              <w:rPr>
                <w:rFonts w:ascii="Calibri" w:eastAsia="Calibri" w:hAnsi="Calibri" w:cs="Calibri"/>
                <w:color w:val="000000"/>
                <w:sz w:val="21"/>
              </w:rPr>
              <w:t>Λοι</w:t>
            </w:r>
            <w:proofErr w:type="spellEnd"/>
            <w:r>
              <w:rPr>
                <w:rFonts w:ascii="Calibri" w:eastAsia="Calibri" w:hAnsi="Calibri" w:cs="Calibri"/>
                <w:color w:val="000000"/>
                <w:sz w:val="21"/>
              </w:rPr>
              <w:t>πές βρα</w:t>
            </w:r>
            <w:proofErr w:type="spellStart"/>
            <w:r>
              <w:rPr>
                <w:rFonts w:ascii="Calibri" w:eastAsia="Calibri" w:hAnsi="Calibri" w:cs="Calibri"/>
                <w:color w:val="000000"/>
                <w:sz w:val="21"/>
              </w:rPr>
              <w:t>χυ</w:t>
            </w:r>
            <w:proofErr w:type="spellEnd"/>
            <w:r>
              <w:rPr>
                <w:rFonts w:ascii="Calibri" w:eastAsia="Calibri" w:hAnsi="Calibri" w:cs="Calibri"/>
                <w:color w:val="000000"/>
                <w:sz w:val="21"/>
              </w:rPr>
              <w:t>πρόθεσμες υπ</w:t>
            </w:r>
            <w:proofErr w:type="spellStart"/>
            <w:r>
              <w:rPr>
                <w:rFonts w:ascii="Calibri" w:eastAsia="Calibri" w:hAnsi="Calibri" w:cs="Calibri"/>
                <w:color w:val="000000"/>
                <w:sz w:val="21"/>
              </w:rPr>
              <w:t>οχρεώσεις</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915CBC3"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436FEA3" w14:textId="77777777" w:rsidR="001F4DA1" w:rsidRDefault="001F4DA1">
            <w:pPr>
              <w:keepNext/>
              <w:spacing w:before="48" w:after="30"/>
              <w:jc w:val="right"/>
            </w:pPr>
            <w:r>
              <w:rPr>
                <w:rFonts w:ascii="Calibri" w:eastAsia="Calibri" w:hAnsi="Calibri" w:cs="Calibri"/>
                <w:color w:val="000000"/>
                <w:sz w:val="21"/>
              </w:rPr>
              <w:t>417.011</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CD3845C"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3989B2C3" w14:textId="77777777" w:rsidR="001F4DA1" w:rsidRDefault="001F4DA1">
            <w:pPr>
              <w:keepNext/>
              <w:spacing w:before="48" w:after="30"/>
              <w:jc w:val="right"/>
            </w:pPr>
            <w:r>
              <w:rPr>
                <w:rFonts w:ascii="Calibri" w:eastAsia="Calibri" w:hAnsi="Calibri" w:cs="Calibri"/>
                <w:color w:val="000000"/>
                <w:sz w:val="21"/>
              </w:rPr>
              <w:t>454.397</w:t>
            </w:r>
          </w:p>
        </w:tc>
      </w:tr>
      <w:tr w:rsidR="001F4DA1" w14:paraId="5C6CFD76"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5877955A" w14:textId="77777777" w:rsidR="001F4DA1" w:rsidRDefault="001F4DA1">
            <w:pPr>
              <w:keepNext/>
              <w:spacing w:before="48" w:after="30" w:line="210" w:lineRule="exact"/>
            </w:pPr>
            <w:proofErr w:type="spellStart"/>
            <w:r>
              <w:rPr>
                <w:rFonts w:ascii="Calibri" w:eastAsia="Calibri" w:hAnsi="Calibri" w:cs="Calibri"/>
                <w:b/>
                <w:color w:val="000000"/>
                <w:sz w:val="21"/>
              </w:rPr>
              <w:t>Σύνολο</w:t>
            </w:r>
            <w:proofErr w:type="spellEnd"/>
            <w:r>
              <w:rPr>
                <w:rFonts w:ascii="Calibri" w:eastAsia="Calibri" w:hAnsi="Calibri" w:cs="Calibri"/>
                <w:b/>
                <w:color w:val="000000"/>
                <w:sz w:val="21"/>
              </w:rPr>
              <w:t xml:space="preserve"> βρα</w:t>
            </w:r>
            <w:proofErr w:type="spellStart"/>
            <w:r>
              <w:rPr>
                <w:rFonts w:ascii="Calibri" w:eastAsia="Calibri" w:hAnsi="Calibri" w:cs="Calibri"/>
                <w:b/>
                <w:color w:val="000000"/>
                <w:sz w:val="21"/>
              </w:rPr>
              <w:t>χυ</w:t>
            </w:r>
            <w:proofErr w:type="spellEnd"/>
            <w:r>
              <w:rPr>
                <w:rFonts w:ascii="Calibri" w:eastAsia="Calibri" w:hAnsi="Calibri" w:cs="Calibri"/>
                <w:b/>
                <w:color w:val="000000"/>
                <w:sz w:val="21"/>
              </w:rPr>
              <w:t>προθέσμων υπ</w:t>
            </w:r>
            <w:proofErr w:type="spellStart"/>
            <w:r>
              <w:rPr>
                <w:rFonts w:ascii="Calibri" w:eastAsia="Calibri" w:hAnsi="Calibri" w:cs="Calibri"/>
                <w:b/>
                <w:color w:val="000000"/>
                <w:sz w:val="21"/>
              </w:rPr>
              <w:t>οχρεώσεων</w:t>
            </w:r>
            <w:proofErr w:type="spellEnd"/>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EA98252"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7F981D1" w14:textId="77777777" w:rsidR="001F4DA1" w:rsidRDefault="001F4DA1">
            <w:pPr>
              <w:keepNext/>
              <w:spacing w:before="48" w:after="30"/>
              <w:jc w:val="right"/>
            </w:pPr>
            <w:r>
              <w:rPr>
                <w:rFonts w:ascii="Calibri" w:eastAsia="Calibri" w:hAnsi="Calibri" w:cs="Calibri"/>
                <w:b/>
                <w:color w:val="000000"/>
                <w:sz w:val="21"/>
              </w:rPr>
              <w:t>532.242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9F61CD8"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01BD7638" w14:textId="77777777" w:rsidR="001F4DA1" w:rsidRDefault="001F4DA1">
            <w:pPr>
              <w:keepNext/>
              <w:spacing w:before="48" w:after="30"/>
              <w:jc w:val="right"/>
            </w:pPr>
            <w:r>
              <w:rPr>
                <w:rFonts w:ascii="Calibri" w:eastAsia="Calibri" w:hAnsi="Calibri" w:cs="Calibri"/>
                <w:b/>
                <w:color w:val="000000"/>
                <w:sz w:val="21"/>
              </w:rPr>
              <w:t>537.532</w:t>
            </w:r>
          </w:p>
        </w:tc>
      </w:tr>
      <w:tr w:rsidR="001F4DA1" w14:paraId="45727FCA"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5C447DC5"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A99E09B"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0C4A85AF"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1F74937"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26C09720" w14:textId="77777777" w:rsidR="001F4DA1" w:rsidRDefault="001F4DA1">
            <w:pPr>
              <w:keepNext/>
            </w:pPr>
          </w:p>
        </w:tc>
      </w:tr>
      <w:tr w:rsidR="001F4DA1" w14:paraId="3A804238"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549D4811" w14:textId="77777777" w:rsidR="001F4DA1" w:rsidRDefault="001F4DA1">
            <w:pPr>
              <w:keepNext/>
              <w:spacing w:before="48" w:after="30" w:line="210" w:lineRule="exact"/>
            </w:pPr>
            <w:proofErr w:type="spellStart"/>
            <w:r>
              <w:rPr>
                <w:rFonts w:ascii="Calibri" w:eastAsia="Calibri" w:hAnsi="Calibri" w:cs="Calibri"/>
                <w:b/>
                <w:color w:val="000000"/>
                <w:sz w:val="21"/>
              </w:rPr>
              <w:t>Σύνολο</w:t>
            </w:r>
            <w:proofErr w:type="spellEnd"/>
            <w:r>
              <w:rPr>
                <w:rFonts w:ascii="Calibri" w:eastAsia="Calibri" w:hAnsi="Calibri" w:cs="Calibri"/>
                <w:b/>
                <w:color w:val="000000"/>
                <w:sz w:val="21"/>
              </w:rPr>
              <w:t xml:space="preserve"> υπ</w:t>
            </w:r>
            <w:proofErr w:type="spellStart"/>
            <w:r>
              <w:rPr>
                <w:rFonts w:ascii="Calibri" w:eastAsia="Calibri" w:hAnsi="Calibri" w:cs="Calibri"/>
                <w:b/>
                <w:color w:val="000000"/>
                <w:sz w:val="21"/>
              </w:rPr>
              <w:t>οχρεώσεων</w:t>
            </w:r>
            <w:proofErr w:type="spellEnd"/>
            <w:r>
              <w:rPr>
                <w:rFonts w:ascii="Calibri" w:eastAsia="Calibri" w:hAnsi="Calibri" w:cs="Calibri"/>
                <w:b/>
                <w:color w:val="000000"/>
                <w:sz w:val="21"/>
              </w:rPr>
              <w:t xml:space="preserve"> (β)</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0E28C4B"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E2CE419" w14:textId="77777777" w:rsidR="001F4DA1" w:rsidRDefault="001F4DA1">
            <w:pPr>
              <w:keepNext/>
              <w:spacing w:before="48" w:after="30"/>
              <w:jc w:val="right"/>
            </w:pPr>
            <w:r>
              <w:rPr>
                <w:rFonts w:ascii="Calibri" w:eastAsia="Calibri" w:hAnsi="Calibri" w:cs="Calibri"/>
                <w:b/>
                <w:color w:val="000000"/>
                <w:sz w:val="21"/>
              </w:rPr>
              <w:t>1.367.537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B377E88"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3AFDED2A" w14:textId="77777777" w:rsidR="001F4DA1" w:rsidRDefault="001F4DA1">
            <w:pPr>
              <w:keepNext/>
              <w:spacing w:before="48" w:after="30"/>
              <w:jc w:val="right"/>
            </w:pPr>
            <w:r>
              <w:rPr>
                <w:rFonts w:ascii="Calibri" w:eastAsia="Calibri" w:hAnsi="Calibri" w:cs="Calibri"/>
                <w:b/>
                <w:color w:val="000000"/>
                <w:sz w:val="21"/>
              </w:rPr>
              <w:t>1.458.064</w:t>
            </w:r>
          </w:p>
        </w:tc>
      </w:tr>
      <w:tr w:rsidR="001F4DA1" w14:paraId="23861B13" w14:textId="77777777">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65792FA4"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525837C"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B32353E" w14:textId="77777777" w:rsidR="001F4DA1" w:rsidRDefault="001F4DA1">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031557B" w14:textId="77777777" w:rsidR="001F4DA1" w:rsidRDefault="001F4DA1">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4FA90DE0" w14:textId="77777777" w:rsidR="001F4DA1" w:rsidRDefault="001F4DA1">
            <w:pPr>
              <w:keepNext/>
            </w:pPr>
          </w:p>
        </w:tc>
      </w:tr>
      <w:tr w:rsidR="001F4DA1" w14:paraId="2154FEFA" w14:textId="77777777">
        <w:trPr>
          <w:cantSplit/>
          <w:trHeight w:hRule="exact" w:val="300"/>
        </w:trPr>
        <w:tc>
          <w:tcPr>
            <w:tcW w:w="5685" w:type="dxa"/>
            <w:tcBorders>
              <w:top w:val="single" w:sz="2" w:space="0" w:color="000000"/>
              <w:left w:val="nil"/>
              <w:bottom w:val="single" w:sz="8" w:space="0" w:color="4F81BD"/>
              <w:right w:val="nil"/>
            </w:tcBorders>
            <w:shd w:val="clear" w:color="auto" w:fill="FFFFFF"/>
            <w:tcMar>
              <w:top w:w="0" w:type="dxa"/>
              <w:left w:w="53" w:type="dxa"/>
              <w:bottom w:w="0" w:type="dxa"/>
              <w:right w:w="53" w:type="dxa"/>
            </w:tcMar>
            <w:vAlign w:val="bottom"/>
          </w:tcPr>
          <w:p w14:paraId="6AC9736E" w14:textId="77777777" w:rsidR="001F4DA1" w:rsidRPr="001F4DA1" w:rsidRDefault="001F4DA1">
            <w:pPr>
              <w:spacing w:before="48" w:after="30" w:line="210" w:lineRule="exact"/>
              <w:rPr>
                <w:lang w:val="el-GR"/>
              </w:rPr>
            </w:pPr>
            <w:r w:rsidRPr="001F4DA1">
              <w:rPr>
                <w:rFonts w:ascii="Calibri" w:eastAsia="Calibri" w:hAnsi="Calibri" w:cs="Calibri"/>
                <w:b/>
                <w:color w:val="000000"/>
                <w:sz w:val="21"/>
                <w:lang w:val="el-GR"/>
              </w:rPr>
              <w:t>Σύνολο Ιδίων Κεφαλαίων και Υποχρεώσεων (α)+(β)</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D5E2065" w14:textId="77777777" w:rsidR="001F4DA1" w:rsidRPr="001F4DA1" w:rsidRDefault="001F4DA1">
            <w:pPr>
              <w:rPr>
                <w:lang w:val="el-GR"/>
              </w:rPr>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2F0DB003" w14:textId="77777777" w:rsidR="001F4DA1" w:rsidRDefault="001F4DA1">
            <w:pPr>
              <w:spacing w:before="48" w:after="30"/>
              <w:jc w:val="right"/>
            </w:pPr>
            <w:r>
              <w:rPr>
                <w:rFonts w:ascii="Calibri" w:eastAsia="Calibri" w:hAnsi="Calibri" w:cs="Calibri"/>
                <w:b/>
                <w:color w:val="000000"/>
                <w:sz w:val="21"/>
              </w:rPr>
              <w:t>3.397.847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B263D74" w14:textId="77777777" w:rsidR="001F4DA1" w:rsidRDefault="001F4DA1"/>
        </w:tc>
        <w:tc>
          <w:tcPr>
            <w:tcW w:w="1560" w:type="dxa"/>
            <w:tcBorders>
              <w:top w:val="single" w:sz="2" w:space="0" w:color="000000"/>
              <w:left w:val="nil"/>
              <w:bottom w:val="single" w:sz="8" w:space="0" w:color="4F81BD"/>
              <w:right w:val="nil"/>
            </w:tcBorders>
            <w:shd w:val="clear" w:color="auto" w:fill="FFFFFF"/>
            <w:tcMar>
              <w:top w:w="0" w:type="dxa"/>
              <w:left w:w="0" w:type="dxa"/>
              <w:bottom w:w="0" w:type="dxa"/>
              <w:right w:w="53" w:type="dxa"/>
            </w:tcMar>
            <w:vAlign w:val="bottom"/>
          </w:tcPr>
          <w:p w14:paraId="4510673A" w14:textId="77777777" w:rsidR="001F4DA1" w:rsidRDefault="001F4DA1">
            <w:pPr>
              <w:spacing w:before="48" w:after="30"/>
              <w:jc w:val="right"/>
            </w:pPr>
            <w:r>
              <w:rPr>
                <w:rFonts w:ascii="Calibri" w:eastAsia="Calibri" w:hAnsi="Calibri" w:cs="Calibri"/>
                <w:b/>
                <w:color w:val="000000"/>
                <w:sz w:val="21"/>
              </w:rPr>
              <w:t>3.282.577</w:t>
            </w:r>
          </w:p>
        </w:tc>
      </w:tr>
    </w:tbl>
    <w:p w14:paraId="54C68DAB" w14:textId="77777777" w:rsidR="001F4DA1" w:rsidRDefault="001F4DA1" w:rsidP="001F4DA1">
      <w:pPr>
        <w:spacing w:line="288" w:lineRule="auto"/>
        <w:rPr>
          <w:rFonts w:ascii="Arial" w:eastAsia="Arial" w:hAnsi="Arial" w:cs="Arial"/>
        </w:rPr>
      </w:pPr>
    </w:p>
    <w:p w14:paraId="6035B295" w14:textId="77777777" w:rsidR="001F4DA1" w:rsidRDefault="001F4DA1" w:rsidP="001F4DA1">
      <w:pPr>
        <w:spacing w:line="288" w:lineRule="auto"/>
        <w:rPr>
          <w:rFonts w:ascii="Arial" w:eastAsia="Arial" w:hAnsi="Arial" w:cs="Arial"/>
        </w:rPr>
      </w:pPr>
    </w:p>
    <w:p w14:paraId="34C541CA" w14:textId="77777777" w:rsidR="001F4DA1" w:rsidRDefault="001F4DA1" w:rsidP="00F06BBE">
      <w:pPr>
        <w:pStyle w:val="NoSpacing"/>
        <w:jc w:val="both"/>
        <w:rPr>
          <w:rFonts w:ascii="Calibri" w:eastAsia="Calibri" w:hAnsi="Calibri" w:cs="Calibri"/>
          <w:color w:val="00AAD6"/>
          <w:lang w:val="el-GR"/>
        </w:rPr>
      </w:pPr>
    </w:p>
    <w:p w14:paraId="7F92D189" w14:textId="77777777" w:rsidR="00B9016C" w:rsidRDefault="00B9016C" w:rsidP="00F06BBE">
      <w:pPr>
        <w:pStyle w:val="NoSpacing"/>
        <w:jc w:val="both"/>
        <w:rPr>
          <w:rFonts w:ascii="Calibri" w:eastAsia="Calibri" w:hAnsi="Calibri" w:cs="Calibri"/>
          <w:color w:val="00AAD6"/>
          <w:lang w:val="el-GR"/>
        </w:rPr>
      </w:pPr>
    </w:p>
    <w:p w14:paraId="2CD6A593" w14:textId="77777777" w:rsidR="00B9016C" w:rsidRDefault="00B9016C" w:rsidP="00F06BBE">
      <w:pPr>
        <w:pStyle w:val="NoSpacing"/>
        <w:jc w:val="both"/>
        <w:rPr>
          <w:rFonts w:ascii="Calibri" w:eastAsia="Calibri" w:hAnsi="Calibri" w:cs="Calibri"/>
          <w:color w:val="00AAD6"/>
          <w:lang w:val="el-GR"/>
        </w:rPr>
      </w:pPr>
    </w:p>
    <w:p w14:paraId="43D5EBDE" w14:textId="77777777" w:rsidR="00B9016C" w:rsidRPr="001F4DA1" w:rsidRDefault="00B9016C" w:rsidP="00F06BBE">
      <w:pPr>
        <w:pStyle w:val="NoSpacing"/>
        <w:jc w:val="both"/>
        <w:rPr>
          <w:rFonts w:ascii="Calibri Light" w:hAnsi="Calibri Light" w:cs="Arial"/>
          <w:color w:val="21286C"/>
          <w:sz w:val="21"/>
          <w:szCs w:val="20"/>
          <w:lang w:val="el-GR"/>
        </w:rPr>
      </w:pPr>
    </w:p>
    <w:p w14:paraId="21690BF9" w14:textId="1A55D1F7" w:rsidR="00FA3B60" w:rsidRPr="00B351B0" w:rsidRDefault="00562057" w:rsidP="00F06BBE">
      <w:pPr>
        <w:pStyle w:val="NoSpacing"/>
        <w:jc w:val="both"/>
        <w:rPr>
          <w:rFonts w:ascii="Calibri Light" w:hAnsi="Calibri Light" w:cs="Arial"/>
          <w:color w:val="21286C"/>
          <w:sz w:val="21"/>
          <w:szCs w:val="20"/>
          <w:lang w:val="el-GR"/>
        </w:rPr>
      </w:pPr>
      <w:r>
        <w:rPr>
          <w:rFonts w:ascii="Calibri Light" w:hAnsi="Calibri Light" w:cs="Arial"/>
          <w:color w:val="21286C"/>
          <w:sz w:val="21"/>
          <w:szCs w:val="20"/>
          <w:lang w:val="en-US"/>
        </w:rPr>
        <w:br/>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65"/>
        <w:gridCol w:w="3660"/>
        <w:gridCol w:w="165"/>
        <w:gridCol w:w="2865"/>
      </w:tblGrid>
      <w:tr w:rsidR="00562057" w14:paraId="785591B2" w14:textId="77777777">
        <w:trPr>
          <w:cantSplit/>
          <w:trHeight w:hRule="exact" w:val="525"/>
        </w:trPr>
        <w:tc>
          <w:tcPr>
            <w:tcW w:w="9000" w:type="dxa"/>
            <w:gridSpan w:val="5"/>
            <w:tcBorders>
              <w:top w:val="nil"/>
              <w:left w:val="nil"/>
              <w:bottom w:val="single" w:sz="8" w:space="0" w:color="000000"/>
              <w:right w:val="nil"/>
            </w:tcBorders>
            <w:shd w:val="clear" w:color="auto" w:fill="FFFFFF"/>
            <w:tcMar>
              <w:top w:w="0" w:type="dxa"/>
              <w:left w:w="53" w:type="dxa"/>
              <w:bottom w:w="0" w:type="dxa"/>
              <w:right w:w="53" w:type="dxa"/>
            </w:tcMar>
            <w:vAlign w:val="bottom"/>
          </w:tcPr>
          <w:p w14:paraId="322CB62C" w14:textId="77777777" w:rsidR="00562057" w:rsidRDefault="00562057">
            <w:pPr>
              <w:keepNext/>
              <w:spacing w:before="53" w:after="30" w:line="280" w:lineRule="exact"/>
            </w:pPr>
            <w:r w:rsidRPr="00562057">
              <w:rPr>
                <w:rFonts w:ascii="Calibri" w:eastAsia="Calibri" w:hAnsi="Calibri" w:cs="Calibri"/>
                <w:b/>
                <w:color w:val="00183D"/>
                <w:sz w:val="28"/>
                <w:lang w:val="el-GR"/>
              </w:rPr>
              <w:lastRenderedPageBreak/>
              <w:t>Γενικοί Ορισμοί</w:t>
            </w:r>
          </w:p>
        </w:tc>
      </w:tr>
      <w:tr w:rsidR="00562057" w14:paraId="59501F15" w14:textId="77777777">
        <w:trPr>
          <w:cantSplit/>
          <w:trHeight w:hRule="exact" w:val="525"/>
        </w:trPr>
        <w:tc>
          <w:tcPr>
            <w:tcW w:w="2145" w:type="dxa"/>
            <w:tcBorders>
              <w:top w:val="nil"/>
              <w:left w:val="nil"/>
              <w:bottom w:val="single" w:sz="4" w:space="0" w:color="026DCE"/>
              <w:right w:val="nil"/>
            </w:tcBorders>
            <w:shd w:val="clear" w:color="auto" w:fill="FFFFFF"/>
            <w:tcMar>
              <w:top w:w="0" w:type="dxa"/>
              <w:left w:w="53" w:type="dxa"/>
              <w:bottom w:w="0" w:type="dxa"/>
              <w:right w:w="53" w:type="dxa"/>
            </w:tcMar>
            <w:vAlign w:val="bottom"/>
          </w:tcPr>
          <w:p w14:paraId="05C34018" w14:textId="77777777" w:rsidR="00562057" w:rsidRDefault="00562057">
            <w:pPr>
              <w:keepNext/>
              <w:spacing w:before="33" w:after="30" w:line="210" w:lineRule="exact"/>
            </w:pPr>
            <w:proofErr w:type="spellStart"/>
            <w:r>
              <w:rPr>
                <w:rFonts w:ascii="Calibri" w:eastAsia="Calibri" w:hAnsi="Calibri" w:cs="Calibri"/>
                <w:b/>
                <w:color w:val="4F81BD"/>
                <w:sz w:val="21"/>
              </w:rPr>
              <w:t>Δείκτης</w:t>
            </w:r>
            <w:proofErr w:type="spellEnd"/>
          </w:p>
        </w:tc>
        <w:tc>
          <w:tcPr>
            <w:tcW w:w="1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E7E97E2" w14:textId="77777777" w:rsidR="00562057" w:rsidRDefault="00562057">
            <w:pPr>
              <w:keepNext/>
            </w:pPr>
          </w:p>
        </w:tc>
        <w:tc>
          <w:tcPr>
            <w:tcW w:w="3660" w:type="dxa"/>
            <w:tcBorders>
              <w:top w:val="single" w:sz="8" w:space="0" w:color="000000"/>
              <w:left w:val="nil"/>
              <w:bottom w:val="single" w:sz="4" w:space="0" w:color="026DCE"/>
              <w:right w:val="nil"/>
            </w:tcBorders>
            <w:shd w:val="clear" w:color="auto" w:fill="FFFFFF"/>
            <w:tcMar>
              <w:top w:w="0" w:type="dxa"/>
              <w:left w:w="53" w:type="dxa"/>
              <w:bottom w:w="0" w:type="dxa"/>
              <w:right w:w="53" w:type="dxa"/>
            </w:tcMar>
            <w:vAlign w:val="bottom"/>
          </w:tcPr>
          <w:p w14:paraId="499597A9" w14:textId="77777777" w:rsidR="00562057" w:rsidRDefault="00562057">
            <w:pPr>
              <w:keepNext/>
              <w:spacing w:before="33" w:after="30" w:line="210" w:lineRule="exact"/>
            </w:pPr>
            <w:proofErr w:type="spellStart"/>
            <w:r>
              <w:rPr>
                <w:rFonts w:ascii="Calibri" w:eastAsia="Calibri" w:hAnsi="Calibri" w:cs="Calibri"/>
                <w:b/>
                <w:color w:val="4F81BD"/>
                <w:sz w:val="21"/>
              </w:rPr>
              <w:t>Ορισμός</w:t>
            </w:r>
            <w:proofErr w:type="spellEnd"/>
          </w:p>
        </w:tc>
        <w:tc>
          <w:tcPr>
            <w:tcW w:w="1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AE81114" w14:textId="77777777" w:rsidR="00562057" w:rsidRDefault="00562057">
            <w:pPr>
              <w:keepNext/>
            </w:pPr>
          </w:p>
        </w:tc>
        <w:tc>
          <w:tcPr>
            <w:tcW w:w="2865" w:type="dxa"/>
            <w:tcBorders>
              <w:top w:val="single" w:sz="8" w:space="0" w:color="000000"/>
              <w:left w:val="nil"/>
              <w:bottom w:val="single" w:sz="4" w:space="0" w:color="026DCE"/>
              <w:right w:val="nil"/>
            </w:tcBorders>
            <w:shd w:val="clear" w:color="auto" w:fill="FFFFFF"/>
            <w:tcMar>
              <w:top w:w="0" w:type="dxa"/>
              <w:left w:w="53" w:type="dxa"/>
              <w:bottom w:w="0" w:type="dxa"/>
              <w:right w:w="53" w:type="dxa"/>
            </w:tcMar>
            <w:vAlign w:val="bottom"/>
          </w:tcPr>
          <w:p w14:paraId="03E3E836" w14:textId="77777777" w:rsidR="00562057" w:rsidRDefault="00562057">
            <w:pPr>
              <w:keepNext/>
              <w:spacing w:before="33" w:after="30" w:line="210" w:lineRule="exact"/>
            </w:pPr>
            <w:proofErr w:type="spellStart"/>
            <w:r>
              <w:rPr>
                <w:rFonts w:ascii="Calibri" w:eastAsia="Calibri" w:hAnsi="Calibri" w:cs="Calibri"/>
                <w:b/>
                <w:color w:val="4F81BD"/>
                <w:sz w:val="21"/>
              </w:rPr>
              <w:t>Σκο</w:t>
            </w:r>
            <w:proofErr w:type="spellEnd"/>
            <w:r>
              <w:rPr>
                <w:rFonts w:ascii="Calibri" w:eastAsia="Calibri" w:hAnsi="Calibri" w:cs="Calibri"/>
                <w:b/>
                <w:color w:val="4F81BD"/>
                <w:sz w:val="21"/>
              </w:rPr>
              <w:t>πός</w:t>
            </w:r>
          </w:p>
        </w:tc>
      </w:tr>
      <w:tr w:rsidR="00562057" w14:paraId="6FE4CE81" w14:textId="77777777">
        <w:trPr>
          <w:cantSplit/>
          <w:trHeight w:hRule="exact" w:val="315"/>
        </w:trPr>
        <w:tc>
          <w:tcPr>
            <w:tcW w:w="2145" w:type="dxa"/>
            <w:tcBorders>
              <w:top w:val="single" w:sz="4" w:space="0" w:color="026DCE"/>
              <w:left w:val="nil"/>
              <w:bottom w:val="single" w:sz="2" w:space="0" w:color="000000"/>
              <w:right w:val="nil"/>
            </w:tcBorders>
            <w:shd w:val="clear" w:color="auto" w:fill="FFFFFF"/>
            <w:tcMar>
              <w:top w:w="0" w:type="dxa"/>
              <w:left w:w="0" w:type="dxa"/>
              <w:bottom w:w="0" w:type="dxa"/>
              <w:right w:w="0" w:type="dxa"/>
            </w:tcMar>
            <w:vAlign w:val="bottom"/>
          </w:tcPr>
          <w:p w14:paraId="71C53CB2" w14:textId="77777777" w:rsidR="00562057" w:rsidRDefault="00562057">
            <w:pPr>
              <w:keepNex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6B67139" w14:textId="77777777" w:rsidR="00562057" w:rsidRDefault="00562057">
            <w:pPr>
              <w:keepNext/>
            </w:pPr>
          </w:p>
        </w:tc>
        <w:tc>
          <w:tcPr>
            <w:tcW w:w="3660" w:type="dxa"/>
            <w:tcBorders>
              <w:top w:val="single" w:sz="4" w:space="0" w:color="026DCE"/>
              <w:left w:val="nil"/>
              <w:bottom w:val="single" w:sz="2" w:space="0" w:color="000000"/>
              <w:right w:val="nil"/>
            </w:tcBorders>
            <w:shd w:val="clear" w:color="auto" w:fill="FFFFFF"/>
            <w:tcMar>
              <w:top w:w="0" w:type="dxa"/>
              <w:left w:w="0" w:type="dxa"/>
              <w:bottom w:w="0" w:type="dxa"/>
              <w:right w:w="0" w:type="dxa"/>
            </w:tcMar>
            <w:vAlign w:val="bottom"/>
          </w:tcPr>
          <w:p w14:paraId="10227B97" w14:textId="77777777" w:rsidR="00562057" w:rsidRDefault="00562057">
            <w:pPr>
              <w:keepNex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5EC0834" w14:textId="77777777" w:rsidR="00562057" w:rsidRDefault="00562057">
            <w:pPr>
              <w:keepNext/>
            </w:pPr>
          </w:p>
        </w:tc>
        <w:tc>
          <w:tcPr>
            <w:tcW w:w="2865" w:type="dxa"/>
            <w:tcBorders>
              <w:top w:val="single" w:sz="4" w:space="0" w:color="026DCE"/>
              <w:left w:val="nil"/>
              <w:bottom w:val="single" w:sz="2" w:space="0" w:color="000000"/>
              <w:right w:val="nil"/>
            </w:tcBorders>
            <w:shd w:val="clear" w:color="auto" w:fill="FFFFFF"/>
            <w:tcMar>
              <w:top w:w="0" w:type="dxa"/>
              <w:left w:w="0" w:type="dxa"/>
              <w:bottom w:w="0" w:type="dxa"/>
              <w:right w:w="0" w:type="dxa"/>
            </w:tcMar>
            <w:vAlign w:val="bottom"/>
          </w:tcPr>
          <w:p w14:paraId="1B037D26" w14:textId="77777777" w:rsidR="00562057" w:rsidRDefault="00562057">
            <w:pPr>
              <w:keepNext/>
            </w:pPr>
          </w:p>
        </w:tc>
      </w:tr>
      <w:tr w:rsidR="00562057" w:rsidRPr="000F4B08" w14:paraId="040CC51D" w14:textId="77777777">
        <w:trPr>
          <w:cantSplit/>
          <w:trHeight w:hRule="exact" w:val="1395"/>
        </w:trPr>
        <w:tc>
          <w:tcPr>
            <w:tcW w:w="214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37D31171" w14:textId="77777777" w:rsidR="00562057" w:rsidRDefault="00562057">
            <w:pPr>
              <w:keepNext/>
              <w:spacing w:before="48" w:after="30"/>
            </w:pPr>
            <w:r>
              <w:rPr>
                <w:rFonts w:ascii="Calibri" w:eastAsia="Calibri" w:hAnsi="Calibri" w:cs="Calibri"/>
                <w:color w:val="000000"/>
                <w:sz w:val="20"/>
              </w:rPr>
              <w:t>CapEx</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750E927" w14:textId="77777777" w:rsidR="00562057" w:rsidRDefault="00562057">
            <w:pPr>
              <w:keepNext/>
            </w:pPr>
          </w:p>
        </w:tc>
        <w:tc>
          <w:tcPr>
            <w:tcW w:w="366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360D537C" w14:textId="77777777" w:rsidR="00562057" w:rsidRPr="00BB694F" w:rsidRDefault="00562057">
            <w:pPr>
              <w:keepNext/>
              <w:spacing w:before="48" w:after="30" w:line="210" w:lineRule="exact"/>
              <w:rPr>
                <w:lang w:val="el-GR"/>
              </w:rPr>
            </w:pPr>
            <w:r>
              <w:rPr>
                <w:rFonts w:ascii="Calibri" w:eastAsia="Calibri" w:hAnsi="Calibri" w:cs="Calibri"/>
                <w:color w:val="000000"/>
                <w:sz w:val="21"/>
              </w:rPr>
              <w:t>A</w:t>
            </w:r>
            <w:r w:rsidRPr="00BB694F">
              <w:rPr>
                <w:rFonts w:ascii="Calibri" w:eastAsia="Calibri" w:hAnsi="Calibri" w:cs="Calibri"/>
                <w:color w:val="000000"/>
                <w:sz w:val="21"/>
                <w:lang w:val="el-GR"/>
              </w:rPr>
              <w:t>ποκτήσεις/προσθήκες ασώματων και ενσώματων ακινητοποιήσεων, δικαιωμάτων χρήσης στοιχείων και επενδυτικών παγίων</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8489F7A" w14:textId="77777777" w:rsidR="00562057" w:rsidRPr="00BB694F" w:rsidRDefault="00562057">
            <w:pPr>
              <w:keepNext/>
              <w:rPr>
                <w:lang w:val="el-GR"/>
              </w:rPr>
            </w:pPr>
          </w:p>
        </w:tc>
        <w:tc>
          <w:tcPr>
            <w:tcW w:w="286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551AE695"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Βοηθά τη διοίκηση του Ομίλου στην παρακολούθηση των κεφαλαιουχικών δαπανών</w:t>
            </w:r>
          </w:p>
        </w:tc>
      </w:tr>
      <w:tr w:rsidR="00562057" w:rsidRPr="000F4B08" w14:paraId="5CD88653" w14:textId="77777777">
        <w:trPr>
          <w:cantSplit/>
          <w:trHeight w:hRule="exact" w:val="1680"/>
        </w:trPr>
        <w:tc>
          <w:tcPr>
            <w:tcW w:w="214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78F29AFC" w14:textId="77777777" w:rsidR="00562057" w:rsidRDefault="00562057">
            <w:pPr>
              <w:keepNext/>
              <w:spacing w:before="48" w:after="30"/>
            </w:pPr>
            <w:r>
              <w:rPr>
                <w:rFonts w:ascii="Calibri" w:eastAsia="Calibri" w:hAnsi="Calibri" w:cs="Calibri"/>
                <w:color w:val="000000"/>
                <w:sz w:val="21"/>
              </w:rPr>
              <w:t>EBITDA</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0E30B142" w14:textId="77777777" w:rsidR="00562057" w:rsidRDefault="00562057">
            <w:pPr>
              <w:keepNext/>
            </w:pPr>
          </w:p>
        </w:tc>
        <w:tc>
          <w:tcPr>
            <w:tcW w:w="366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7D0CE041"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Κέρδη προ ζημιών απομείωσης υπεραξίας, καθαρών εξόδων χρηματοοικονομικής λειτουργίας και φόρων πλέον αποσβέσεων και απομειώσεων ασωμάτων και ενσώματων ακινητοποιήσεων και αποσβέσεων κρατικών επιχορηγήσεων</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72040F0D" w14:textId="77777777" w:rsidR="00562057" w:rsidRPr="00562057" w:rsidRDefault="00562057">
            <w:pPr>
              <w:keepNext/>
              <w:rPr>
                <w:lang w:val="el-GR"/>
              </w:rPr>
            </w:pPr>
          </w:p>
        </w:tc>
        <w:tc>
          <w:tcPr>
            <w:tcW w:w="286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20C2663A"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Είναι ένας δείκτης της λειτουργικής κερδοφορίας που επιτρέπει τη σύγκριση των λειτουργικών τομέων με συνέπεια κάθε οικονομική περίοδο</w:t>
            </w:r>
          </w:p>
        </w:tc>
      </w:tr>
      <w:tr w:rsidR="00562057" w:rsidRPr="000F4B08" w14:paraId="0BBCDACB" w14:textId="77777777">
        <w:trPr>
          <w:cantSplit/>
          <w:trHeight w:hRule="exact" w:val="1965"/>
        </w:trPr>
        <w:tc>
          <w:tcPr>
            <w:tcW w:w="214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79A61463" w14:textId="77777777" w:rsidR="00562057" w:rsidRDefault="00562057">
            <w:pPr>
              <w:keepNext/>
              <w:spacing w:before="48" w:after="30" w:line="210" w:lineRule="exact"/>
            </w:pPr>
            <w:r>
              <w:rPr>
                <w:rFonts w:ascii="Calibri" w:eastAsia="Calibri" w:hAnsi="Calibri" w:cs="Calibri"/>
                <w:color w:val="000000"/>
                <w:sz w:val="21"/>
              </w:rPr>
              <w:t>Καθα</w:t>
            </w:r>
            <w:proofErr w:type="spellStart"/>
            <w:r>
              <w:rPr>
                <w:rFonts w:ascii="Calibri" w:eastAsia="Calibri" w:hAnsi="Calibri" w:cs="Calibri"/>
                <w:color w:val="000000"/>
                <w:sz w:val="21"/>
              </w:rPr>
              <w:t>ρός</w:t>
            </w:r>
            <w:proofErr w:type="spellEnd"/>
            <w:r>
              <w:rPr>
                <w:rFonts w:ascii="Calibri" w:eastAsia="Calibri" w:hAnsi="Calibri" w:cs="Calibri"/>
                <w:color w:val="000000"/>
                <w:sz w:val="21"/>
              </w:rPr>
              <w:t xml:space="preserve"> δα</w:t>
            </w:r>
            <w:proofErr w:type="spellStart"/>
            <w:r>
              <w:rPr>
                <w:rFonts w:ascii="Calibri" w:eastAsia="Calibri" w:hAnsi="Calibri" w:cs="Calibri"/>
                <w:color w:val="000000"/>
                <w:sz w:val="21"/>
              </w:rPr>
              <w:t>νεισμός</w:t>
            </w:r>
            <w:proofErr w:type="spellEnd"/>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73690BEE" w14:textId="77777777" w:rsidR="00562057" w:rsidRDefault="00562057">
            <w:pPr>
              <w:keepNext/>
            </w:pPr>
          </w:p>
        </w:tc>
        <w:tc>
          <w:tcPr>
            <w:tcW w:w="366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1FFB8DF1" w14:textId="7823851A"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Άθροισμα των μακροπρόθεσμων δανείων και υποχρεώσεων από μισθώσεις και των βραχυπρόθεσμων δανείων και υποχρεώσεων από μισθώσεις (συνολικά μικτός δανεισμός), μείον ταμειακά διαθέσιμα και ισοδύναμα και προθεσμιακές καταθέσεις σε τράπεζες</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081205C" w14:textId="77777777" w:rsidR="00562057" w:rsidRPr="00562057" w:rsidRDefault="00562057">
            <w:pPr>
              <w:keepNext/>
              <w:rPr>
                <w:lang w:val="el-GR"/>
              </w:rPr>
            </w:pPr>
          </w:p>
        </w:tc>
        <w:tc>
          <w:tcPr>
            <w:tcW w:w="286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44C319AD"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Βοηθά τη διοίκηση του Ομίλου στην παρακολούθηση του χρέους</w:t>
            </w:r>
          </w:p>
        </w:tc>
      </w:tr>
      <w:tr w:rsidR="00562057" w:rsidRPr="000F4B08" w14:paraId="613A7A94" w14:textId="77777777">
        <w:trPr>
          <w:cantSplit/>
          <w:trHeight w:hRule="exact" w:val="1395"/>
        </w:trPr>
        <w:tc>
          <w:tcPr>
            <w:tcW w:w="214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67224229" w14:textId="77777777" w:rsidR="00562057" w:rsidRDefault="00562057">
            <w:pPr>
              <w:keepNext/>
              <w:spacing w:before="48" w:after="30"/>
            </w:pPr>
            <w:r>
              <w:rPr>
                <w:rFonts w:ascii="Calibri" w:eastAsia="Calibri" w:hAnsi="Calibri" w:cs="Calibri"/>
                <w:color w:val="000000"/>
                <w:sz w:val="21"/>
              </w:rPr>
              <w:t>NPAT</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28510360" w14:textId="77777777" w:rsidR="00562057" w:rsidRDefault="00562057">
            <w:pPr>
              <w:keepNext/>
            </w:pPr>
          </w:p>
        </w:tc>
        <w:tc>
          <w:tcPr>
            <w:tcW w:w="366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46FB439B"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Καθαρά κέρδη μετά από φόρους που αναλογούν στους μετόχους της μητρικής εταιρίας</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05D60F5" w14:textId="77777777" w:rsidR="00562057" w:rsidRPr="00562057" w:rsidRDefault="00562057">
            <w:pPr>
              <w:keepNext/>
              <w:rPr>
                <w:lang w:val="el-GR"/>
              </w:rPr>
            </w:pPr>
          </w:p>
        </w:tc>
        <w:tc>
          <w:tcPr>
            <w:tcW w:w="286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095D7412"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Επιτρέπει τη συνεπή σύγκριση των συνολικών κερδών κάθε οικονομική περίοδο</w:t>
            </w:r>
          </w:p>
        </w:tc>
      </w:tr>
      <w:tr w:rsidR="00562057" w:rsidRPr="000F4B08" w14:paraId="140F22D2" w14:textId="77777777">
        <w:trPr>
          <w:cantSplit/>
          <w:trHeight w:hRule="exact" w:val="2685"/>
        </w:trPr>
        <w:tc>
          <w:tcPr>
            <w:tcW w:w="214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1B7D67C5"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Ελεύθερες ταμειακές ροές λειτουργικών δραστηριοτήτων</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502A88A" w14:textId="77777777" w:rsidR="00562057" w:rsidRPr="00562057" w:rsidRDefault="00562057">
            <w:pPr>
              <w:keepNext/>
              <w:rPr>
                <w:lang w:val="el-GR"/>
              </w:rPr>
            </w:pPr>
          </w:p>
        </w:tc>
        <w:tc>
          <w:tcPr>
            <w:tcW w:w="366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420883E9"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 xml:space="preserve">Καθαρά ταμειακά διαθέσιμα από λειτουργικές δραστηριότητες, συν τόκοι εισπραχθέντες, μείον τόκοι </w:t>
            </w:r>
            <w:proofErr w:type="spellStart"/>
            <w:r w:rsidRPr="00562057">
              <w:rPr>
                <w:rFonts w:ascii="Calibri" w:eastAsia="Calibri" w:hAnsi="Calibri" w:cs="Calibri"/>
                <w:color w:val="000000"/>
                <w:sz w:val="21"/>
                <w:lang w:val="el-GR"/>
              </w:rPr>
              <w:t>πληρωθέντες</w:t>
            </w:r>
            <w:proofErr w:type="spellEnd"/>
            <w:r w:rsidRPr="00562057">
              <w:rPr>
                <w:rFonts w:ascii="Calibri" w:eastAsia="Calibri" w:hAnsi="Calibri" w:cs="Calibri"/>
                <w:color w:val="000000"/>
                <w:sz w:val="21"/>
                <w:lang w:val="el-GR"/>
              </w:rPr>
              <w:t xml:space="preserve"> και λοιπές χρηματοοικονομικές επιβαρύνσεις</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BB949F3" w14:textId="77777777" w:rsidR="00562057" w:rsidRPr="00562057" w:rsidRDefault="00562057">
            <w:pPr>
              <w:keepNext/>
              <w:rPr>
                <w:lang w:val="el-GR"/>
              </w:rPr>
            </w:pPr>
          </w:p>
        </w:tc>
        <w:tc>
          <w:tcPr>
            <w:tcW w:w="286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6E56D3FA" w14:textId="77777777" w:rsidR="00562057" w:rsidRPr="00562057" w:rsidRDefault="00562057">
            <w:pPr>
              <w:keepNext/>
              <w:spacing w:before="48" w:after="30" w:line="210" w:lineRule="exact"/>
              <w:rPr>
                <w:lang w:val="el-GR"/>
              </w:rPr>
            </w:pPr>
            <w:r w:rsidRPr="00562057">
              <w:rPr>
                <w:rFonts w:ascii="Calibri" w:eastAsia="Calibri" w:hAnsi="Calibri" w:cs="Calibri"/>
                <w:color w:val="000000"/>
                <w:sz w:val="21"/>
                <w:lang w:val="el-GR"/>
              </w:rPr>
              <w:t>Μετρά την ικανότητα του Ομίλου να μετατρέπει το κέρδος σε ταμειακά διαθέσιμα μέσω της διαχείρισης των καθαρών ταμειακών ροών από λειτουργικές δραστηριότητες και των καθαρών καταβληθέντων τόκων και λοιπών συναφών χρηματοοικονομικών επιβαρύνσεων.</w:t>
            </w:r>
          </w:p>
        </w:tc>
      </w:tr>
      <w:tr w:rsidR="00562057" w:rsidRPr="000F4B08" w14:paraId="5866239F" w14:textId="77777777">
        <w:trPr>
          <w:cantSplit/>
          <w:trHeight w:hRule="exact" w:val="1965"/>
        </w:trPr>
        <w:tc>
          <w:tcPr>
            <w:tcW w:w="214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23B795A7" w14:textId="77777777" w:rsidR="00562057" w:rsidRPr="00562057" w:rsidRDefault="00562057">
            <w:pPr>
              <w:spacing w:before="48" w:after="30" w:line="210" w:lineRule="exact"/>
              <w:rPr>
                <w:lang w:val="el-GR"/>
              </w:rPr>
            </w:pPr>
            <w:r w:rsidRPr="00562057">
              <w:rPr>
                <w:rFonts w:ascii="Calibri" w:eastAsia="Calibri" w:hAnsi="Calibri" w:cs="Calibri"/>
                <w:color w:val="000000"/>
                <w:sz w:val="21"/>
                <w:lang w:val="el-GR"/>
              </w:rPr>
              <w:t>Κέρδη προ ζημιών απομείωσης υπεραξίας, ζημιών πώλησης θυγατρικής εταιρίας, καθαρών εξόδων χρηματοοικονομικής λειτουργίας και φόρων</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4F4E675" w14:textId="77777777" w:rsidR="00562057" w:rsidRPr="00562057" w:rsidRDefault="00562057">
            <w:pPr>
              <w:rPr>
                <w:lang w:val="el-GR"/>
              </w:rPr>
            </w:pPr>
          </w:p>
        </w:tc>
        <w:tc>
          <w:tcPr>
            <w:tcW w:w="366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5239F896" w14:textId="77777777" w:rsidR="00562057" w:rsidRPr="00562057" w:rsidRDefault="00562057">
            <w:pPr>
              <w:spacing w:before="48" w:after="30" w:line="210" w:lineRule="exact"/>
              <w:rPr>
                <w:lang w:val="el-GR"/>
              </w:rPr>
            </w:pPr>
            <w:r w:rsidRPr="00562057">
              <w:rPr>
                <w:rFonts w:ascii="Calibri" w:eastAsia="Calibri" w:hAnsi="Calibri" w:cs="Calibri"/>
                <w:color w:val="000000"/>
                <w:sz w:val="21"/>
                <w:lang w:val="el-GR"/>
              </w:rPr>
              <w:t>Κέρδη προ φόρων, συμμετοχών στα κέρδη/(ζημιές) συγγενών εταιριών και κοινοπραξιών, καθαρών εξόδων χρηματοοικονομικής λειτουργίας, ζημιών από την πώληση θυγατρικών εταιριών και ζημιών απομείωσης υπεραξίας</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502636B" w14:textId="77777777" w:rsidR="00562057" w:rsidRPr="00562057" w:rsidRDefault="00562057">
            <w:pPr>
              <w:rPr>
                <w:lang w:val="el-GR"/>
              </w:rPr>
            </w:pPr>
          </w:p>
        </w:tc>
        <w:tc>
          <w:tcPr>
            <w:tcW w:w="286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tcPr>
          <w:p w14:paraId="17ACB9F1" w14:textId="77777777" w:rsidR="00562057" w:rsidRPr="00562057" w:rsidRDefault="00562057">
            <w:pPr>
              <w:spacing w:before="48" w:after="30" w:line="210" w:lineRule="exact"/>
              <w:rPr>
                <w:lang w:val="el-GR"/>
              </w:rPr>
            </w:pPr>
            <w:r w:rsidRPr="00562057">
              <w:rPr>
                <w:rFonts w:ascii="Calibri" w:eastAsia="Calibri" w:hAnsi="Calibri" w:cs="Calibri"/>
                <w:color w:val="000000"/>
                <w:sz w:val="21"/>
                <w:lang w:val="el-GR"/>
              </w:rPr>
              <w:t xml:space="preserve">Είναι ένας δείκτης της λειτουργικής κερδοφορίας που επιτρέπει τη σύγκριση των λειτουργικών κερδών με συνέπεια κάθε οικονομική </w:t>
            </w:r>
            <w:proofErr w:type="spellStart"/>
            <w:r w:rsidRPr="00562057">
              <w:rPr>
                <w:rFonts w:ascii="Calibri" w:eastAsia="Calibri" w:hAnsi="Calibri" w:cs="Calibri"/>
                <w:color w:val="000000"/>
                <w:sz w:val="21"/>
                <w:lang w:val="el-GR"/>
              </w:rPr>
              <w:t>περίδο</w:t>
            </w:r>
            <w:proofErr w:type="spellEnd"/>
          </w:p>
        </w:tc>
      </w:tr>
    </w:tbl>
    <w:p w14:paraId="61717921" w14:textId="77777777" w:rsidR="00562057" w:rsidRPr="00562057" w:rsidRDefault="00562057" w:rsidP="00562057">
      <w:pPr>
        <w:spacing w:line="288" w:lineRule="auto"/>
        <w:rPr>
          <w:rFonts w:ascii="Arial" w:eastAsia="Arial" w:hAnsi="Arial" w:cs="Arial"/>
          <w:lang w:val="el-GR"/>
        </w:rPr>
      </w:pPr>
    </w:p>
    <w:p w14:paraId="5940D62E" w14:textId="77777777" w:rsidR="00562057" w:rsidRPr="00562057" w:rsidRDefault="00562057" w:rsidP="00562057">
      <w:pPr>
        <w:spacing w:line="288" w:lineRule="auto"/>
        <w:rPr>
          <w:rFonts w:ascii="Arial" w:eastAsia="Arial" w:hAnsi="Arial" w:cs="Arial"/>
          <w:lang w:val="el-GR"/>
        </w:rPr>
      </w:pPr>
    </w:p>
    <w:p w14:paraId="276591D5" w14:textId="77777777" w:rsidR="00562057" w:rsidRPr="00562057" w:rsidRDefault="00562057" w:rsidP="00562057">
      <w:pPr>
        <w:spacing w:line="288" w:lineRule="auto"/>
        <w:rPr>
          <w:rFonts w:ascii="Arial" w:eastAsia="Arial" w:hAnsi="Arial" w:cs="Arial"/>
          <w:lang w:val="el-GR"/>
        </w:rPr>
      </w:pPr>
    </w:p>
    <w:p w14:paraId="3A9886B2" w14:textId="38A99FD2" w:rsidR="00923F4A" w:rsidRPr="00194F8E" w:rsidRDefault="00194F8E" w:rsidP="00E71F3F">
      <w:pPr>
        <w:pStyle w:val="Copy-bullets"/>
        <w:rPr>
          <w:color w:val="21286C"/>
          <w:lang w:val="el-GR"/>
        </w:rPr>
      </w:pPr>
      <w:r w:rsidRPr="00194F8E">
        <w:rPr>
          <w:color w:val="21286C"/>
          <w:lang w:val="el-GR"/>
        </w:rPr>
        <w:t xml:space="preserve">Το παρόν δελτίο τύπου είναι διαθέσιμο στον διαδικτυακό τόπο της </w:t>
      </w:r>
      <w:r w:rsidRPr="00194F8E">
        <w:rPr>
          <w:color w:val="21286C"/>
        </w:rPr>
        <w:t>Titan</w:t>
      </w:r>
      <w:r w:rsidRPr="00194F8E">
        <w:rPr>
          <w:color w:val="21286C"/>
          <w:lang w:val="el-GR"/>
        </w:rPr>
        <w:t xml:space="preserve"> </w:t>
      </w:r>
      <w:r w:rsidRPr="00194F8E">
        <w:rPr>
          <w:color w:val="21286C"/>
        </w:rPr>
        <w:t>SA</w:t>
      </w:r>
      <w:r w:rsidRPr="00194F8E">
        <w:rPr>
          <w:color w:val="21286C"/>
          <w:lang w:val="el-GR"/>
        </w:rPr>
        <w:t xml:space="preserve"> μέσω του </w:t>
      </w:r>
      <w:hyperlink r:id="rId11" w:history="1">
        <w:r w:rsidR="00FC69B6" w:rsidRPr="00FE10ED">
          <w:rPr>
            <w:rFonts w:ascii="Calibri" w:hAnsi="Calibri" w:cs="Calibri"/>
            <w:color w:val="00AAD6"/>
          </w:rPr>
          <w:t>https</w:t>
        </w:r>
        <w:r w:rsidR="00FC69B6" w:rsidRPr="00FC69B6">
          <w:rPr>
            <w:rFonts w:ascii="Calibri" w:hAnsi="Calibri" w:cs="Calibri"/>
            <w:color w:val="00AAD6"/>
            <w:lang w:val="el-GR"/>
          </w:rPr>
          <w:t>://</w:t>
        </w:r>
        <w:proofErr w:type="spellStart"/>
        <w:r w:rsidR="00FC69B6" w:rsidRPr="00FE10ED">
          <w:rPr>
            <w:rFonts w:ascii="Calibri" w:hAnsi="Calibri" w:cs="Calibri"/>
            <w:color w:val="00AAD6"/>
          </w:rPr>
          <w:t>ir</w:t>
        </w:r>
        <w:proofErr w:type="spellEnd"/>
        <w:r w:rsidR="00FC69B6" w:rsidRPr="00FC69B6">
          <w:rPr>
            <w:rFonts w:ascii="Calibri" w:hAnsi="Calibri" w:cs="Calibri"/>
            <w:color w:val="00AAD6"/>
            <w:lang w:val="el-GR"/>
          </w:rPr>
          <w:t>.</w:t>
        </w:r>
        <w:proofErr w:type="spellStart"/>
        <w:r w:rsidR="00FC69B6" w:rsidRPr="00FE10ED">
          <w:rPr>
            <w:rFonts w:ascii="Calibri" w:hAnsi="Calibri" w:cs="Calibri"/>
            <w:color w:val="00AAD6"/>
          </w:rPr>
          <w:t>titan</w:t>
        </w:r>
        <w:r w:rsidR="00FC69B6">
          <w:rPr>
            <w:rFonts w:ascii="Calibri" w:hAnsi="Calibri" w:cs="Calibri"/>
            <w:color w:val="00AAD6"/>
          </w:rPr>
          <w:t>materials</w:t>
        </w:r>
        <w:proofErr w:type="spellEnd"/>
        <w:r w:rsidR="00FC69B6" w:rsidRPr="00FC69B6">
          <w:rPr>
            <w:rFonts w:ascii="Calibri" w:hAnsi="Calibri" w:cs="Calibri"/>
            <w:color w:val="00AAD6"/>
            <w:lang w:val="el-GR"/>
          </w:rPr>
          <w:t>.</w:t>
        </w:r>
        <w:r w:rsidR="00FC69B6" w:rsidRPr="00FE10ED">
          <w:rPr>
            <w:rFonts w:ascii="Calibri" w:hAnsi="Calibri" w:cs="Calibri"/>
            <w:color w:val="00AAD6"/>
          </w:rPr>
          <w:t>com</w:t>
        </w:r>
      </w:hyperlink>
    </w:p>
    <w:p w14:paraId="206494B9" w14:textId="77777777" w:rsidR="00B27CC6" w:rsidRPr="00B27CC6" w:rsidRDefault="00B27CC6" w:rsidP="00B27CC6">
      <w:pPr>
        <w:pStyle w:val="Copy-bullets"/>
        <w:rPr>
          <w:color w:val="21286C"/>
        </w:rPr>
      </w:pPr>
      <w:r w:rsidRPr="00B27CC6">
        <w:rPr>
          <w:color w:val="21286C"/>
          <w:lang w:val="el-GR"/>
        </w:rPr>
        <w:t xml:space="preserve">Για περισσότερες πληροφορίες επικοινωνήστε με το τμήμα Επενδυτικών Σχέσεων, τηλ. </w:t>
      </w:r>
      <w:r w:rsidRPr="00B27CC6">
        <w:rPr>
          <w:color w:val="21286C"/>
        </w:rPr>
        <w:t>+30 210 2591 257</w:t>
      </w:r>
    </w:p>
    <w:p w14:paraId="746BD5A6" w14:textId="4E1EAB11" w:rsidR="00C66C2C" w:rsidRPr="008F1C20" w:rsidRDefault="009A21E7" w:rsidP="00E71F3F">
      <w:pPr>
        <w:pStyle w:val="Copy-bullets"/>
        <w:rPr>
          <w:i/>
          <w:iCs/>
          <w:color w:val="21286C"/>
          <w:lang w:val="el-GR"/>
        </w:rPr>
      </w:pPr>
      <w:r w:rsidRPr="009A21E7">
        <w:rPr>
          <w:color w:val="21286C"/>
          <w:lang w:val="el-GR"/>
        </w:rPr>
        <w:t xml:space="preserve">Στις 15:00 CET θα λάβει χώρα η ενημέρωση αναλυτών και επενδυτών μέσω τηλεδιάσκεψης: </w:t>
      </w:r>
      <w:r w:rsidR="00AC4DEB" w:rsidRPr="00E602FC">
        <w:rPr>
          <w:rFonts w:ascii="Calibri" w:hAnsi="Calibri" w:cs="Calibri"/>
          <w:color w:val="00AAD6"/>
        </w:rPr>
        <w:t>https</w:t>
      </w:r>
      <w:r w:rsidR="00AC4DEB" w:rsidRPr="00AC4DEB">
        <w:rPr>
          <w:rFonts w:ascii="Calibri" w:hAnsi="Calibri" w:cs="Calibri"/>
          <w:color w:val="00AAD6"/>
          <w:lang w:val="el-GR"/>
        </w:rPr>
        <w:t>://87399.</w:t>
      </w:r>
      <w:proofErr w:type="spellStart"/>
      <w:r w:rsidR="00AC4DEB" w:rsidRPr="00E602FC">
        <w:rPr>
          <w:rFonts w:ascii="Calibri" w:hAnsi="Calibri" w:cs="Calibri"/>
          <w:color w:val="00AAD6"/>
        </w:rPr>
        <w:t>themediaframe</w:t>
      </w:r>
      <w:proofErr w:type="spellEnd"/>
      <w:r w:rsidR="00AC4DEB" w:rsidRPr="00AC4DEB">
        <w:rPr>
          <w:rFonts w:ascii="Calibri" w:hAnsi="Calibri" w:cs="Calibri"/>
          <w:color w:val="00AAD6"/>
          <w:lang w:val="el-GR"/>
        </w:rPr>
        <w:t>.</w:t>
      </w:r>
      <w:proofErr w:type="spellStart"/>
      <w:r w:rsidR="00AC4DEB" w:rsidRPr="00E602FC">
        <w:rPr>
          <w:rFonts w:ascii="Calibri" w:hAnsi="Calibri" w:cs="Calibri"/>
          <w:color w:val="00AAD6"/>
        </w:rPr>
        <w:t>eu</w:t>
      </w:r>
      <w:proofErr w:type="spellEnd"/>
      <w:r w:rsidR="00AC4DEB" w:rsidRPr="00AC4DEB">
        <w:rPr>
          <w:rFonts w:ascii="Calibri" w:hAnsi="Calibri" w:cs="Calibri"/>
          <w:color w:val="00AAD6"/>
          <w:lang w:val="el-GR"/>
        </w:rPr>
        <w:t>/</w:t>
      </w:r>
      <w:r w:rsidR="00AC4DEB" w:rsidRPr="00E602FC">
        <w:rPr>
          <w:rFonts w:ascii="Calibri" w:hAnsi="Calibri" w:cs="Calibri"/>
          <w:color w:val="00AAD6"/>
        </w:rPr>
        <w:t>links</w:t>
      </w:r>
      <w:r w:rsidR="00AC4DEB" w:rsidRPr="00AC4DEB">
        <w:rPr>
          <w:rFonts w:ascii="Calibri" w:hAnsi="Calibri" w:cs="Calibri"/>
          <w:color w:val="00AAD6"/>
          <w:lang w:val="el-GR"/>
        </w:rPr>
        <w:t>/</w:t>
      </w:r>
      <w:r w:rsidR="00AC4DEB" w:rsidRPr="00E602FC">
        <w:rPr>
          <w:rFonts w:ascii="Calibri" w:hAnsi="Calibri" w:cs="Calibri"/>
          <w:color w:val="00AAD6"/>
        </w:rPr>
        <w:t>titan</w:t>
      </w:r>
      <w:r w:rsidR="00AC4DEB" w:rsidRPr="00AC4DEB">
        <w:rPr>
          <w:rFonts w:ascii="Calibri" w:hAnsi="Calibri" w:cs="Calibri"/>
          <w:color w:val="00AAD6"/>
          <w:lang w:val="el-GR"/>
        </w:rPr>
        <w:t>251106.</w:t>
      </w:r>
      <w:r w:rsidR="00AC4DEB" w:rsidRPr="00E602FC">
        <w:rPr>
          <w:rFonts w:ascii="Calibri" w:hAnsi="Calibri" w:cs="Calibri"/>
          <w:color w:val="00AAD6"/>
        </w:rPr>
        <w:t>html</w:t>
      </w:r>
    </w:p>
    <w:p w14:paraId="5C33A7DC" w14:textId="77777777" w:rsidR="007162EB" w:rsidRDefault="007162EB" w:rsidP="0013158E">
      <w:pPr>
        <w:jc w:val="both"/>
        <w:rPr>
          <w:rFonts w:ascii="Calibri Light" w:hAnsi="Calibri Light" w:cs="Arial"/>
          <w:color w:val="21286C"/>
          <w:sz w:val="18"/>
          <w:szCs w:val="18"/>
          <w:lang w:val="el-GR" w:eastAsia="el-GR"/>
        </w:rPr>
      </w:pPr>
      <w:r w:rsidRPr="00851F21">
        <w:rPr>
          <w:rFonts w:ascii="Calibri Light" w:hAnsi="Calibri Light" w:cs="Arial"/>
          <w:color w:val="21286C"/>
          <w:sz w:val="18"/>
          <w:szCs w:val="18"/>
          <w:u w:val="single"/>
          <w:lang w:val="el-GR" w:eastAsia="el-GR"/>
        </w:rPr>
        <w:t>ΔΗΛΩΣΗ ΑΠΟΠΟΙΗΣΗΣ ΕΥΘΥΝΗΣ:</w:t>
      </w:r>
      <w:r w:rsidRPr="00851F21">
        <w:rPr>
          <w:rFonts w:ascii="Calibri Light" w:hAnsi="Calibri Light" w:cs="Arial"/>
          <w:color w:val="21286C"/>
          <w:sz w:val="18"/>
          <w:szCs w:val="18"/>
          <w:lang w:val="el-GR" w:eastAsia="el-GR"/>
        </w:rPr>
        <w:t xml:space="preserve"> Η παρούσα έκθεση μπορεί να περιλαμβάνει δηλώσεις για μελλοντικές εκτιμήσεις. Οι δηλώσεις για μελλοντικές εκτιμήσεις αφορούν ή βασίζονται στις τρέχουσες προθέσεις, πεποιθήσεις ή προσδοκίες της διοίκησης της επιχείρησης σχετικά με, μεταξύ άλλων, τα αποτελέσματα των επιχειρηματικών δραστηριοτήτων του Ομίλου ΤΙΤΑΝ στο μέλλον, την οικονομική κατάσταση, τη ρευστότητα, τις προοπτικές, την ανάπτυξη, τις στρατηγικές ή τις εξελίξεις του κλάδου όπου δραστηριοποιούμαστε. Από τη φύση τους, οι δηλώσεις για μελλοντικές εκτιμήσεις υπόκεινται σε κινδύνους, αβεβαιότητες και παραδοχές που μπορεί να καταλήξουν σε πραγματικά αποτελέσματα ή μελλοντικές καταστάσεις που διαφέρουν ουσιωδώς από εκείνες που εκφράζουν ρητά ή άρρητα οι παρούσες δηλώσεις. Οι εν λόγω κίνδυνοι, αβεβαιότητες και παραδοχές ενδέχεται να επηρεάσουν αρνητικά την έκβαση και τις οικονομικές συνέπειες των σχεδίων ή των γεγονότων που περιγράφονται στις δηλώσεις. Οι δηλώσεις για μελλοντικές εκτιμήσεις που περιλαμβάνονται στην παρούσα έκθεση σχετικά με τάσεις ή τρέχουσες δραστηριότητες δεν πρέπει να εκλαμβάνονται ωσάν να επρόκειτο να παραμείνουν ως έχουν στο μέλλον. Δεν αναλαμβάνουμε καμία υποχρέωση να ενημερώσουμε ή να αναθεωρήσουμε καμία δήλωση για μελλοντικές εκτιμήσεις, είτε κατόπιν νέων στοιχείων, είτε βάσει μελλοντικών γεγονότων, είτε για οποιονδήποτε άλλο λόγο. Δεν θα πρέπει κανείς να αποδίδει υπερβάλλουσα αξιοπιστία σε τέτοιες μελλοντικές εκτιμήσεις οι οποίες άλλωστε ισχύουν μόνον κατά την χρονική στιγμή της παρούσας έκθεσης. Τα στοιχεία που περιλαμβάνονται στην παρούσα έκθεση υπόκεινται σε αλλαγές χωρίς προειδοποίηση. Ουδεμία διαβεβαίωση ή εγγύηση παρέχεται, ρητά ή άρρητα, ως προς το δίκαιο χαρακτήρα, την ακρίβεια, το ευλογοφανές ή την πληρότητα των στοιχείων που περιλαμβάνονται εδώ και ουδείς θα έπρεπε να βασίζεται σε αυτά. Στους περισσότερους πίνακες της παρούσας έκθεσης, τα ποσά εκφράζονται σε εκατομμύρια € για λόγους διαφάνειας. Ενδέχεται να υπάρχουν διαφορές με τους πίνακες της συνοπτικής ενημέρωσης λόγω στρογγυλοποίησης των ποσών. Η συνοπτική ενημέρωση καταρτίστηκε στην Αγγλική γλώσσα και μεταφράστηκε στην Ελληνική γλώσσα. Σε περίπτωση διαφοροποιήσεων μεταξύ των δύο κειμένων, υπερισχύει το κείμενο στην Αγγλική εκδοχή. </w:t>
      </w:r>
    </w:p>
    <w:p w14:paraId="7E0EA409" w14:textId="77777777" w:rsidR="00A06989" w:rsidRPr="00851F21" w:rsidRDefault="00A06989" w:rsidP="00851F21">
      <w:pPr>
        <w:rPr>
          <w:rFonts w:ascii="Calibri Light" w:hAnsi="Calibri Light" w:cs="Arial"/>
          <w:color w:val="21286C"/>
          <w:sz w:val="18"/>
          <w:szCs w:val="18"/>
          <w:lang w:val="el-GR" w:eastAsia="el-GR"/>
        </w:rPr>
      </w:pPr>
    </w:p>
    <w:p w14:paraId="5571C2D7" w14:textId="77777777" w:rsidR="00954FCE" w:rsidRPr="0075710D" w:rsidRDefault="00954FCE" w:rsidP="00954FCE">
      <w:pPr>
        <w:pStyle w:val="Copy-bullets"/>
        <w:numPr>
          <w:ilvl w:val="0"/>
          <w:numId w:val="0"/>
        </w:numPr>
        <w:ind w:left="288"/>
        <w:rPr>
          <w:rFonts w:cs="Calibri Light"/>
          <w:color w:val="21286C"/>
          <w:lang w:val="el-GR"/>
        </w:rPr>
      </w:pPr>
    </w:p>
    <w:p w14:paraId="084CA3A0" w14:textId="77777777" w:rsidR="00954FCE" w:rsidRPr="00E87619" w:rsidRDefault="00954FCE" w:rsidP="00954FCE">
      <w:pPr>
        <w:pStyle w:val="Copy-bullets"/>
        <w:numPr>
          <w:ilvl w:val="0"/>
          <w:numId w:val="0"/>
        </w:numPr>
        <w:ind w:left="288" w:hanging="288"/>
        <w:rPr>
          <w:rFonts w:cs="Calibri Light"/>
          <w:color w:val="21286C"/>
          <w:lang w:val="el-GR"/>
        </w:rPr>
      </w:pPr>
      <w:r w:rsidRPr="00B906C6">
        <w:rPr>
          <w:noProof/>
        </w:rPr>
        <mc:AlternateContent>
          <mc:Choice Requires="wps">
            <w:drawing>
              <wp:anchor distT="0" distB="0" distL="114300" distR="114300" simplePos="0" relativeHeight="251658243" behindDoc="0" locked="0" layoutInCell="1" allowOverlap="1" wp14:anchorId="1FB8CD55" wp14:editId="0FAA077B">
                <wp:simplePos x="0" y="0"/>
                <wp:positionH relativeFrom="column">
                  <wp:posOffset>3479</wp:posOffset>
                </wp:positionH>
                <wp:positionV relativeFrom="paragraph">
                  <wp:posOffset>268025</wp:posOffset>
                </wp:positionV>
                <wp:extent cx="611251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12510"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573FA" id="Straight Connector 1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1pt" to="481.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" strokecolor="#00183d" strokeweight=".25pt"/>
            </w:pict>
          </mc:Fallback>
        </mc:AlternateContent>
      </w:r>
    </w:p>
    <w:p w14:paraId="7F2DEBB7" w14:textId="4DC17352" w:rsidR="00954FCE" w:rsidRPr="001275EA" w:rsidRDefault="00954FCE" w:rsidP="007C3ACF">
      <w:pPr>
        <w:pStyle w:val="Copy-bullets"/>
        <w:numPr>
          <w:ilvl w:val="0"/>
          <w:numId w:val="0"/>
        </w:numPr>
        <w:jc w:val="both"/>
        <w:rPr>
          <w:rFonts w:eastAsia="Times New Roman"/>
          <w:color w:val="21286C"/>
          <w:sz w:val="18"/>
          <w:szCs w:val="18"/>
          <w:lang w:val="el-GR" w:eastAsia="el-GR"/>
        </w:rPr>
      </w:pPr>
      <w:r w:rsidRPr="00B906C6">
        <w:rPr>
          <w:rFonts w:ascii="Calibri" w:hAnsi="Calibri" w:cs="Calibri"/>
          <w:b/>
          <w:bCs/>
          <w:noProof/>
          <w:color w:val="21286C"/>
          <w:sz w:val="22"/>
          <w:szCs w:val="22"/>
        </w:rPr>
        <mc:AlternateContent>
          <mc:Choice Requires="wps">
            <w:drawing>
              <wp:anchor distT="0" distB="0" distL="114300" distR="114300" simplePos="0" relativeHeight="251658244" behindDoc="0" locked="0" layoutInCell="1" allowOverlap="1" wp14:anchorId="08EDA5BF" wp14:editId="56592045">
                <wp:simplePos x="0" y="0"/>
                <wp:positionH relativeFrom="column">
                  <wp:posOffset>4529</wp:posOffset>
                </wp:positionH>
                <wp:positionV relativeFrom="paragraph">
                  <wp:posOffset>1875562</wp:posOffset>
                </wp:positionV>
                <wp:extent cx="611251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12510"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B8C51" id="Straight Connector 1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47.7pt" to="481.6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" strokecolor="#00183d" strokeweight=".25pt"/>
            </w:pict>
          </mc:Fallback>
        </mc:AlternateContent>
      </w:r>
      <w:r w:rsidRPr="008157D3">
        <w:rPr>
          <w:rFonts w:ascii="Calibri" w:hAnsi="Calibri" w:cs="Calibri"/>
          <w:b/>
          <w:bCs/>
          <w:color w:val="21286C"/>
          <w:szCs w:val="21"/>
          <w:lang w:val="el-GR"/>
        </w:rPr>
        <w:t>Σχετικά με</w:t>
      </w:r>
      <w:r w:rsidRPr="004D7650">
        <w:rPr>
          <w:rFonts w:ascii="Calibri" w:hAnsi="Calibri" w:cs="Calibri"/>
          <w:b/>
          <w:bCs/>
          <w:color w:val="21286C"/>
          <w:szCs w:val="21"/>
          <w:lang w:val="el-GR"/>
        </w:rPr>
        <w:t xml:space="preserve"> τον Όμιλο ΤΙΤΑΝ</w:t>
      </w:r>
      <w:r w:rsidRPr="001275EA">
        <w:rPr>
          <w:rFonts w:ascii="Calibri" w:hAnsi="Calibri" w:cs="Calibri"/>
          <w:b/>
          <w:bCs/>
          <w:color w:val="21286C"/>
          <w:szCs w:val="21"/>
          <w:lang w:val="el-GR"/>
        </w:rPr>
        <w:tab/>
      </w:r>
      <w:r w:rsidRPr="001275EA">
        <w:rPr>
          <w:rFonts w:cs="Calibri Light"/>
          <w:b/>
          <w:bCs/>
          <w:color w:val="21286C"/>
          <w:sz w:val="24"/>
          <w:szCs w:val="24"/>
          <w:lang w:val="el-GR"/>
        </w:rPr>
        <w:br/>
      </w:r>
      <w:r w:rsidR="007C3ACF" w:rsidRPr="001800E6">
        <w:rPr>
          <w:rFonts w:eastAsia="Calibri" w:cs="Calibri Light"/>
          <w:color w:val="21286C"/>
          <w:sz w:val="18"/>
          <w:szCs w:val="18"/>
          <w:lang w:val="el-GR"/>
        </w:rPr>
        <w:t xml:space="preserve">Ο Όμιλος </w:t>
      </w:r>
      <w:r w:rsidR="007C3ACF" w:rsidRPr="001800E6">
        <w:rPr>
          <w:rFonts w:eastAsia="Calibri" w:cs="Calibri Light"/>
          <w:color w:val="21286C"/>
          <w:sz w:val="18"/>
          <w:szCs w:val="18"/>
        </w:rPr>
        <w:t>TITAN</w:t>
      </w:r>
      <w:r w:rsidR="007C3ACF" w:rsidRPr="001800E6">
        <w:rPr>
          <w:rFonts w:eastAsia="Calibri" w:cs="Calibri Light"/>
          <w:color w:val="21286C"/>
          <w:sz w:val="18"/>
          <w:szCs w:val="18"/>
          <w:lang w:val="el-GR"/>
        </w:rPr>
        <w:t>, με έδρα το Βέλγιο, είναι κορυφαία διεθνής εταιρία στον κλάδο των δομικών υλικών για κατασκευές και υποδομές, που προσφέρει καινοτόμες λύσεις για έναν καλύτερο κόσμο. Με το μεγαλύτερο μέρος της δραστηριότητάς του στις αναπτυγμένες αγορές, ο Όμιλος απασχολεί περισσότερους από 6.000 εργαζόμενους παγκοσμίως και εξυπηρετεί πελάτες σε περισσότερες από 25 αγορές, σε τέσσερις ηπείρους. Κατέχει ηγετική θέση στις Ηνωμένες Πολιτείες και στην Ευρώπη - περιλαμβανομένης της Ελλάδας, των Βαλκανίων, του Ηνωμένου Βασιλείου, της Ιταλίας και της Γαλλίας - καθώς και στην Ανατολική Μεσόγειο. Ο Όμιλος έχει επίσης κοινοπραξίες στη Βραζιλία και την Ινδία. Με ιστορία άνω των 120 ετών, ο Όμιλος διατηρεί μια οικογενειακή κουλτούρα που προάγει το επιχειρηματικό πνεύμα, ενώ εργάζεται μεθοδικά με τους πελάτες του για να ανταποκριθεί στις σύγχρονες ανάγκες της κοινωνίας, προωθώντας παράλληλα τη βιώσιμη ανάπτυξη με υπευθυνότητα και ακεραιότητα. Ο ΤΙΤΑΝ έχει δεσμευθεί να επιτύχει μηδενικές καθαρές εκπομπές άνθρακα έως το 2050, με τους στόχους του για μείωση του CO</w:t>
      </w:r>
      <w:r w:rsidR="00ED4497" w:rsidRPr="00ED4497">
        <w:rPr>
          <w:rFonts w:eastAsia="Calibri" w:cs="Calibri Light"/>
          <w:color w:val="21286C"/>
          <w:sz w:val="16"/>
          <w:szCs w:val="16"/>
          <w:vertAlign w:val="subscript"/>
          <w:lang w:val="el-GR"/>
        </w:rPr>
        <w:t>2</w:t>
      </w:r>
      <w:r w:rsidR="007C3ACF" w:rsidRPr="001800E6">
        <w:rPr>
          <w:rFonts w:eastAsia="Calibri" w:cs="Calibri Light"/>
          <w:color w:val="21286C"/>
          <w:sz w:val="18"/>
          <w:szCs w:val="18"/>
          <w:lang w:val="el-GR"/>
        </w:rPr>
        <w:t xml:space="preserve"> να έχουν επικυρωθεί επιστημονικά από την πρωτοβουλία Science Based Targets (SBTi). Ο Όμιλος είναι εισηγμένος στα χρηματιστήρια Euronext Βρυξελλών και Παρισίου, καθώς και στο Χρηματιστήριο Αθηνών, ενώ η θυγατρική του στις ΗΠΑ είναι εισηγμένη στο NYSE. Για περισσότερες πληροφορίες, επισκεφθείτε την ιστοσελίδα μας στη διεύθυνση </w:t>
      </w:r>
      <w:hyperlink r:id="rId12">
        <w:r w:rsidR="007C3ACF" w:rsidRPr="001800E6">
          <w:rPr>
            <w:rStyle w:val="Hyperlink"/>
            <w:rFonts w:ascii="Calibri Light" w:eastAsia="Calibri" w:hAnsi="Calibri Light" w:cs="Calibri Light"/>
            <w:color w:val="21286C"/>
            <w:sz w:val="18"/>
            <w:szCs w:val="18"/>
          </w:rPr>
          <w:t>www</w:t>
        </w:r>
        <w:r w:rsidR="007C3ACF" w:rsidRPr="001800E6">
          <w:rPr>
            <w:rStyle w:val="Hyperlink"/>
            <w:rFonts w:ascii="Calibri Light" w:eastAsia="Calibri" w:hAnsi="Calibri Light" w:cs="Calibri Light"/>
            <w:color w:val="21286C"/>
            <w:sz w:val="18"/>
            <w:szCs w:val="18"/>
            <w:lang w:val="el-GR"/>
          </w:rPr>
          <w:t>.</w:t>
        </w:r>
        <w:proofErr w:type="spellStart"/>
        <w:r w:rsidR="007C3ACF" w:rsidRPr="001800E6">
          <w:rPr>
            <w:rStyle w:val="Hyperlink"/>
            <w:rFonts w:ascii="Calibri Light" w:eastAsia="Calibri" w:hAnsi="Calibri Light" w:cs="Calibri Light"/>
            <w:color w:val="21286C"/>
            <w:sz w:val="18"/>
            <w:szCs w:val="18"/>
          </w:rPr>
          <w:t>titanmaterials</w:t>
        </w:r>
        <w:proofErr w:type="spellEnd"/>
        <w:r w:rsidR="007C3ACF" w:rsidRPr="001800E6">
          <w:rPr>
            <w:rStyle w:val="Hyperlink"/>
            <w:rFonts w:ascii="Calibri Light" w:eastAsia="Calibri" w:hAnsi="Calibri Light" w:cs="Calibri Light"/>
            <w:color w:val="21286C"/>
            <w:sz w:val="18"/>
            <w:szCs w:val="18"/>
            <w:lang w:val="el-GR"/>
          </w:rPr>
          <w:t>.</w:t>
        </w:r>
        <w:r w:rsidR="007C3ACF" w:rsidRPr="001800E6">
          <w:rPr>
            <w:rStyle w:val="Hyperlink"/>
            <w:rFonts w:ascii="Calibri Light" w:eastAsia="Calibri" w:hAnsi="Calibri Light" w:cs="Calibri Light"/>
            <w:color w:val="21286C"/>
            <w:sz w:val="18"/>
            <w:szCs w:val="18"/>
          </w:rPr>
          <w:t>com</w:t>
        </w:r>
      </w:hyperlink>
      <w:r w:rsidR="007C3ACF" w:rsidRPr="001800E6">
        <w:rPr>
          <w:rFonts w:eastAsia="Calibri" w:cs="Calibri Light"/>
          <w:color w:val="21286C"/>
          <w:sz w:val="18"/>
          <w:szCs w:val="18"/>
          <w:lang w:val="el-GR"/>
        </w:rPr>
        <w:t>.</w:t>
      </w:r>
    </w:p>
    <w:p w14:paraId="6211E814" w14:textId="2958F9BE" w:rsidR="00CC1A4E" w:rsidRPr="00A06989" w:rsidRDefault="00CC1A4E" w:rsidP="00954FCE">
      <w:pPr>
        <w:pStyle w:val="Copy"/>
        <w:jc w:val="both"/>
        <w:rPr>
          <w:rFonts w:eastAsia="Times New Roman"/>
          <w:i/>
          <w:iCs/>
          <w:color w:val="21286C"/>
          <w:sz w:val="18"/>
          <w:szCs w:val="18"/>
          <w:lang w:val="el-GR" w:eastAsia="el-GR"/>
        </w:rPr>
      </w:pPr>
    </w:p>
    <w:sectPr w:rsidR="00CC1A4E" w:rsidRPr="00A06989" w:rsidSect="00D00D70">
      <w:headerReference w:type="even" r:id="rId13"/>
      <w:headerReference w:type="default" r:id="rId14"/>
      <w:footerReference w:type="even" r:id="rId15"/>
      <w:footerReference w:type="default" r:id="rId16"/>
      <w:pgSz w:w="11906" w:h="16838" w:code="9"/>
      <w:pgMar w:top="2269" w:right="1134" w:bottom="567" w:left="1134" w:header="43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AF1E" w14:textId="77777777" w:rsidR="00DD4393" w:rsidRDefault="00DD4393" w:rsidP="002226E5">
      <w:r>
        <w:separator/>
      </w:r>
    </w:p>
  </w:endnote>
  <w:endnote w:type="continuationSeparator" w:id="0">
    <w:p w14:paraId="71CAA078" w14:textId="77777777" w:rsidR="00DD4393" w:rsidRDefault="00DD4393" w:rsidP="002226E5">
      <w:r>
        <w:continuationSeparator/>
      </w:r>
    </w:p>
  </w:endnote>
  <w:endnote w:type="continuationNotice" w:id="1">
    <w:p w14:paraId="5BBE7745" w14:textId="77777777" w:rsidR="00DD4393" w:rsidRDefault="00DD4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Cambria"/>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277642"/>
      <w:docPartObj>
        <w:docPartGallery w:val="Page Numbers (Bottom of Page)"/>
        <w:docPartUnique/>
      </w:docPartObj>
    </w:sdtPr>
    <w:sdtContent>
      <w:p w14:paraId="63596604" w14:textId="77777777" w:rsidR="008E3D4A" w:rsidRDefault="008E3D4A" w:rsidP="00FC52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AB9931" w14:textId="77777777" w:rsidR="008E3D4A" w:rsidRDefault="008E3D4A" w:rsidP="008E3D4A">
    <w:pPr>
      <w:pStyle w:val="Footer"/>
      <w:ind w:right="360"/>
    </w:pPr>
  </w:p>
  <w:p w14:paraId="2075FAB7" w14:textId="77777777" w:rsidR="00F22163" w:rsidRDefault="00F221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62F5" w14:textId="0816D0F7" w:rsidR="0074662F" w:rsidRPr="0074662F" w:rsidRDefault="0074662F" w:rsidP="0074662F">
    <w:pPr>
      <w:pStyle w:val="Header"/>
      <w:spacing w:line="276" w:lineRule="auto"/>
      <w:jc w:val="right"/>
      <w:rPr>
        <w:rStyle w:val="PageNumber"/>
        <w:rFonts w:ascii="Calibri Light" w:hAnsi="Calibri Light" w:cs="Calibri Light"/>
        <w:color w:val="FFFFFF" w:themeColor="background1"/>
        <w:sz w:val="16"/>
        <w:szCs w:val="16"/>
        <w:lang w:val="fr-FR"/>
      </w:rPr>
    </w:pPr>
    <w:r w:rsidRPr="0074662F">
      <w:rPr>
        <w:rStyle w:val="PageNumber"/>
        <w:rFonts w:ascii="Calibri Light" w:hAnsi="Calibri Light" w:cs="Calibri Light"/>
        <w:color w:val="FFFFFF" w:themeColor="background1"/>
        <w:sz w:val="16"/>
        <w:szCs w:val="16"/>
        <w:lang w:val="fr-FR"/>
      </w:rPr>
      <w:t xml:space="preserve">Page </w:t>
    </w:r>
    <w:r w:rsidRPr="00BB3FAE">
      <w:rPr>
        <w:rStyle w:val="PageNumber"/>
        <w:rFonts w:ascii="Calibri Light" w:hAnsi="Calibri Light" w:cs="Calibri Light"/>
        <w:color w:val="FFFFFF" w:themeColor="background1"/>
        <w:sz w:val="16"/>
        <w:szCs w:val="16"/>
      </w:rPr>
      <w:fldChar w:fldCharType="begin"/>
    </w:r>
    <w:r w:rsidRPr="0074662F">
      <w:rPr>
        <w:rStyle w:val="PageNumber"/>
        <w:rFonts w:ascii="Calibri Light" w:hAnsi="Calibri Light" w:cs="Calibri Light"/>
        <w:color w:val="FFFFFF" w:themeColor="background1"/>
        <w:sz w:val="16"/>
        <w:szCs w:val="16"/>
        <w:lang w:val="fr-FR"/>
      </w:rPr>
      <w:instrText xml:space="preserve"> PAGE </w:instrText>
    </w:r>
    <w:r w:rsidRPr="00BB3FAE">
      <w:rPr>
        <w:rStyle w:val="PageNumber"/>
        <w:rFonts w:ascii="Calibri Light" w:hAnsi="Calibri Light" w:cs="Calibri Light"/>
        <w:color w:val="FFFFFF" w:themeColor="background1"/>
        <w:sz w:val="16"/>
        <w:szCs w:val="16"/>
      </w:rPr>
      <w:fldChar w:fldCharType="separate"/>
    </w:r>
    <w:r w:rsidRPr="0074662F">
      <w:rPr>
        <w:rStyle w:val="PageNumber"/>
        <w:rFonts w:ascii="Calibri Light" w:hAnsi="Calibri Light" w:cs="Calibri Light"/>
        <w:color w:val="FFFFFF" w:themeColor="background1"/>
        <w:sz w:val="16"/>
        <w:szCs w:val="16"/>
        <w:lang w:val="fr-FR"/>
      </w:rPr>
      <w:t>1</w:t>
    </w:r>
    <w:r w:rsidRPr="00BB3FAE">
      <w:rPr>
        <w:rStyle w:val="PageNumber"/>
        <w:rFonts w:ascii="Calibri Light" w:hAnsi="Calibri Light" w:cs="Calibri Light"/>
        <w:color w:val="FFFFFF" w:themeColor="background1"/>
        <w:sz w:val="16"/>
        <w:szCs w:val="16"/>
      </w:rPr>
      <w:fldChar w:fldCharType="end"/>
    </w:r>
    <w:r w:rsidRPr="0074662F">
      <w:rPr>
        <w:rStyle w:val="PageNumber"/>
        <w:rFonts w:ascii="Calibri Light" w:hAnsi="Calibri Light" w:cs="Calibri Light"/>
        <w:color w:val="FFFFFF" w:themeColor="background1"/>
        <w:sz w:val="16"/>
        <w:szCs w:val="16"/>
        <w:lang w:val="fr-FR"/>
      </w:rPr>
      <w:t>/</w:t>
    </w:r>
    <w:r w:rsidRPr="00BB3FAE">
      <w:rPr>
        <w:rStyle w:val="PageNumber"/>
        <w:rFonts w:ascii="Calibri Light" w:hAnsi="Calibri Light" w:cs="Calibri Light"/>
        <w:color w:val="FFFFFF" w:themeColor="background1"/>
        <w:sz w:val="16"/>
        <w:szCs w:val="16"/>
      </w:rPr>
      <w:fldChar w:fldCharType="begin"/>
    </w:r>
    <w:r w:rsidRPr="0074662F">
      <w:rPr>
        <w:rStyle w:val="PageNumber"/>
        <w:rFonts w:ascii="Calibri Light" w:hAnsi="Calibri Light" w:cs="Calibri Light"/>
        <w:color w:val="FFFFFF" w:themeColor="background1"/>
        <w:sz w:val="16"/>
        <w:szCs w:val="16"/>
        <w:lang w:val="fr-FR"/>
      </w:rPr>
      <w:instrText xml:space="preserve"> NUMPAGES  \* MERGEFORMAT </w:instrText>
    </w:r>
    <w:r w:rsidRPr="00BB3FAE">
      <w:rPr>
        <w:rStyle w:val="PageNumber"/>
        <w:rFonts w:ascii="Calibri Light" w:hAnsi="Calibri Light" w:cs="Calibri Light"/>
        <w:color w:val="FFFFFF" w:themeColor="background1"/>
        <w:sz w:val="16"/>
        <w:szCs w:val="16"/>
      </w:rPr>
      <w:fldChar w:fldCharType="separate"/>
    </w:r>
    <w:r w:rsidRPr="0074662F">
      <w:rPr>
        <w:rStyle w:val="PageNumber"/>
        <w:rFonts w:ascii="Calibri Light" w:hAnsi="Calibri Light" w:cs="Calibri Light"/>
        <w:color w:val="FFFFFF" w:themeColor="background1"/>
        <w:sz w:val="16"/>
        <w:szCs w:val="16"/>
        <w:lang w:val="fr-FR"/>
      </w:rPr>
      <w:t>6</w:t>
    </w:r>
    <w:r w:rsidRPr="00BB3FAE">
      <w:rPr>
        <w:rStyle w:val="PageNumber"/>
        <w:rFonts w:ascii="Calibri Light" w:hAnsi="Calibri Light" w:cs="Calibri Light"/>
        <w:color w:val="FFFFFF" w:themeColor="background1"/>
        <w:sz w:val="16"/>
        <w:szCs w:val="16"/>
      </w:rPr>
      <w:fldChar w:fldCharType="end"/>
    </w:r>
  </w:p>
  <w:p w14:paraId="5A752A9E" w14:textId="77777777" w:rsidR="00471690" w:rsidRPr="00B906C6" w:rsidRDefault="00471690" w:rsidP="00471690">
    <w:pPr>
      <w:pStyle w:val="C"/>
      <w:jc w:val="right"/>
      <w:rPr>
        <w:color w:val="21286C"/>
        <w:sz w:val="16"/>
        <w:szCs w:val="16"/>
        <w:lang w:val="fr-FR"/>
      </w:rPr>
    </w:pPr>
    <w:r w:rsidRPr="00B906C6">
      <w:rPr>
        <w:rFonts w:ascii="Calibri Light" w:hAnsi="Calibri Light" w:cs="Calibri Light"/>
        <w:b w:val="0"/>
        <w:bCs w:val="0"/>
        <w:color w:val="21286C"/>
        <w:sz w:val="16"/>
        <w:szCs w:val="16"/>
        <w:lang w:val="fr-FR"/>
      </w:rPr>
      <w:t xml:space="preserve">   </w:t>
    </w:r>
    <w:r w:rsidR="0074662F" w:rsidRPr="00B906C6">
      <w:rPr>
        <w:rFonts w:ascii="Calibri Light" w:hAnsi="Calibri Light" w:cs="Calibri Light"/>
        <w:b w:val="0"/>
        <w:bCs w:val="0"/>
        <w:color w:val="21286C"/>
        <w:sz w:val="16"/>
        <w:szCs w:val="16"/>
        <w:lang w:val="fr-FR"/>
      </w:rPr>
      <w:t xml:space="preserve">Page </w:t>
    </w:r>
    <w:r w:rsidR="0074662F" w:rsidRPr="00B906C6">
      <w:rPr>
        <w:rFonts w:ascii="Calibri Light" w:hAnsi="Calibri Light" w:cs="Calibri Light"/>
        <w:b w:val="0"/>
        <w:bCs w:val="0"/>
        <w:color w:val="21286C"/>
        <w:sz w:val="16"/>
        <w:szCs w:val="16"/>
        <w:lang w:val="en-US"/>
      </w:rPr>
      <w:fldChar w:fldCharType="begin"/>
    </w:r>
    <w:r w:rsidR="0074662F" w:rsidRPr="00B906C6">
      <w:rPr>
        <w:rFonts w:ascii="Calibri Light" w:hAnsi="Calibri Light" w:cs="Calibri Light"/>
        <w:b w:val="0"/>
        <w:bCs w:val="0"/>
        <w:color w:val="21286C"/>
        <w:sz w:val="16"/>
        <w:szCs w:val="16"/>
        <w:lang w:val="fr-FR"/>
      </w:rPr>
      <w:instrText xml:space="preserve"> PAGE  \* MERGEFORMAT </w:instrText>
    </w:r>
    <w:r w:rsidR="0074662F" w:rsidRPr="00B906C6">
      <w:rPr>
        <w:rFonts w:ascii="Calibri Light" w:hAnsi="Calibri Light" w:cs="Calibri Light"/>
        <w:b w:val="0"/>
        <w:bCs w:val="0"/>
        <w:color w:val="21286C"/>
        <w:sz w:val="16"/>
        <w:szCs w:val="16"/>
        <w:lang w:val="en-US"/>
      </w:rPr>
      <w:fldChar w:fldCharType="separate"/>
    </w:r>
    <w:r w:rsidR="0074662F" w:rsidRPr="00B906C6">
      <w:rPr>
        <w:rFonts w:ascii="Calibri Light" w:hAnsi="Calibri Light" w:cs="Calibri Light"/>
        <w:b w:val="0"/>
        <w:bCs w:val="0"/>
        <w:noProof/>
        <w:color w:val="21286C"/>
        <w:sz w:val="16"/>
        <w:szCs w:val="16"/>
        <w:lang w:val="fr-FR"/>
      </w:rPr>
      <w:t>1</w:t>
    </w:r>
    <w:r w:rsidR="0074662F" w:rsidRPr="00B906C6">
      <w:rPr>
        <w:rFonts w:ascii="Calibri Light" w:hAnsi="Calibri Light" w:cs="Calibri Light"/>
        <w:b w:val="0"/>
        <w:bCs w:val="0"/>
        <w:color w:val="21286C"/>
        <w:sz w:val="16"/>
        <w:szCs w:val="16"/>
        <w:lang w:val="en-US"/>
      </w:rPr>
      <w:fldChar w:fldCharType="end"/>
    </w:r>
    <w:r w:rsidR="0074662F" w:rsidRPr="00B906C6">
      <w:rPr>
        <w:rFonts w:ascii="Calibri Light" w:hAnsi="Calibri Light" w:cs="Calibri Light"/>
        <w:b w:val="0"/>
        <w:bCs w:val="0"/>
        <w:color w:val="21286C"/>
        <w:sz w:val="16"/>
        <w:szCs w:val="16"/>
        <w:lang w:val="fr-FR"/>
      </w:rPr>
      <w:t>/</w:t>
    </w:r>
    <w:r w:rsidR="0074662F" w:rsidRPr="00B906C6">
      <w:rPr>
        <w:rFonts w:ascii="Calibri Light" w:hAnsi="Calibri Light" w:cs="Calibri Light"/>
        <w:b w:val="0"/>
        <w:bCs w:val="0"/>
        <w:color w:val="21286C"/>
        <w:sz w:val="16"/>
        <w:szCs w:val="16"/>
        <w:lang w:val="en-US"/>
      </w:rPr>
      <w:fldChar w:fldCharType="begin"/>
    </w:r>
    <w:r w:rsidR="0074662F" w:rsidRPr="00B906C6">
      <w:rPr>
        <w:rFonts w:ascii="Calibri Light" w:hAnsi="Calibri Light" w:cs="Calibri Light"/>
        <w:b w:val="0"/>
        <w:bCs w:val="0"/>
        <w:color w:val="21286C"/>
        <w:sz w:val="16"/>
        <w:szCs w:val="16"/>
        <w:lang w:val="fr-FR"/>
      </w:rPr>
      <w:instrText xml:space="preserve"> NUMPAGES  \* MERGEFORMAT </w:instrText>
    </w:r>
    <w:r w:rsidR="0074662F" w:rsidRPr="00B906C6">
      <w:rPr>
        <w:rFonts w:ascii="Calibri Light" w:hAnsi="Calibri Light" w:cs="Calibri Light"/>
        <w:b w:val="0"/>
        <w:bCs w:val="0"/>
        <w:color w:val="21286C"/>
        <w:sz w:val="16"/>
        <w:szCs w:val="16"/>
        <w:lang w:val="en-US"/>
      </w:rPr>
      <w:fldChar w:fldCharType="separate"/>
    </w:r>
    <w:r w:rsidR="0074662F" w:rsidRPr="00B906C6">
      <w:rPr>
        <w:rFonts w:ascii="Calibri Light" w:hAnsi="Calibri Light" w:cs="Calibri Light"/>
        <w:b w:val="0"/>
        <w:bCs w:val="0"/>
        <w:noProof/>
        <w:color w:val="21286C"/>
        <w:sz w:val="16"/>
        <w:szCs w:val="16"/>
        <w:lang w:val="fr-FR"/>
      </w:rPr>
      <w:t>6</w:t>
    </w:r>
    <w:r w:rsidR="0074662F" w:rsidRPr="00B906C6">
      <w:rPr>
        <w:rFonts w:ascii="Calibri Light" w:hAnsi="Calibri Light" w:cs="Calibri Light"/>
        <w:b w:val="0"/>
        <w:bCs w:val="0"/>
        <w:color w:val="21286C"/>
        <w:sz w:val="16"/>
        <w:szCs w:val="16"/>
        <w:lang w:val="en-US"/>
      </w:rPr>
      <w:fldChar w:fldCharType="end"/>
    </w:r>
  </w:p>
  <w:p w14:paraId="22C724C2" w14:textId="77777777" w:rsidR="00F22163" w:rsidRDefault="00F22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26AF" w14:textId="77777777" w:rsidR="00DD4393" w:rsidRDefault="00DD4393" w:rsidP="002226E5">
      <w:r>
        <w:separator/>
      </w:r>
    </w:p>
  </w:footnote>
  <w:footnote w:type="continuationSeparator" w:id="0">
    <w:p w14:paraId="61EEDBCD" w14:textId="77777777" w:rsidR="00DD4393" w:rsidRDefault="00DD4393" w:rsidP="002226E5">
      <w:r>
        <w:continuationSeparator/>
      </w:r>
    </w:p>
  </w:footnote>
  <w:footnote w:type="continuationNotice" w:id="1">
    <w:p w14:paraId="12A6ADAD" w14:textId="77777777" w:rsidR="00DD4393" w:rsidRDefault="00DD4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540061"/>
      <w:docPartObj>
        <w:docPartGallery w:val="Page Numbers (Top of Page)"/>
        <w:docPartUnique/>
      </w:docPartObj>
    </w:sdtPr>
    <w:sdtContent>
      <w:p w14:paraId="17DD9147" w14:textId="7D85A174" w:rsidR="00AA4625" w:rsidRDefault="00AA4625" w:rsidP="00FC52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29FF">
          <w:rPr>
            <w:rStyle w:val="PageNumber"/>
            <w:noProof/>
          </w:rPr>
          <w:t>9</w:t>
        </w:r>
        <w:r>
          <w:rPr>
            <w:rStyle w:val="PageNumber"/>
          </w:rPr>
          <w:fldChar w:fldCharType="end"/>
        </w:r>
      </w:p>
    </w:sdtContent>
  </w:sdt>
  <w:p w14:paraId="2A1B12A8" w14:textId="77777777" w:rsidR="00AA4625" w:rsidRDefault="00AA4625" w:rsidP="00AA4625">
    <w:pPr>
      <w:pStyle w:val="Header"/>
      <w:ind w:right="360"/>
    </w:pPr>
  </w:p>
  <w:p w14:paraId="379F3B95" w14:textId="77777777" w:rsidR="00F22163" w:rsidRDefault="00F221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Light" w:hAnsi="Calibri Light" w:cs="Calibri Light"/>
        <w:color w:val="21286C"/>
        <w:sz w:val="32"/>
        <w:szCs w:val="32"/>
      </w:rPr>
      <w:id w:val="1266503990"/>
      <w:docPartObj>
        <w:docPartGallery w:val="Page Numbers (Top of Page)"/>
        <w:docPartUnique/>
      </w:docPartObj>
    </w:sdtPr>
    <w:sdtEndPr>
      <w:rPr>
        <w:rStyle w:val="PageNumber"/>
        <w:sz w:val="16"/>
        <w:szCs w:val="16"/>
      </w:rPr>
    </w:sdtEndPr>
    <w:sdtContent>
      <w:sdt>
        <w:sdtPr>
          <w:rPr>
            <w:rStyle w:val="PageNumber"/>
            <w:rFonts w:ascii="Calibri Light" w:hAnsi="Calibri Light" w:cs="Calibri Light"/>
            <w:color w:val="21286C"/>
            <w:sz w:val="32"/>
            <w:szCs w:val="32"/>
          </w:rPr>
          <w:id w:val="-495584396"/>
          <w:docPartObj>
            <w:docPartGallery w:val="Page Numbers (Top of Page)"/>
            <w:docPartUnique/>
          </w:docPartObj>
        </w:sdtPr>
        <w:sdtEndPr>
          <w:rPr>
            <w:rStyle w:val="PageNumber"/>
            <w:sz w:val="21"/>
            <w:szCs w:val="21"/>
          </w:rPr>
        </w:sdtEndPr>
        <w:sdtContent>
          <w:p w14:paraId="147C430F" w14:textId="3D5E2FF0" w:rsidR="00E222D1" w:rsidRPr="00DC6994" w:rsidRDefault="00DC6994" w:rsidP="00DC6994">
            <w:pPr>
              <w:pStyle w:val="Header"/>
              <w:framePr w:w="3665" w:wrap="none" w:vAnchor="text" w:hAnchor="page" w:x="7104" w:y="193"/>
              <w:spacing w:line="276" w:lineRule="auto"/>
              <w:ind w:firstLine="1440"/>
              <w:jc w:val="center"/>
              <w:rPr>
                <w:rStyle w:val="PageNumber"/>
                <w:rFonts w:ascii="Calibri Light" w:hAnsi="Calibri Light" w:cs="Calibri Light"/>
                <w:color w:val="21286C"/>
                <w:sz w:val="32"/>
                <w:szCs w:val="32"/>
                <w:lang w:val="el-GR"/>
              </w:rPr>
            </w:pPr>
            <w:r>
              <w:rPr>
                <w:rStyle w:val="PageNumber"/>
                <w:rFonts w:ascii="Calibri Light" w:hAnsi="Calibri Light" w:cs="Calibri Light"/>
                <w:color w:val="21286C"/>
                <w:sz w:val="32"/>
                <w:szCs w:val="32"/>
                <w:lang w:val="el-GR"/>
              </w:rPr>
              <w:t>Δελτίο Τύπου</w:t>
            </w:r>
          </w:p>
          <w:p w14:paraId="7E255FF3" w14:textId="400A98E0" w:rsidR="00E222D1" w:rsidRPr="00DC6994" w:rsidRDefault="00DC6994" w:rsidP="00983A85">
            <w:pPr>
              <w:pStyle w:val="Header"/>
              <w:framePr w:w="3665" w:wrap="none" w:vAnchor="text" w:hAnchor="page" w:x="7104" w:y="193"/>
              <w:spacing w:line="276" w:lineRule="auto"/>
              <w:jc w:val="right"/>
              <w:rPr>
                <w:rStyle w:val="PageNumber"/>
                <w:rFonts w:ascii="Calibri Light" w:hAnsi="Calibri Light" w:cs="Calibri Light"/>
                <w:color w:val="21286C"/>
                <w:sz w:val="21"/>
                <w:szCs w:val="21"/>
                <w:lang w:val="el-GR"/>
              </w:rPr>
            </w:pPr>
            <w:r>
              <w:rPr>
                <w:rStyle w:val="PageNumber"/>
                <w:rFonts w:ascii="Calibri Light" w:hAnsi="Calibri Light" w:cs="Calibri Light"/>
                <w:color w:val="21286C"/>
                <w:sz w:val="21"/>
                <w:szCs w:val="21"/>
                <w:lang w:val="el-GR"/>
              </w:rPr>
              <w:t>Ρυθμιζόμενη Πληροφόρηση</w:t>
            </w:r>
          </w:p>
          <w:p w14:paraId="7ADEF4BF" w14:textId="77777777" w:rsidR="00E222D1" w:rsidRPr="00061614" w:rsidRDefault="00E222D1" w:rsidP="00983A85">
            <w:pPr>
              <w:pStyle w:val="Header"/>
              <w:framePr w:w="3665" w:wrap="none" w:vAnchor="text" w:hAnchor="page" w:x="7104" w:y="193"/>
              <w:spacing w:line="276" w:lineRule="auto"/>
              <w:jc w:val="right"/>
              <w:rPr>
                <w:rStyle w:val="PageNumber"/>
                <w:rFonts w:ascii="Calibri Light" w:hAnsi="Calibri Light" w:cs="Calibri Light"/>
                <w:color w:val="21286C"/>
              </w:rPr>
            </w:pPr>
          </w:p>
          <w:p w14:paraId="56602CCF" w14:textId="77777777" w:rsidR="00E222D1" w:rsidRPr="00061614" w:rsidRDefault="00E222D1" w:rsidP="00983A85">
            <w:pPr>
              <w:pStyle w:val="Header"/>
              <w:framePr w:w="3665" w:wrap="none" w:vAnchor="text" w:hAnchor="page" w:x="7104" w:y="193"/>
              <w:spacing w:line="276" w:lineRule="auto"/>
              <w:jc w:val="right"/>
              <w:rPr>
                <w:rStyle w:val="PageNumber"/>
                <w:rFonts w:ascii="Calibri Light" w:hAnsi="Calibri Light" w:cs="Calibri Light"/>
                <w:color w:val="21286C"/>
              </w:rPr>
            </w:pPr>
          </w:p>
          <w:p w14:paraId="42A3F0EB" w14:textId="77777777" w:rsidR="00E222D1" w:rsidRPr="00061614" w:rsidRDefault="00E222D1" w:rsidP="00983A85">
            <w:pPr>
              <w:pStyle w:val="Header"/>
              <w:framePr w:w="3665" w:wrap="none" w:vAnchor="text" w:hAnchor="page" w:x="7104" w:y="193"/>
              <w:spacing w:line="276" w:lineRule="auto"/>
              <w:jc w:val="right"/>
              <w:rPr>
                <w:rStyle w:val="PageNumber"/>
                <w:rFonts w:ascii="Calibri Light" w:hAnsi="Calibri Light" w:cs="Calibri Light"/>
                <w:color w:val="21286C"/>
              </w:rPr>
            </w:pPr>
          </w:p>
          <w:p w14:paraId="265E3A8B" w14:textId="4786602B" w:rsidR="00E222D1" w:rsidRPr="00061614" w:rsidRDefault="00000000" w:rsidP="00983A85">
            <w:pPr>
              <w:pStyle w:val="Header"/>
              <w:framePr w:w="3665" w:wrap="none" w:vAnchor="text" w:hAnchor="page" w:x="7104" w:y="193"/>
              <w:spacing w:line="276" w:lineRule="auto"/>
              <w:jc w:val="right"/>
              <w:rPr>
                <w:rStyle w:val="PageNumber"/>
                <w:rFonts w:ascii="Calibri Light" w:eastAsia="Times New Roman" w:hAnsi="Calibri Light" w:cs="Calibri Light"/>
                <w:color w:val="21286C"/>
                <w:sz w:val="21"/>
                <w:szCs w:val="21"/>
                <w:lang w:val="en-US"/>
              </w:rPr>
            </w:pPr>
          </w:p>
        </w:sdtContent>
      </w:sdt>
      <w:p w14:paraId="07F8B1CE" w14:textId="77777777" w:rsidR="00AA4625" w:rsidRPr="00061614" w:rsidRDefault="00000000" w:rsidP="00983A85">
        <w:pPr>
          <w:pStyle w:val="Header"/>
          <w:framePr w:w="3665" w:wrap="none" w:vAnchor="text" w:hAnchor="page" w:x="7104" w:y="193"/>
          <w:spacing w:line="276" w:lineRule="auto"/>
          <w:jc w:val="right"/>
          <w:rPr>
            <w:rStyle w:val="PageNumber"/>
            <w:rFonts w:ascii="Calibri Light" w:hAnsi="Calibri Light" w:cs="Calibri Light"/>
            <w:color w:val="21286C"/>
            <w:sz w:val="16"/>
            <w:szCs w:val="16"/>
          </w:rPr>
        </w:pPr>
      </w:p>
    </w:sdtContent>
  </w:sdt>
  <w:p w14:paraId="6AC9CE00" w14:textId="0345988B" w:rsidR="00AA4625" w:rsidRPr="00061614" w:rsidRDefault="00061614" w:rsidP="00061614">
    <w:pPr>
      <w:pStyle w:val="Header"/>
      <w:tabs>
        <w:tab w:val="clear" w:pos="4153"/>
        <w:tab w:val="clear" w:pos="8306"/>
        <w:tab w:val="left" w:pos="2053"/>
        <w:tab w:val="left" w:pos="7086"/>
      </w:tabs>
      <w:ind w:left="-851" w:right="288"/>
      <w:jc w:val="both"/>
      <w:rPr>
        <w:color w:val="21286C"/>
      </w:rPr>
    </w:pPr>
    <w:r w:rsidRPr="00061614">
      <w:rPr>
        <w:noProof/>
        <w:color w:val="21286C"/>
      </w:rPr>
      <w:drawing>
        <wp:inline distT="0" distB="0" distL="0" distR="0" wp14:anchorId="7A8E3841" wp14:editId="3D111BF6">
          <wp:extent cx="1984363" cy="820058"/>
          <wp:effectExtent l="0" t="0" r="0" b="0"/>
          <wp:docPr id="1980764779" name="Picture 1"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76752" name="Picture 1" descr="A logo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4363" cy="820058"/>
                  </a:xfrm>
                  <a:prstGeom prst="rect">
                    <a:avLst/>
                  </a:prstGeom>
                </pic:spPr>
              </pic:pic>
            </a:graphicData>
          </a:graphic>
        </wp:inline>
      </w:drawing>
    </w:r>
    <w:r w:rsidR="001D043A" w:rsidRPr="00061614">
      <w:rPr>
        <w:color w:val="21286C"/>
      </w:rPr>
      <w:t xml:space="preserve"> </w:t>
    </w:r>
    <w:r w:rsidR="0029079A" w:rsidRPr="00061614">
      <w:rPr>
        <w:color w:val="21286C"/>
      </w:rPr>
      <w:tab/>
    </w:r>
    <w:r w:rsidR="002A4C60" w:rsidRPr="00061614">
      <w:rPr>
        <w:color w:val="21286C"/>
      </w:rPr>
      <w:tab/>
    </w:r>
    <w:r w:rsidR="00433E24" w:rsidRPr="00061614">
      <w:rPr>
        <w:color w:val="21286C"/>
      </w:rPr>
      <w:t xml:space="preserve"> </w:t>
    </w:r>
  </w:p>
  <w:p w14:paraId="14F8E9E9" w14:textId="77777777" w:rsidR="00F22163" w:rsidRDefault="00F22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E59"/>
    <w:multiLevelType w:val="hybridMultilevel"/>
    <w:tmpl w:val="72C67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63BC9"/>
    <w:multiLevelType w:val="hybridMultilevel"/>
    <w:tmpl w:val="962E0C04"/>
    <w:lvl w:ilvl="0" w:tplc="22127008">
      <w:start w:val="1"/>
      <w:numFmt w:val="bullet"/>
      <w:pStyle w:val="Copy-bullets"/>
      <w:lvlText w:val=""/>
      <w:lvlJc w:val="left"/>
      <w:pPr>
        <w:ind w:left="288" w:hanging="288"/>
      </w:pPr>
      <w:rPr>
        <w:rFonts w:ascii="Symbol" w:hAnsi="Symbol" w:hint="default"/>
        <w:b w:val="0"/>
        <w:i w:val="0"/>
        <w:sz w:val="16"/>
        <w14:numSpacing w14:val="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D6F02"/>
    <w:multiLevelType w:val="hybridMultilevel"/>
    <w:tmpl w:val="04707A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AB1F15"/>
    <w:multiLevelType w:val="hybridMultilevel"/>
    <w:tmpl w:val="63E2487A"/>
    <w:lvl w:ilvl="0" w:tplc="D2E682CC">
      <w:start w:val="1"/>
      <w:numFmt w:val="bullet"/>
      <w:lvlText w:val=""/>
      <w:lvlJc w:val="left"/>
      <w:pPr>
        <w:ind w:left="288" w:hanging="288"/>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30572"/>
    <w:multiLevelType w:val="hybridMultilevel"/>
    <w:tmpl w:val="2FFA0A72"/>
    <w:lvl w:ilvl="0" w:tplc="FD7E72BA">
      <w:numFmt w:val="bullet"/>
      <w:lvlText w:val=""/>
      <w:lvlJc w:val="left"/>
      <w:pPr>
        <w:ind w:left="360" w:hanging="360"/>
      </w:pPr>
      <w:rPr>
        <w:rFonts w:ascii="Symbol" w:eastAsia="Symbol" w:hAnsi="Symbol" w:cs="Symbol" w:hint="default"/>
        <w:color w:val="21286C"/>
        <w:w w:val="100"/>
        <w:sz w:val="22"/>
        <w:szCs w:val="22"/>
        <w:lang w:val="el-GR" w:eastAsia="el-GR" w:bidi="el-GR"/>
      </w:rPr>
    </w:lvl>
    <w:lvl w:ilvl="1" w:tplc="6A7EC516">
      <w:numFmt w:val="bullet"/>
      <w:lvlText w:val="•"/>
      <w:lvlJc w:val="left"/>
      <w:pPr>
        <w:ind w:left="1910" w:hanging="360"/>
      </w:pPr>
      <w:rPr>
        <w:rFonts w:hint="default"/>
        <w:lang w:val="el-GR" w:eastAsia="el-GR" w:bidi="el-GR"/>
      </w:rPr>
    </w:lvl>
    <w:lvl w:ilvl="2" w:tplc="6B868180">
      <w:numFmt w:val="bullet"/>
      <w:lvlText w:val="•"/>
      <w:lvlJc w:val="left"/>
      <w:pPr>
        <w:ind w:left="2841" w:hanging="360"/>
      </w:pPr>
      <w:rPr>
        <w:rFonts w:hint="default"/>
        <w:lang w:val="el-GR" w:eastAsia="el-GR" w:bidi="el-GR"/>
      </w:rPr>
    </w:lvl>
    <w:lvl w:ilvl="3" w:tplc="791C8E46">
      <w:numFmt w:val="bullet"/>
      <w:lvlText w:val="•"/>
      <w:lvlJc w:val="left"/>
      <w:pPr>
        <w:ind w:left="3771" w:hanging="360"/>
      </w:pPr>
      <w:rPr>
        <w:rFonts w:hint="default"/>
        <w:lang w:val="el-GR" w:eastAsia="el-GR" w:bidi="el-GR"/>
      </w:rPr>
    </w:lvl>
    <w:lvl w:ilvl="4" w:tplc="7E5E83E8">
      <w:numFmt w:val="bullet"/>
      <w:lvlText w:val="•"/>
      <w:lvlJc w:val="left"/>
      <w:pPr>
        <w:ind w:left="4702" w:hanging="360"/>
      </w:pPr>
      <w:rPr>
        <w:rFonts w:hint="default"/>
        <w:lang w:val="el-GR" w:eastAsia="el-GR" w:bidi="el-GR"/>
      </w:rPr>
    </w:lvl>
    <w:lvl w:ilvl="5" w:tplc="F32A58D6">
      <w:numFmt w:val="bullet"/>
      <w:lvlText w:val="•"/>
      <w:lvlJc w:val="left"/>
      <w:pPr>
        <w:ind w:left="5633" w:hanging="360"/>
      </w:pPr>
      <w:rPr>
        <w:rFonts w:hint="default"/>
        <w:lang w:val="el-GR" w:eastAsia="el-GR" w:bidi="el-GR"/>
      </w:rPr>
    </w:lvl>
    <w:lvl w:ilvl="6" w:tplc="740A0858">
      <w:numFmt w:val="bullet"/>
      <w:lvlText w:val="•"/>
      <w:lvlJc w:val="left"/>
      <w:pPr>
        <w:ind w:left="6563" w:hanging="360"/>
      </w:pPr>
      <w:rPr>
        <w:rFonts w:hint="default"/>
        <w:lang w:val="el-GR" w:eastAsia="el-GR" w:bidi="el-GR"/>
      </w:rPr>
    </w:lvl>
    <w:lvl w:ilvl="7" w:tplc="82F8FAD4">
      <w:numFmt w:val="bullet"/>
      <w:lvlText w:val="•"/>
      <w:lvlJc w:val="left"/>
      <w:pPr>
        <w:ind w:left="7494" w:hanging="360"/>
      </w:pPr>
      <w:rPr>
        <w:rFonts w:hint="default"/>
        <w:lang w:val="el-GR" w:eastAsia="el-GR" w:bidi="el-GR"/>
      </w:rPr>
    </w:lvl>
    <w:lvl w:ilvl="8" w:tplc="649AFD7A">
      <w:numFmt w:val="bullet"/>
      <w:lvlText w:val="•"/>
      <w:lvlJc w:val="left"/>
      <w:pPr>
        <w:ind w:left="8425" w:hanging="360"/>
      </w:pPr>
      <w:rPr>
        <w:rFonts w:hint="default"/>
        <w:lang w:val="el-GR" w:eastAsia="el-GR" w:bidi="el-GR"/>
      </w:rPr>
    </w:lvl>
  </w:abstractNum>
  <w:abstractNum w:abstractNumId="5" w15:restartNumberingAfterBreak="0">
    <w:nsid w:val="49126946"/>
    <w:multiLevelType w:val="hybridMultilevel"/>
    <w:tmpl w:val="91DE6634"/>
    <w:lvl w:ilvl="0" w:tplc="328ECFC6">
      <w:start w:val="1"/>
      <w:numFmt w:val="bullet"/>
      <w:lvlText w:val=""/>
      <w:lvlJc w:val="left"/>
      <w:pPr>
        <w:ind w:left="216" w:hanging="216"/>
      </w:pPr>
      <w:rPr>
        <w:rFonts w:ascii="Symbol" w:hAnsi="Symbol" w:hint="default"/>
        <w:b w:val="0"/>
        <w:i w:val="0"/>
        <w:sz w:val="11"/>
        <w14:numSpacing w14:val="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A1A49"/>
    <w:multiLevelType w:val="hybridMultilevel"/>
    <w:tmpl w:val="1FBA93DE"/>
    <w:lvl w:ilvl="0" w:tplc="60D68DF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84DC5"/>
    <w:multiLevelType w:val="hybridMultilevel"/>
    <w:tmpl w:val="7DD250BE"/>
    <w:lvl w:ilvl="0" w:tplc="D39EFA6C">
      <w:start w:val="1"/>
      <w:numFmt w:val="bullet"/>
      <w:lvlText w:val=""/>
      <w:lvlJc w:val="left"/>
      <w:pPr>
        <w:ind w:left="216" w:hanging="216"/>
      </w:pPr>
      <w:rPr>
        <w:rFonts w:ascii="Symbol" w:hAnsi="Symbol" w:hint="default"/>
        <w:b w:val="0"/>
        <w:i w:val="0"/>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65ABA"/>
    <w:multiLevelType w:val="hybridMultilevel"/>
    <w:tmpl w:val="6B14505A"/>
    <w:lvl w:ilvl="0" w:tplc="4F8C138E">
      <w:start w:val="1"/>
      <w:numFmt w:val="bullet"/>
      <w:lvlText w:val=""/>
      <w:lvlJc w:val="left"/>
      <w:pPr>
        <w:ind w:left="216" w:hanging="216"/>
      </w:pPr>
      <w:rPr>
        <w:rFonts w:ascii="Symbol" w:hAnsi="Symbol" w:hint="default"/>
        <w:b w:val="0"/>
        <w:i w:val="0"/>
        <w:sz w:val="16"/>
        <w14:numSpacing w14:val="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46673"/>
    <w:multiLevelType w:val="hybridMultilevel"/>
    <w:tmpl w:val="42D2C2E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0" w15:restartNumberingAfterBreak="0">
    <w:nsid w:val="65A6570C"/>
    <w:multiLevelType w:val="hybridMultilevel"/>
    <w:tmpl w:val="B8E00C5C"/>
    <w:lvl w:ilvl="0" w:tplc="DCA06C4A">
      <w:start w:val="1"/>
      <w:numFmt w:val="bullet"/>
      <w:lvlText w:val=""/>
      <w:lvlJc w:val="left"/>
      <w:pPr>
        <w:ind w:left="216" w:hanging="216"/>
      </w:pPr>
      <w:rPr>
        <w:rFonts w:ascii="Symbol" w:hAnsi="Symbol" w:hint="default"/>
        <w:b w:val="0"/>
        <w:i w:val="0"/>
        <w:sz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17F66"/>
    <w:multiLevelType w:val="hybridMultilevel"/>
    <w:tmpl w:val="750E2A2A"/>
    <w:lvl w:ilvl="0" w:tplc="20AA8F9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C03B6"/>
    <w:multiLevelType w:val="hybridMultilevel"/>
    <w:tmpl w:val="521C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73E32"/>
    <w:multiLevelType w:val="hybridMultilevel"/>
    <w:tmpl w:val="B660F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722064">
    <w:abstractNumId w:val="12"/>
  </w:num>
  <w:num w:numId="2" w16cid:durableId="853765238">
    <w:abstractNumId w:val="13"/>
  </w:num>
  <w:num w:numId="3" w16cid:durableId="145585249">
    <w:abstractNumId w:val="3"/>
  </w:num>
  <w:num w:numId="4" w16cid:durableId="1402606254">
    <w:abstractNumId w:val="14"/>
  </w:num>
  <w:num w:numId="5" w16cid:durableId="201596706">
    <w:abstractNumId w:val="14"/>
  </w:num>
  <w:num w:numId="6" w16cid:durableId="2003241306">
    <w:abstractNumId w:val="0"/>
  </w:num>
  <w:num w:numId="7" w16cid:durableId="352078435">
    <w:abstractNumId w:val="6"/>
  </w:num>
  <w:num w:numId="8" w16cid:durableId="836194486">
    <w:abstractNumId w:val="11"/>
  </w:num>
  <w:num w:numId="9" w16cid:durableId="1614239202">
    <w:abstractNumId w:val="7"/>
  </w:num>
  <w:num w:numId="10" w16cid:durableId="47580755">
    <w:abstractNumId w:val="10"/>
  </w:num>
  <w:num w:numId="11" w16cid:durableId="349796468">
    <w:abstractNumId w:val="5"/>
  </w:num>
  <w:num w:numId="12" w16cid:durableId="160853723">
    <w:abstractNumId w:val="8"/>
  </w:num>
  <w:num w:numId="13" w16cid:durableId="1942640588">
    <w:abstractNumId w:val="1"/>
  </w:num>
  <w:num w:numId="14" w16cid:durableId="562256749">
    <w:abstractNumId w:val="2"/>
  </w:num>
  <w:num w:numId="15" w16cid:durableId="2115322848">
    <w:abstractNumId w:val="4"/>
  </w:num>
  <w:num w:numId="16" w16cid:durableId="1722629611">
    <w:abstractNumId w:val="9"/>
  </w:num>
  <w:num w:numId="17" w16cid:durableId="1603759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E5"/>
    <w:rsid w:val="00000253"/>
    <w:rsid w:val="000003F7"/>
    <w:rsid w:val="000004F7"/>
    <w:rsid w:val="00000A8C"/>
    <w:rsid w:val="00000B1C"/>
    <w:rsid w:val="00000F05"/>
    <w:rsid w:val="00001674"/>
    <w:rsid w:val="000017B3"/>
    <w:rsid w:val="00001860"/>
    <w:rsid w:val="00001D40"/>
    <w:rsid w:val="000024F1"/>
    <w:rsid w:val="000026BA"/>
    <w:rsid w:val="00002B69"/>
    <w:rsid w:val="00003461"/>
    <w:rsid w:val="00003C67"/>
    <w:rsid w:val="00004088"/>
    <w:rsid w:val="000043E9"/>
    <w:rsid w:val="00004443"/>
    <w:rsid w:val="0000463E"/>
    <w:rsid w:val="00004B34"/>
    <w:rsid w:val="00004C5D"/>
    <w:rsid w:val="00005371"/>
    <w:rsid w:val="00005EA5"/>
    <w:rsid w:val="00006427"/>
    <w:rsid w:val="000065BC"/>
    <w:rsid w:val="000067D7"/>
    <w:rsid w:val="00006E9C"/>
    <w:rsid w:val="00006F9F"/>
    <w:rsid w:val="000070BF"/>
    <w:rsid w:val="00007459"/>
    <w:rsid w:val="00007A47"/>
    <w:rsid w:val="00007BDA"/>
    <w:rsid w:val="00007E54"/>
    <w:rsid w:val="00007E7B"/>
    <w:rsid w:val="000101EC"/>
    <w:rsid w:val="0001044A"/>
    <w:rsid w:val="0001068C"/>
    <w:rsid w:val="00010882"/>
    <w:rsid w:val="00010D06"/>
    <w:rsid w:val="000113DA"/>
    <w:rsid w:val="000117F8"/>
    <w:rsid w:val="000119D1"/>
    <w:rsid w:val="00011D73"/>
    <w:rsid w:val="000121DE"/>
    <w:rsid w:val="0001236A"/>
    <w:rsid w:val="000129EF"/>
    <w:rsid w:val="00012CE2"/>
    <w:rsid w:val="000130D3"/>
    <w:rsid w:val="00013659"/>
    <w:rsid w:val="000136D5"/>
    <w:rsid w:val="000138B1"/>
    <w:rsid w:val="000143C2"/>
    <w:rsid w:val="000144D9"/>
    <w:rsid w:val="00014CC3"/>
    <w:rsid w:val="000152D2"/>
    <w:rsid w:val="00015A73"/>
    <w:rsid w:val="00015B08"/>
    <w:rsid w:val="00015C36"/>
    <w:rsid w:val="00015F7A"/>
    <w:rsid w:val="00016597"/>
    <w:rsid w:val="00016824"/>
    <w:rsid w:val="00016AD4"/>
    <w:rsid w:val="00016EB2"/>
    <w:rsid w:val="00017213"/>
    <w:rsid w:val="0001757D"/>
    <w:rsid w:val="00017A2D"/>
    <w:rsid w:val="00017BBF"/>
    <w:rsid w:val="00017C57"/>
    <w:rsid w:val="00020187"/>
    <w:rsid w:val="000206DF"/>
    <w:rsid w:val="00020A2F"/>
    <w:rsid w:val="000210C7"/>
    <w:rsid w:val="00021553"/>
    <w:rsid w:val="0002180B"/>
    <w:rsid w:val="000219E2"/>
    <w:rsid w:val="000219F8"/>
    <w:rsid w:val="00022709"/>
    <w:rsid w:val="00022955"/>
    <w:rsid w:val="00022A1D"/>
    <w:rsid w:val="00022B5D"/>
    <w:rsid w:val="00022CCA"/>
    <w:rsid w:val="00022D10"/>
    <w:rsid w:val="00022D57"/>
    <w:rsid w:val="00023060"/>
    <w:rsid w:val="00023B09"/>
    <w:rsid w:val="0002422E"/>
    <w:rsid w:val="00024352"/>
    <w:rsid w:val="000248DE"/>
    <w:rsid w:val="00025097"/>
    <w:rsid w:val="000251C1"/>
    <w:rsid w:val="0002553B"/>
    <w:rsid w:val="0002553E"/>
    <w:rsid w:val="000257BE"/>
    <w:rsid w:val="00025C56"/>
    <w:rsid w:val="00026128"/>
    <w:rsid w:val="00026352"/>
    <w:rsid w:val="000264C8"/>
    <w:rsid w:val="00026B92"/>
    <w:rsid w:val="000275E6"/>
    <w:rsid w:val="00027E8A"/>
    <w:rsid w:val="000300A0"/>
    <w:rsid w:val="00030429"/>
    <w:rsid w:val="00030635"/>
    <w:rsid w:val="00030683"/>
    <w:rsid w:val="0003075A"/>
    <w:rsid w:val="00030784"/>
    <w:rsid w:val="0003154F"/>
    <w:rsid w:val="00031CA7"/>
    <w:rsid w:val="00031E9C"/>
    <w:rsid w:val="00032141"/>
    <w:rsid w:val="00032256"/>
    <w:rsid w:val="00032424"/>
    <w:rsid w:val="000329D2"/>
    <w:rsid w:val="00032B0E"/>
    <w:rsid w:val="00032C88"/>
    <w:rsid w:val="000334D7"/>
    <w:rsid w:val="000335C7"/>
    <w:rsid w:val="00033D2E"/>
    <w:rsid w:val="00033D4B"/>
    <w:rsid w:val="00034100"/>
    <w:rsid w:val="00034256"/>
    <w:rsid w:val="000349A3"/>
    <w:rsid w:val="00034DD1"/>
    <w:rsid w:val="0003542F"/>
    <w:rsid w:val="00035AC1"/>
    <w:rsid w:val="00035C77"/>
    <w:rsid w:val="0003621C"/>
    <w:rsid w:val="0003648E"/>
    <w:rsid w:val="00036628"/>
    <w:rsid w:val="00036F04"/>
    <w:rsid w:val="00036F85"/>
    <w:rsid w:val="00037430"/>
    <w:rsid w:val="00037ADB"/>
    <w:rsid w:val="00037FC3"/>
    <w:rsid w:val="000407B6"/>
    <w:rsid w:val="00040835"/>
    <w:rsid w:val="00040907"/>
    <w:rsid w:val="00040DB1"/>
    <w:rsid w:val="00040ECB"/>
    <w:rsid w:val="00041436"/>
    <w:rsid w:val="00041929"/>
    <w:rsid w:val="00041D9F"/>
    <w:rsid w:val="0004228E"/>
    <w:rsid w:val="00042FE5"/>
    <w:rsid w:val="000432DF"/>
    <w:rsid w:val="00043671"/>
    <w:rsid w:val="000439F9"/>
    <w:rsid w:val="00043B00"/>
    <w:rsid w:val="00043F40"/>
    <w:rsid w:val="0004476B"/>
    <w:rsid w:val="000448FE"/>
    <w:rsid w:val="00044A79"/>
    <w:rsid w:val="00044C0A"/>
    <w:rsid w:val="00044DAC"/>
    <w:rsid w:val="00044DFA"/>
    <w:rsid w:val="0004529A"/>
    <w:rsid w:val="000454E3"/>
    <w:rsid w:val="0004561E"/>
    <w:rsid w:val="000456F7"/>
    <w:rsid w:val="00045FB6"/>
    <w:rsid w:val="000461A2"/>
    <w:rsid w:val="0004621D"/>
    <w:rsid w:val="00046369"/>
    <w:rsid w:val="0004644D"/>
    <w:rsid w:val="00046551"/>
    <w:rsid w:val="000465D7"/>
    <w:rsid w:val="00046643"/>
    <w:rsid w:val="00046E37"/>
    <w:rsid w:val="00046EDD"/>
    <w:rsid w:val="000474D2"/>
    <w:rsid w:val="00047B73"/>
    <w:rsid w:val="000508AA"/>
    <w:rsid w:val="00050D12"/>
    <w:rsid w:val="00050F16"/>
    <w:rsid w:val="00051027"/>
    <w:rsid w:val="000511FA"/>
    <w:rsid w:val="00051942"/>
    <w:rsid w:val="00051BE9"/>
    <w:rsid w:val="00051EA9"/>
    <w:rsid w:val="0005231F"/>
    <w:rsid w:val="0005262E"/>
    <w:rsid w:val="0005351E"/>
    <w:rsid w:val="000535E0"/>
    <w:rsid w:val="00053B98"/>
    <w:rsid w:val="000541D9"/>
    <w:rsid w:val="0005437D"/>
    <w:rsid w:val="00054409"/>
    <w:rsid w:val="00054688"/>
    <w:rsid w:val="00054933"/>
    <w:rsid w:val="00054A7A"/>
    <w:rsid w:val="0005530A"/>
    <w:rsid w:val="00055ED4"/>
    <w:rsid w:val="00056155"/>
    <w:rsid w:val="00056306"/>
    <w:rsid w:val="000563CF"/>
    <w:rsid w:val="000564D7"/>
    <w:rsid w:val="00056647"/>
    <w:rsid w:val="00056BB8"/>
    <w:rsid w:val="00056F82"/>
    <w:rsid w:val="000572A5"/>
    <w:rsid w:val="00057719"/>
    <w:rsid w:val="000578DF"/>
    <w:rsid w:val="000579E7"/>
    <w:rsid w:val="00060042"/>
    <w:rsid w:val="00060EBA"/>
    <w:rsid w:val="00060F1B"/>
    <w:rsid w:val="000613F6"/>
    <w:rsid w:val="0006146B"/>
    <w:rsid w:val="00061614"/>
    <w:rsid w:val="000618A7"/>
    <w:rsid w:val="00062136"/>
    <w:rsid w:val="000624CF"/>
    <w:rsid w:val="00062926"/>
    <w:rsid w:val="00062F27"/>
    <w:rsid w:val="00062F64"/>
    <w:rsid w:val="0006300F"/>
    <w:rsid w:val="0006310F"/>
    <w:rsid w:val="0006341E"/>
    <w:rsid w:val="000639E8"/>
    <w:rsid w:val="00063B0C"/>
    <w:rsid w:val="00063CB0"/>
    <w:rsid w:val="00063EF7"/>
    <w:rsid w:val="00064049"/>
    <w:rsid w:val="00064445"/>
    <w:rsid w:val="0006457F"/>
    <w:rsid w:val="0006480F"/>
    <w:rsid w:val="00064811"/>
    <w:rsid w:val="00065772"/>
    <w:rsid w:val="000660EA"/>
    <w:rsid w:val="000676B9"/>
    <w:rsid w:val="0006780A"/>
    <w:rsid w:val="00067FBD"/>
    <w:rsid w:val="000706AC"/>
    <w:rsid w:val="00070C3F"/>
    <w:rsid w:val="000711F9"/>
    <w:rsid w:val="0007151C"/>
    <w:rsid w:val="00071E72"/>
    <w:rsid w:val="00072261"/>
    <w:rsid w:val="00072408"/>
    <w:rsid w:val="00073B90"/>
    <w:rsid w:val="00073C04"/>
    <w:rsid w:val="00073F75"/>
    <w:rsid w:val="00074867"/>
    <w:rsid w:val="00074886"/>
    <w:rsid w:val="00074C90"/>
    <w:rsid w:val="00074F92"/>
    <w:rsid w:val="000750E8"/>
    <w:rsid w:val="0007523A"/>
    <w:rsid w:val="0007536C"/>
    <w:rsid w:val="00075802"/>
    <w:rsid w:val="000759B8"/>
    <w:rsid w:val="00076220"/>
    <w:rsid w:val="00076640"/>
    <w:rsid w:val="0007692D"/>
    <w:rsid w:val="00076F98"/>
    <w:rsid w:val="000770E7"/>
    <w:rsid w:val="00077539"/>
    <w:rsid w:val="00077553"/>
    <w:rsid w:val="000779D3"/>
    <w:rsid w:val="00077B58"/>
    <w:rsid w:val="00077B73"/>
    <w:rsid w:val="00077B9C"/>
    <w:rsid w:val="00077EF7"/>
    <w:rsid w:val="000800F3"/>
    <w:rsid w:val="000803A2"/>
    <w:rsid w:val="000805CC"/>
    <w:rsid w:val="00080950"/>
    <w:rsid w:val="00080BB2"/>
    <w:rsid w:val="00081182"/>
    <w:rsid w:val="000815E8"/>
    <w:rsid w:val="00081761"/>
    <w:rsid w:val="000818BB"/>
    <w:rsid w:val="00081C09"/>
    <w:rsid w:val="00082197"/>
    <w:rsid w:val="000821C6"/>
    <w:rsid w:val="00082579"/>
    <w:rsid w:val="00082F31"/>
    <w:rsid w:val="0008302A"/>
    <w:rsid w:val="00083160"/>
    <w:rsid w:val="00083652"/>
    <w:rsid w:val="00083749"/>
    <w:rsid w:val="00083B09"/>
    <w:rsid w:val="00083DC1"/>
    <w:rsid w:val="000841E6"/>
    <w:rsid w:val="00084B6D"/>
    <w:rsid w:val="00084BAB"/>
    <w:rsid w:val="00084F49"/>
    <w:rsid w:val="000851F2"/>
    <w:rsid w:val="0008528F"/>
    <w:rsid w:val="00085413"/>
    <w:rsid w:val="00085911"/>
    <w:rsid w:val="00085C30"/>
    <w:rsid w:val="00085CDC"/>
    <w:rsid w:val="0008606C"/>
    <w:rsid w:val="0008671A"/>
    <w:rsid w:val="00086A65"/>
    <w:rsid w:val="00087655"/>
    <w:rsid w:val="00087941"/>
    <w:rsid w:val="0009063C"/>
    <w:rsid w:val="0009067A"/>
    <w:rsid w:val="0009072A"/>
    <w:rsid w:val="00090B9E"/>
    <w:rsid w:val="000913C0"/>
    <w:rsid w:val="00091AEC"/>
    <w:rsid w:val="00091D13"/>
    <w:rsid w:val="00092B0D"/>
    <w:rsid w:val="00092C27"/>
    <w:rsid w:val="00092C70"/>
    <w:rsid w:val="000930EC"/>
    <w:rsid w:val="00093231"/>
    <w:rsid w:val="0009334E"/>
    <w:rsid w:val="00093B70"/>
    <w:rsid w:val="00093C6C"/>
    <w:rsid w:val="00093E9E"/>
    <w:rsid w:val="00093EE3"/>
    <w:rsid w:val="00093F29"/>
    <w:rsid w:val="0009412F"/>
    <w:rsid w:val="000946B9"/>
    <w:rsid w:val="00094702"/>
    <w:rsid w:val="0009479C"/>
    <w:rsid w:val="00094E1D"/>
    <w:rsid w:val="00094F44"/>
    <w:rsid w:val="00095A46"/>
    <w:rsid w:val="00095CCF"/>
    <w:rsid w:val="00095D92"/>
    <w:rsid w:val="0009632B"/>
    <w:rsid w:val="00097464"/>
    <w:rsid w:val="000977BD"/>
    <w:rsid w:val="00097F33"/>
    <w:rsid w:val="000A0454"/>
    <w:rsid w:val="000A08EB"/>
    <w:rsid w:val="000A0B99"/>
    <w:rsid w:val="000A14A5"/>
    <w:rsid w:val="000A1BBE"/>
    <w:rsid w:val="000A1CF0"/>
    <w:rsid w:val="000A22AB"/>
    <w:rsid w:val="000A22C7"/>
    <w:rsid w:val="000A2316"/>
    <w:rsid w:val="000A2708"/>
    <w:rsid w:val="000A2BE7"/>
    <w:rsid w:val="000A3073"/>
    <w:rsid w:val="000A36AC"/>
    <w:rsid w:val="000A3B2E"/>
    <w:rsid w:val="000A3CA1"/>
    <w:rsid w:val="000A4140"/>
    <w:rsid w:val="000A427E"/>
    <w:rsid w:val="000A48C2"/>
    <w:rsid w:val="000A4A18"/>
    <w:rsid w:val="000A4BB7"/>
    <w:rsid w:val="000A4FDB"/>
    <w:rsid w:val="000A5068"/>
    <w:rsid w:val="000A56E1"/>
    <w:rsid w:val="000A581E"/>
    <w:rsid w:val="000A7031"/>
    <w:rsid w:val="000A7162"/>
    <w:rsid w:val="000A719E"/>
    <w:rsid w:val="000A7808"/>
    <w:rsid w:val="000A78AE"/>
    <w:rsid w:val="000A79C2"/>
    <w:rsid w:val="000A7AF3"/>
    <w:rsid w:val="000A7B28"/>
    <w:rsid w:val="000A7B4C"/>
    <w:rsid w:val="000A7C9B"/>
    <w:rsid w:val="000A7E90"/>
    <w:rsid w:val="000B00B7"/>
    <w:rsid w:val="000B0963"/>
    <w:rsid w:val="000B09CA"/>
    <w:rsid w:val="000B0E89"/>
    <w:rsid w:val="000B10CF"/>
    <w:rsid w:val="000B13BA"/>
    <w:rsid w:val="000B13DC"/>
    <w:rsid w:val="000B1A9C"/>
    <w:rsid w:val="000B1F0A"/>
    <w:rsid w:val="000B1FBD"/>
    <w:rsid w:val="000B2028"/>
    <w:rsid w:val="000B2963"/>
    <w:rsid w:val="000B30A3"/>
    <w:rsid w:val="000B3180"/>
    <w:rsid w:val="000B32F4"/>
    <w:rsid w:val="000B35A9"/>
    <w:rsid w:val="000B3D08"/>
    <w:rsid w:val="000B3F96"/>
    <w:rsid w:val="000B4A16"/>
    <w:rsid w:val="000B4B71"/>
    <w:rsid w:val="000B4EB0"/>
    <w:rsid w:val="000B4FD3"/>
    <w:rsid w:val="000B5071"/>
    <w:rsid w:val="000B525B"/>
    <w:rsid w:val="000B594A"/>
    <w:rsid w:val="000B68D8"/>
    <w:rsid w:val="000B6AF7"/>
    <w:rsid w:val="000B6EBF"/>
    <w:rsid w:val="000B794C"/>
    <w:rsid w:val="000B7AA6"/>
    <w:rsid w:val="000B7E84"/>
    <w:rsid w:val="000C0033"/>
    <w:rsid w:val="000C0249"/>
    <w:rsid w:val="000C04FC"/>
    <w:rsid w:val="000C06D8"/>
    <w:rsid w:val="000C0742"/>
    <w:rsid w:val="000C09C2"/>
    <w:rsid w:val="000C0B29"/>
    <w:rsid w:val="000C0DD3"/>
    <w:rsid w:val="000C0F52"/>
    <w:rsid w:val="000C0F5F"/>
    <w:rsid w:val="000C14BA"/>
    <w:rsid w:val="000C1C47"/>
    <w:rsid w:val="000C1CAA"/>
    <w:rsid w:val="000C1E53"/>
    <w:rsid w:val="000C1FBD"/>
    <w:rsid w:val="000C2394"/>
    <w:rsid w:val="000C2FEB"/>
    <w:rsid w:val="000C3C85"/>
    <w:rsid w:val="000C40F5"/>
    <w:rsid w:val="000C4352"/>
    <w:rsid w:val="000C4AF5"/>
    <w:rsid w:val="000C4C33"/>
    <w:rsid w:val="000C51EF"/>
    <w:rsid w:val="000C5406"/>
    <w:rsid w:val="000C562C"/>
    <w:rsid w:val="000C5717"/>
    <w:rsid w:val="000C5776"/>
    <w:rsid w:val="000C6349"/>
    <w:rsid w:val="000C6C75"/>
    <w:rsid w:val="000C7009"/>
    <w:rsid w:val="000C708D"/>
    <w:rsid w:val="000C770B"/>
    <w:rsid w:val="000C788C"/>
    <w:rsid w:val="000C7F86"/>
    <w:rsid w:val="000C7FFD"/>
    <w:rsid w:val="000D014F"/>
    <w:rsid w:val="000D0324"/>
    <w:rsid w:val="000D0E9D"/>
    <w:rsid w:val="000D1903"/>
    <w:rsid w:val="000D1D9F"/>
    <w:rsid w:val="000D20F4"/>
    <w:rsid w:val="000D2544"/>
    <w:rsid w:val="000D3930"/>
    <w:rsid w:val="000D3E1F"/>
    <w:rsid w:val="000D3F8F"/>
    <w:rsid w:val="000D450F"/>
    <w:rsid w:val="000D4AE0"/>
    <w:rsid w:val="000D4D84"/>
    <w:rsid w:val="000D5276"/>
    <w:rsid w:val="000D58ED"/>
    <w:rsid w:val="000D6595"/>
    <w:rsid w:val="000D6C0E"/>
    <w:rsid w:val="000D70D0"/>
    <w:rsid w:val="000D7B5C"/>
    <w:rsid w:val="000D7CE1"/>
    <w:rsid w:val="000D7E68"/>
    <w:rsid w:val="000E0841"/>
    <w:rsid w:val="000E12CA"/>
    <w:rsid w:val="000E1434"/>
    <w:rsid w:val="000E1C00"/>
    <w:rsid w:val="000E24C9"/>
    <w:rsid w:val="000E2747"/>
    <w:rsid w:val="000E2841"/>
    <w:rsid w:val="000E28AE"/>
    <w:rsid w:val="000E2A55"/>
    <w:rsid w:val="000E2DEC"/>
    <w:rsid w:val="000E2F86"/>
    <w:rsid w:val="000E3654"/>
    <w:rsid w:val="000E37E8"/>
    <w:rsid w:val="000E39E8"/>
    <w:rsid w:val="000E3C35"/>
    <w:rsid w:val="000E3F60"/>
    <w:rsid w:val="000E3F73"/>
    <w:rsid w:val="000E3FC8"/>
    <w:rsid w:val="000E56A4"/>
    <w:rsid w:val="000E576D"/>
    <w:rsid w:val="000E5AC7"/>
    <w:rsid w:val="000E5AF8"/>
    <w:rsid w:val="000E5B80"/>
    <w:rsid w:val="000E625F"/>
    <w:rsid w:val="000E680D"/>
    <w:rsid w:val="000E69AF"/>
    <w:rsid w:val="000E6B5B"/>
    <w:rsid w:val="000E6D16"/>
    <w:rsid w:val="000E6F9D"/>
    <w:rsid w:val="000E71EB"/>
    <w:rsid w:val="000E731B"/>
    <w:rsid w:val="000E731D"/>
    <w:rsid w:val="000E74D6"/>
    <w:rsid w:val="000E76CC"/>
    <w:rsid w:val="000E78DB"/>
    <w:rsid w:val="000F07A6"/>
    <w:rsid w:val="000F09E6"/>
    <w:rsid w:val="000F0E7D"/>
    <w:rsid w:val="000F11D5"/>
    <w:rsid w:val="000F18A0"/>
    <w:rsid w:val="000F2055"/>
    <w:rsid w:val="000F2067"/>
    <w:rsid w:val="000F21DA"/>
    <w:rsid w:val="000F231D"/>
    <w:rsid w:val="000F27D8"/>
    <w:rsid w:val="000F2AAE"/>
    <w:rsid w:val="000F2F52"/>
    <w:rsid w:val="000F3803"/>
    <w:rsid w:val="000F39E0"/>
    <w:rsid w:val="000F3D92"/>
    <w:rsid w:val="000F3FD5"/>
    <w:rsid w:val="000F498C"/>
    <w:rsid w:val="000F4A92"/>
    <w:rsid w:val="000F4B08"/>
    <w:rsid w:val="000F4D12"/>
    <w:rsid w:val="000F4E64"/>
    <w:rsid w:val="000F4F2B"/>
    <w:rsid w:val="000F523A"/>
    <w:rsid w:val="000F55D6"/>
    <w:rsid w:val="000F604B"/>
    <w:rsid w:val="000F63A7"/>
    <w:rsid w:val="000F6473"/>
    <w:rsid w:val="000F64B4"/>
    <w:rsid w:val="000F6650"/>
    <w:rsid w:val="000F6B23"/>
    <w:rsid w:val="000F6F80"/>
    <w:rsid w:val="000F7616"/>
    <w:rsid w:val="000F7720"/>
    <w:rsid w:val="001004E8"/>
    <w:rsid w:val="00100754"/>
    <w:rsid w:val="001008F9"/>
    <w:rsid w:val="00100C01"/>
    <w:rsid w:val="00101406"/>
    <w:rsid w:val="00101429"/>
    <w:rsid w:val="001015C5"/>
    <w:rsid w:val="0010179A"/>
    <w:rsid w:val="00101840"/>
    <w:rsid w:val="001018CE"/>
    <w:rsid w:val="0010191A"/>
    <w:rsid w:val="00101A63"/>
    <w:rsid w:val="001020EA"/>
    <w:rsid w:val="00102251"/>
    <w:rsid w:val="0010227D"/>
    <w:rsid w:val="00102295"/>
    <w:rsid w:val="00102CEF"/>
    <w:rsid w:val="00102DBC"/>
    <w:rsid w:val="00103084"/>
    <w:rsid w:val="001030BA"/>
    <w:rsid w:val="00103693"/>
    <w:rsid w:val="001039B7"/>
    <w:rsid w:val="00103A36"/>
    <w:rsid w:val="00103E76"/>
    <w:rsid w:val="001040AA"/>
    <w:rsid w:val="00104480"/>
    <w:rsid w:val="001048BB"/>
    <w:rsid w:val="00104A05"/>
    <w:rsid w:val="00104A1A"/>
    <w:rsid w:val="00104B42"/>
    <w:rsid w:val="00105144"/>
    <w:rsid w:val="0010539E"/>
    <w:rsid w:val="00105437"/>
    <w:rsid w:val="0010562B"/>
    <w:rsid w:val="001059E7"/>
    <w:rsid w:val="00105E99"/>
    <w:rsid w:val="00106081"/>
    <w:rsid w:val="00106413"/>
    <w:rsid w:val="00106690"/>
    <w:rsid w:val="00106724"/>
    <w:rsid w:val="00106CFC"/>
    <w:rsid w:val="00106EEC"/>
    <w:rsid w:val="00106EF8"/>
    <w:rsid w:val="0010702C"/>
    <w:rsid w:val="00107139"/>
    <w:rsid w:val="001076EF"/>
    <w:rsid w:val="00107887"/>
    <w:rsid w:val="00107D9D"/>
    <w:rsid w:val="001100BF"/>
    <w:rsid w:val="001106F9"/>
    <w:rsid w:val="00110AA6"/>
    <w:rsid w:val="00110B32"/>
    <w:rsid w:val="00110D31"/>
    <w:rsid w:val="0011141C"/>
    <w:rsid w:val="001114D5"/>
    <w:rsid w:val="00111998"/>
    <w:rsid w:val="00111B56"/>
    <w:rsid w:val="00111C53"/>
    <w:rsid w:val="001120C7"/>
    <w:rsid w:val="0011224C"/>
    <w:rsid w:val="0011245C"/>
    <w:rsid w:val="001124CA"/>
    <w:rsid w:val="001129B3"/>
    <w:rsid w:val="00112B07"/>
    <w:rsid w:val="00112D0B"/>
    <w:rsid w:val="00112E83"/>
    <w:rsid w:val="001132DB"/>
    <w:rsid w:val="00113329"/>
    <w:rsid w:val="0011338D"/>
    <w:rsid w:val="00113659"/>
    <w:rsid w:val="00113BA9"/>
    <w:rsid w:val="00113DD6"/>
    <w:rsid w:val="00114049"/>
    <w:rsid w:val="00114056"/>
    <w:rsid w:val="00114B6E"/>
    <w:rsid w:val="00114F5C"/>
    <w:rsid w:val="0011513B"/>
    <w:rsid w:val="00115546"/>
    <w:rsid w:val="00115569"/>
    <w:rsid w:val="001159C0"/>
    <w:rsid w:val="00115A72"/>
    <w:rsid w:val="00115CD9"/>
    <w:rsid w:val="00115F00"/>
    <w:rsid w:val="001160EC"/>
    <w:rsid w:val="00116184"/>
    <w:rsid w:val="0011640B"/>
    <w:rsid w:val="00116E1F"/>
    <w:rsid w:val="00117442"/>
    <w:rsid w:val="00117468"/>
    <w:rsid w:val="001175F3"/>
    <w:rsid w:val="00117846"/>
    <w:rsid w:val="00117BDF"/>
    <w:rsid w:val="00117C7E"/>
    <w:rsid w:val="00117D25"/>
    <w:rsid w:val="00117DF0"/>
    <w:rsid w:val="001204A8"/>
    <w:rsid w:val="00121F7A"/>
    <w:rsid w:val="00122205"/>
    <w:rsid w:val="001222CC"/>
    <w:rsid w:val="001223BB"/>
    <w:rsid w:val="0012359D"/>
    <w:rsid w:val="00123BAC"/>
    <w:rsid w:val="001242E3"/>
    <w:rsid w:val="00124569"/>
    <w:rsid w:val="001245D1"/>
    <w:rsid w:val="00124C9C"/>
    <w:rsid w:val="00124D18"/>
    <w:rsid w:val="00124D7B"/>
    <w:rsid w:val="00124E8E"/>
    <w:rsid w:val="0012543B"/>
    <w:rsid w:val="00125ED7"/>
    <w:rsid w:val="001263D3"/>
    <w:rsid w:val="001267FC"/>
    <w:rsid w:val="00126D76"/>
    <w:rsid w:val="001273C4"/>
    <w:rsid w:val="00127472"/>
    <w:rsid w:val="00130272"/>
    <w:rsid w:val="001306FC"/>
    <w:rsid w:val="00130FC7"/>
    <w:rsid w:val="00131197"/>
    <w:rsid w:val="00131325"/>
    <w:rsid w:val="0013158E"/>
    <w:rsid w:val="00131A44"/>
    <w:rsid w:val="00132B7B"/>
    <w:rsid w:val="00132C77"/>
    <w:rsid w:val="00133502"/>
    <w:rsid w:val="0013444D"/>
    <w:rsid w:val="001347AE"/>
    <w:rsid w:val="00134D88"/>
    <w:rsid w:val="00135625"/>
    <w:rsid w:val="00135B3E"/>
    <w:rsid w:val="00135BC9"/>
    <w:rsid w:val="00135D67"/>
    <w:rsid w:val="001362EF"/>
    <w:rsid w:val="00136C24"/>
    <w:rsid w:val="00136E2D"/>
    <w:rsid w:val="001371A6"/>
    <w:rsid w:val="001379B3"/>
    <w:rsid w:val="001379D0"/>
    <w:rsid w:val="00137C0B"/>
    <w:rsid w:val="00137D7C"/>
    <w:rsid w:val="0014008E"/>
    <w:rsid w:val="00140323"/>
    <w:rsid w:val="001403A5"/>
    <w:rsid w:val="00140666"/>
    <w:rsid w:val="00141940"/>
    <w:rsid w:val="00141AFF"/>
    <w:rsid w:val="001421C3"/>
    <w:rsid w:val="00142B48"/>
    <w:rsid w:val="0014447B"/>
    <w:rsid w:val="001457C1"/>
    <w:rsid w:val="00145C8C"/>
    <w:rsid w:val="0014604B"/>
    <w:rsid w:val="00146337"/>
    <w:rsid w:val="001463D2"/>
    <w:rsid w:val="0014653E"/>
    <w:rsid w:val="00146654"/>
    <w:rsid w:val="00146A63"/>
    <w:rsid w:val="00146E4F"/>
    <w:rsid w:val="001477F0"/>
    <w:rsid w:val="00147EF9"/>
    <w:rsid w:val="00150054"/>
    <w:rsid w:val="001508CE"/>
    <w:rsid w:val="00150A22"/>
    <w:rsid w:val="001516B5"/>
    <w:rsid w:val="0015180B"/>
    <w:rsid w:val="00152764"/>
    <w:rsid w:val="001529E9"/>
    <w:rsid w:val="00152D0A"/>
    <w:rsid w:val="00152EF6"/>
    <w:rsid w:val="00153187"/>
    <w:rsid w:val="00153244"/>
    <w:rsid w:val="001532AB"/>
    <w:rsid w:val="001535E6"/>
    <w:rsid w:val="00153BFA"/>
    <w:rsid w:val="00153D42"/>
    <w:rsid w:val="00153EFE"/>
    <w:rsid w:val="00154525"/>
    <w:rsid w:val="00154B6E"/>
    <w:rsid w:val="00154C8A"/>
    <w:rsid w:val="00154DD7"/>
    <w:rsid w:val="00154E7E"/>
    <w:rsid w:val="00155ED4"/>
    <w:rsid w:val="00155EEF"/>
    <w:rsid w:val="0015618A"/>
    <w:rsid w:val="00156434"/>
    <w:rsid w:val="00156538"/>
    <w:rsid w:val="0015661B"/>
    <w:rsid w:val="00156824"/>
    <w:rsid w:val="00156DA1"/>
    <w:rsid w:val="00157A53"/>
    <w:rsid w:val="00157DA9"/>
    <w:rsid w:val="0016006E"/>
    <w:rsid w:val="00160197"/>
    <w:rsid w:val="001603C2"/>
    <w:rsid w:val="001609F2"/>
    <w:rsid w:val="00160C54"/>
    <w:rsid w:val="00160C66"/>
    <w:rsid w:val="00160C8E"/>
    <w:rsid w:val="00160D5A"/>
    <w:rsid w:val="001615D2"/>
    <w:rsid w:val="00161977"/>
    <w:rsid w:val="00161D7C"/>
    <w:rsid w:val="00161E1A"/>
    <w:rsid w:val="00161E73"/>
    <w:rsid w:val="00162488"/>
    <w:rsid w:val="00162A61"/>
    <w:rsid w:val="0016303E"/>
    <w:rsid w:val="001630CB"/>
    <w:rsid w:val="0016336A"/>
    <w:rsid w:val="00163A41"/>
    <w:rsid w:val="00163B71"/>
    <w:rsid w:val="00163C2C"/>
    <w:rsid w:val="00163C88"/>
    <w:rsid w:val="00163F8B"/>
    <w:rsid w:val="00164194"/>
    <w:rsid w:val="00164A70"/>
    <w:rsid w:val="00165396"/>
    <w:rsid w:val="00165488"/>
    <w:rsid w:val="00165555"/>
    <w:rsid w:val="001655C2"/>
    <w:rsid w:val="00165A26"/>
    <w:rsid w:val="00165E24"/>
    <w:rsid w:val="001660E1"/>
    <w:rsid w:val="001662DA"/>
    <w:rsid w:val="0016691B"/>
    <w:rsid w:val="001669F2"/>
    <w:rsid w:val="00166C49"/>
    <w:rsid w:val="00167C40"/>
    <w:rsid w:val="0017015F"/>
    <w:rsid w:val="001707D3"/>
    <w:rsid w:val="001707F7"/>
    <w:rsid w:val="001708A8"/>
    <w:rsid w:val="00170B8D"/>
    <w:rsid w:val="00170F7F"/>
    <w:rsid w:val="001711F6"/>
    <w:rsid w:val="00171ACD"/>
    <w:rsid w:val="00171D26"/>
    <w:rsid w:val="00172343"/>
    <w:rsid w:val="0017261E"/>
    <w:rsid w:val="00172789"/>
    <w:rsid w:val="001729B1"/>
    <w:rsid w:val="00172AA0"/>
    <w:rsid w:val="00173188"/>
    <w:rsid w:val="0017327F"/>
    <w:rsid w:val="0017342C"/>
    <w:rsid w:val="0017398C"/>
    <w:rsid w:val="00173BE8"/>
    <w:rsid w:val="001741C7"/>
    <w:rsid w:val="001744E6"/>
    <w:rsid w:val="00174973"/>
    <w:rsid w:val="0017498F"/>
    <w:rsid w:val="00174A25"/>
    <w:rsid w:val="00174A65"/>
    <w:rsid w:val="00174F90"/>
    <w:rsid w:val="00175433"/>
    <w:rsid w:val="001758FB"/>
    <w:rsid w:val="00175E33"/>
    <w:rsid w:val="001764F3"/>
    <w:rsid w:val="00176689"/>
    <w:rsid w:val="00176884"/>
    <w:rsid w:val="00176B4F"/>
    <w:rsid w:val="00176CB5"/>
    <w:rsid w:val="001777B0"/>
    <w:rsid w:val="00180058"/>
    <w:rsid w:val="001800E6"/>
    <w:rsid w:val="00180161"/>
    <w:rsid w:val="00180842"/>
    <w:rsid w:val="00180B7C"/>
    <w:rsid w:val="00180B88"/>
    <w:rsid w:val="00180CB4"/>
    <w:rsid w:val="0018108A"/>
    <w:rsid w:val="001814F2"/>
    <w:rsid w:val="001819FA"/>
    <w:rsid w:val="00181B8B"/>
    <w:rsid w:val="00182964"/>
    <w:rsid w:val="00182AAC"/>
    <w:rsid w:val="00182FF8"/>
    <w:rsid w:val="001830E0"/>
    <w:rsid w:val="001832D1"/>
    <w:rsid w:val="0018339A"/>
    <w:rsid w:val="00185BE0"/>
    <w:rsid w:val="00185C2F"/>
    <w:rsid w:val="00186058"/>
    <w:rsid w:val="00186067"/>
    <w:rsid w:val="00186A6D"/>
    <w:rsid w:val="00186D28"/>
    <w:rsid w:val="00186DA0"/>
    <w:rsid w:val="00187338"/>
    <w:rsid w:val="0018756F"/>
    <w:rsid w:val="00187843"/>
    <w:rsid w:val="0018785F"/>
    <w:rsid w:val="00187945"/>
    <w:rsid w:val="00187D19"/>
    <w:rsid w:val="00187DB3"/>
    <w:rsid w:val="00190646"/>
    <w:rsid w:val="0019069F"/>
    <w:rsid w:val="0019081C"/>
    <w:rsid w:val="001916BE"/>
    <w:rsid w:val="0019176C"/>
    <w:rsid w:val="00191D14"/>
    <w:rsid w:val="00191FB1"/>
    <w:rsid w:val="001925C9"/>
    <w:rsid w:val="0019295D"/>
    <w:rsid w:val="001929D5"/>
    <w:rsid w:val="00193230"/>
    <w:rsid w:val="0019343B"/>
    <w:rsid w:val="00193445"/>
    <w:rsid w:val="00193514"/>
    <w:rsid w:val="00193700"/>
    <w:rsid w:val="00193726"/>
    <w:rsid w:val="00193B7E"/>
    <w:rsid w:val="00193C1E"/>
    <w:rsid w:val="0019474E"/>
    <w:rsid w:val="001948D4"/>
    <w:rsid w:val="00194BA1"/>
    <w:rsid w:val="00194E7C"/>
    <w:rsid w:val="00194F8E"/>
    <w:rsid w:val="00194FE4"/>
    <w:rsid w:val="00195721"/>
    <w:rsid w:val="00195ADA"/>
    <w:rsid w:val="00195E5E"/>
    <w:rsid w:val="00196248"/>
    <w:rsid w:val="00196512"/>
    <w:rsid w:val="001965A3"/>
    <w:rsid w:val="001969B8"/>
    <w:rsid w:val="00196D1E"/>
    <w:rsid w:val="00196EB0"/>
    <w:rsid w:val="00197818"/>
    <w:rsid w:val="0019785E"/>
    <w:rsid w:val="001A0210"/>
    <w:rsid w:val="001A02F7"/>
    <w:rsid w:val="001A0AEE"/>
    <w:rsid w:val="001A0C23"/>
    <w:rsid w:val="001A0E01"/>
    <w:rsid w:val="001A10B0"/>
    <w:rsid w:val="001A11A5"/>
    <w:rsid w:val="001A1223"/>
    <w:rsid w:val="001A1687"/>
    <w:rsid w:val="001A16B5"/>
    <w:rsid w:val="001A1BA0"/>
    <w:rsid w:val="001A1DC7"/>
    <w:rsid w:val="001A22BF"/>
    <w:rsid w:val="001A2355"/>
    <w:rsid w:val="001A2D38"/>
    <w:rsid w:val="001A2FFA"/>
    <w:rsid w:val="001A3DFE"/>
    <w:rsid w:val="001A4603"/>
    <w:rsid w:val="001A4BFA"/>
    <w:rsid w:val="001A4F4E"/>
    <w:rsid w:val="001A5629"/>
    <w:rsid w:val="001A571A"/>
    <w:rsid w:val="001A5903"/>
    <w:rsid w:val="001A5D8D"/>
    <w:rsid w:val="001A6834"/>
    <w:rsid w:val="001A6A53"/>
    <w:rsid w:val="001A6AB0"/>
    <w:rsid w:val="001A6C54"/>
    <w:rsid w:val="001A6F6A"/>
    <w:rsid w:val="001A74E0"/>
    <w:rsid w:val="001B0169"/>
    <w:rsid w:val="001B0285"/>
    <w:rsid w:val="001B0B19"/>
    <w:rsid w:val="001B1173"/>
    <w:rsid w:val="001B15FE"/>
    <w:rsid w:val="001B1BB6"/>
    <w:rsid w:val="001B1FC5"/>
    <w:rsid w:val="001B2012"/>
    <w:rsid w:val="001B22A9"/>
    <w:rsid w:val="001B2933"/>
    <w:rsid w:val="001B2AE3"/>
    <w:rsid w:val="001B2C1D"/>
    <w:rsid w:val="001B2D9A"/>
    <w:rsid w:val="001B325A"/>
    <w:rsid w:val="001B3603"/>
    <w:rsid w:val="001B3911"/>
    <w:rsid w:val="001B3923"/>
    <w:rsid w:val="001B3BDB"/>
    <w:rsid w:val="001B3CD1"/>
    <w:rsid w:val="001B4435"/>
    <w:rsid w:val="001B4554"/>
    <w:rsid w:val="001B4906"/>
    <w:rsid w:val="001B4ADD"/>
    <w:rsid w:val="001B4B99"/>
    <w:rsid w:val="001B4CBF"/>
    <w:rsid w:val="001B4E3D"/>
    <w:rsid w:val="001B5395"/>
    <w:rsid w:val="001B5687"/>
    <w:rsid w:val="001B5792"/>
    <w:rsid w:val="001B65C7"/>
    <w:rsid w:val="001B67D0"/>
    <w:rsid w:val="001B7393"/>
    <w:rsid w:val="001B754D"/>
    <w:rsid w:val="001B75D9"/>
    <w:rsid w:val="001B764D"/>
    <w:rsid w:val="001C12FF"/>
    <w:rsid w:val="001C1395"/>
    <w:rsid w:val="001C16C3"/>
    <w:rsid w:val="001C1AE2"/>
    <w:rsid w:val="001C21B1"/>
    <w:rsid w:val="001C2737"/>
    <w:rsid w:val="001C27F9"/>
    <w:rsid w:val="001C29D4"/>
    <w:rsid w:val="001C305E"/>
    <w:rsid w:val="001C3303"/>
    <w:rsid w:val="001C3851"/>
    <w:rsid w:val="001C3965"/>
    <w:rsid w:val="001C3F2B"/>
    <w:rsid w:val="001C40A1"/>
    <w:rsid w:val="001C4525"/>
    <w:rsid w:val="001C465B"/>
    <w:rsid w:val="001C475E"/>
    <w:rsid w:val="001C4B34"/>
    <w:rsid w:val="001C5180"/>
    <w:rsid w:val="001C52BF"/>
    <w:rsid w:val="001C55B7"/>
    <w:rsid w:val="001C6176"/>
    <w:rsid w:val="001C6A56"/>
    <w:rsid w:val="001C6B69"/>
    <w:rsid w:val="001C6E8D"/>
    <w:rsid w:val="001C6FB3"/>
    <w:rsid w:val="001C7059"/>
    <w:rsid w:val="001C72CE"/>
    <w:rsid w:val="001C7ABE"/>
    <w:rsid w:val="001C7D00"/>
    <w:rsid w:val="001C7D96"/>
    <w:rsid w:val="001C7DBA"/>
    <w:rsid w:val="001D0297"/>
    <w:rsid w:val="001D043A"/>
    <w:rsid w:val="001D04CB"/>
    <w:rsid w:val="001D065F"/>
    <w:rsid w:val="001D0854"/>
    <w:rsid w:val="001D10F0"/>
    <w:rsid w:val="001D1389"/>
    <w:rsid w:val="001D1AB7"/>
    <w:rsid w:val="001D281D"/>
    <w:rsid w:val="001D2AAF"/>
    <w:rsid w:val="001D36F4"/>
    <w:rsid w:val="001D3C4A"/>
    <w:rsid w:val="001D4387"/>
    <w:rsid w:val="001D44AE"/>
    <w:rsid w:val="001D4748"/>
    <w:rsid w:val="001D48F0"/>
    <w:rsid w:val="001D48F2"/>
    <w:rsid w:val="001D503B"/>
    <w:rsid w:val="001D528A"/>
    <w:rsid w:val="001D54E2"/>
    <w:rsid w:val="001D5666"/>
    <w:rsid w:val="001D5669"/>
    <w:rsid w:val="001D5B75"/>
    <w:rsid w:val="001D5ECF"/>
    <w:rsid w:val="001D6362"/>
    <w:rsid w:val="001D6733"/>
    <w:rsid w:val="001D6C8D"/>
    <w:rsid w:val="001D6FB1"/>
    <w:rsid w:val="001D73DA"/>
    <w:rsid w:val="001D74B7"/>
    <w:rsid w:val="001D7752"/>
    <w:rsid w:val="001D7960"/>
    <w:rsid w:val="001D79CA"/>
    <w:rsid w:val="001D7B9F"/>
    <w:rsid w:val="001D7BAB"/>
    <w:rsid w:val="001D7CBF"/>
    <w:rsid w:val="001D7DA9"/>
    <w:rsid w:val="001D7EEE"/>
    <w:rsid w:val="001D7FAF"/>
    <w:rsid w:val="001E04A3"/>
    <w:rsid w:val="001E07DD"/>
    <w:rsid w:val="001E09B0"/>
    <w:rsid w:val="001E0B57"/>
    <w:rsid w:val="001E0BE4"/>
    <w:rsid w:val="001E101F"/>
    <w:rsid w:val="001E117D"/>
    <w:rsid w:val="001E1245"/>
    <w:rsid w:val="001E124C"/>
    <w:rsid w:val="001E1398"/>
    <w:rsid w:val="001E14AB"/>
    <w:rsid w:val="001E23EA"/>
    <w:rsid w:val="001E270E"/>
    <w:rsid w:val="001E2A8B"/>
    <w:rsid w:val="001E2F99"/>
    <w:rsid w:val="001E3192"/>
    <w:rsid w:val="001E36EC"/>
    <w:rsid w:val="001E3E61"/>
    <w:rsid w:val="001E41CA"/>
    <w:rsid w:val="001E459E"/>
    <w:rsid w:val="001E460C"/>
    <w:rsid w:val="001E48C7"/>
    <w:rsid w:val="001E4ADD"/>
    <w:rsid w:val="001E4D76"/>
    <w:rsid w:val="001E5153"/>
    <w:rsid w:val="001E5972"/>
    <w:rsid w:val="001E59D6"/>
    <w:rsid w:val="001E61B2"/>
    <w:rsid w:val="001E64BD"/>
    <w:rsid w:val="001E69CE"/>
    <w:rsid w:val="001E7287"/>
    <w:rsid w:val="001E75A8"/>
    <w:rsid w:val="001E763C"/>
    <w:rsid w:val="001E76FE"/>
    <w:rsid w:val="001E7B2B"/>
    <w:rsid w:val="001F02B0"/>
    <w:rsid w:val="001F0535"/>
    <w:rsid w:val="001F0647"/>
    <w:rsid w:val="001F086E"/>
    <w:rsid w:val="001F0A76"/>
    <w:rsid w:val="001F1155"/>
    <w:rsid w:val="001F11D4"/>
    <w:rsid w:val="001F166C"/>
    <w:rsid w:val="001F1965"/>
    <w:rsid w:val="001F1C22"/>
    <w:rsid w:val="001F1E93"/>
    <w:rsid w:val="001F2111"/>
    <w:rsid w:val="001F24AF"/>
    <w:rsid w:val="001F29BD"/>
    <w:rsid w:val="001F2AC7"/>
    <w:rsid w:val="001F2ACA"/>
    <w:rsid w:val="001F2B36"/>
    <w:rsid w:val="001F2F10"/>
    <w:rsid w:val="001F3158"/>
    <w:rsid w:val="001F43F3"/>
    <w:rsid w:val="001F47A4"/>
    <w:rsid w:val="001F48F9"/>
    <w:rsid w:val="001F4D1E"/>
    <w:rsid w:val="001F4DA1"/>
    <w:rsid w:val="001F50AC"/>
    <w:rsid w:val="001F5342"/>
    <w:rsid w:val="001F55B1"/>
    <w:rsid w:val="001F56BE"/>
    <w:rsid w:val="001F57A8"/>
    <w:rsid w:val="001F6295"/>
    <w:rsid w:val="001F62C3"/>
    <w:rsid w:val="001F630C"/>
    <w:rsid w:val="001F63D9"/>
    <w:rsid w:val="001F67DB"/>
    <w:rsid w:val="001F68C0"/>
    <w:rsid w:val="001F6A1C"/>
    <w:rsid w:val="001F6CD8"/>
    <w:rsid w:val="001F6F8B"/>
    <w:rsid w:val="001F708B"/>
    <w:rsid w:val="001F792A"/>
    <w:rsid w:val="001F7941"/>
    <w:rsid w:val="0020036C"/>
    <w:rsid w:val="0020038B"/>
    <w:rsid w:val="002009D2"/>
    <w:rsid w:val="002009F3"/>
    <w:rsid w:val="00200B47"/>
    <w:rsid w:val="00200EE4"/>
    <w:rsid w:val="00200FA2"/>
    <w:rsid w:val="0020138E"/>
    <w:rsid w:val="0020159E"/>
    <w:rsid w:val="002026C4"/>
    <w:rsid w:val="00202B17"/>
    <w:rsid w:val="00203A55"/>
    <w:rsid w:val="00203F32"/>
    <w:rsid w:val="00203F4A"/>
    <w:rsid w:val="002040ED"/>
    <w:rsid w:val="002044FE"/>
    <w:rsid w:val="00204673"/>
    <w:rsid w:val="00204C55"/>
    <w:rsid w:val="00204D9C"/>
    <w:rsid w:val="002052E3"/>
    <w:rsid w:val="0020531B"/>
    <w:rsid w:val="0020545B"/>
    <w:rsid w:val="00205539"/>
    <w:rsid w:val="0020581D"/>
    <w:rsid w:val="00205895"/>
    <w:rsid w:val="00205CAE"/>
    <w:rsid w:val="00205F75"/>
    <w:rsid w:val="002062A4"/>
    <w:rsid w:val="00206581"/>
    <w:rsid w:val="0020669E"/>
    <w:rsid w:val="0020681B"/>
    <w:rsid w:val="00206B5E"/>
    <w:rsid w:val="00206CD0"/>
    <w:rsid w:val="00206EE3"/>
    <w:rsid w:val="002073B9"/>
    <w:rsid w:val="00207720"/>
    <w:rsid w:val="00207A04"/>
    <w:rsid w:val="00207B6E"/>
    <w:rsid w:val="00207E2B"/>
    <w:rsid w:val="0021005E"/>
    <w:rsid w:val="00210541"/>
    <w:rsid w:val="002108D1"/>
    <w:rsid w:val="0021097E"/>
    <w:rsid w:val="00210F89"/>
    <w:rsid w:val="00211366"/>
    <w:rsid w:val="00211ACD"/>
    <w:rsid w:val="00211B8A"/>
    <w:rsid w:val="00211BCD"/>
    <w:rsid w:val="00211FF4"/>
    <w:rsid w:val="002122E0"/>
    <w:rsid w:val="0021242E"/>
    <w:rsid w:val="00212621"/>
    <w:rsid w:val="00212C65"/>
    <w:rsid w:val="00213198"/>
    <w:rsid w:val="002136DF"/>
    <w:rsid w:val="00213894"/>
    <w:rsid w:val="00213927"/>
    <w:rsid w:val="00214249"/>
    <w:rsid w:val="002144A8"/>
    <w:rsid w:val="002145AD"/>
    <w:rsid w:val="00214C85"/>
    <w:rsid w:val="002154ED"/>
    <w:rsid w:val="002157EC"/>
    <w:rsid w:val="00215BCF"/>
    <w:rsid w:val="00216829"/>
    <w:rsid w:val="00216897"/>
    <w:rsid w:val="002169E2"/>
    <w:rsid w:val="00216F2E"/>
    <w:rsid w:val="00217024"/>
    <w:rsid w:val="00217E29"/>
    <w:rsid w:val="00220090"/>
    <w:rsid w:val="0022009A"/>
    <w:rsid w:val="00220136"/>
    <w:rsid w:val="00220521"/>
    <w:rsid w:val="00220C1A"/>
    <w:rsid w:val="0022188B"/>
    <w:rsid w:val="002218E4"/>
    <w:rsid w:val="00221B2F"/>
    <w:rsid w:val="00221EFD"/>
    <w:rsid w:val="0022204A"/>
    <w:rsid w:val="00222679"/>
    <w:rsid w:val="002226E5"/>
    <w:rsid w:val="00222E93"/>
    <w:rsid w:val="00223204"/>
    <w:rsid w:val="0022331D"/>
    <w:rsid w:val="002238C1"/>
    <w:rsid w:val="00223D8B"/>
    <w:rsid w:val="0022407C"/>
    <w:rsid w:val="0022414A"/>
    <w:rsid w:val="002243BF"/>
    <w:rsid w:val="002244FE"/>
    <w:rsid w:val="00224566"/>
    <w:rsid w:val="00224F0B"/>
    <w:rsid w:val="002250A7"/>
    <w:rsid w:val="002252B0"/>
    <w:rsid w:val="002254D2"/>
    <w:rsid w:val="0022598D"/>
    <w:rsid w:val="00226B75"/>
    <w:rsid w:val="00226BED"/>
    <w:rsid w:val="00226D37"/>
    <w:rsid w:val="00226FE0"/>
    <w:rsid w:val="002270E9"/>
    <w:rsid w:val="0022764E"/>
    <w:rsid w:val="00227A92"/>
    <w:rsid w:val="00227B5D"/>
    <w:rsid w:val="00227D59"/>
    <w:rsid w:val="00227D82"/>
    <w:rsid w:val="00230288"/>
    <w:rsid w:val="00230BA2"/>
    <w:rsid w:val="00230F1B"/>
    <w:rsid w:val="00231643"/>
    <w:rsid w:val="002319EF"/>
    <w:rsid w:val="002319FC"/>
    <w:rsid w:val="00231C27"/>
    <w:rsid w:val="002320ED"/>
    <w:rsid w:val="0023226A"/>
    <w:rsid w:val="002329B5"/>
    <w:rsid w:val="00232ACD"/>
    <w:rsid w:val="00232E0E"/>
    <w:rsid w:val="00232F8A"/>
    <w:rsid w:val="0023304C"/>
    <w:rsid w:val="0023334B"/>
    <w:rsid w:val="0023354E"/>
    <w:rsid w:val="002337F0"/>
    <w:rsid w:val="00233E1A"/>
    <w:rsid w:val="00233EEF"/>
    <w:rsid w:val="00233F55"/>
    <w:rsid w:val="0023408C"/>
    <w:rsid w:val="00234599"/>
    <w:rsid w:val="00234724"/>
    <w:rsid w:val="00234E7C"/>
    <w:rsid w:val="00234F40"/>
    <w:rsid w:val="002356A9"/>
    <w:rsid w:val="002357FA"/>
    <w:rsid w:val="002358E4"/>
    <w:rsid w:val="00235DA1"/>
    <w:rsid w:val="00236203"/>
    <w:rsid w:val="00236931"/>
    <w:rsid w:val="0023701A"/>
    <w:rsid w:val="002378EA"/>
    <w:rsid w:val="00237B9E"/>
    <w:rsid w:val="00240059"/>
    <w:rsid w:val="002402CE"/>
    <w:rsid w:val="00240654"/>
    <w:rsid w:val="00241813"/>
    <w:rsid w:val="00241999"/>
    <w:rsid w:val="00241FBB"/>
    <w:rsid w:val="00242066"/>
    <w:rsid w:val="00242475"/>
    <w:rsid w:val="002426ED"/>
    <w:rsid w:val="00242889"/>
    <w:rsid w:val="002430AA"/>
    <w:rsid w:val="0024313D"/>
    <w:rsid w:val="00243356"/>
    <w:rsid w:val="00243553"/>
    <w:rsid w:val="002435F2"/>
    <w:rsid w:val="002446E4"/>
    <w:rsid w:val="002447B5"/>
    <w:rsid w:val="002447F8"/>
    <w:rsid w:val="00244D87"/>
    <w:rsid w:val="002453EF"/>
    <w:rsid w:val="002454D9"/>
    <w:rsid w:val="002457A7"/>
    <w:rsid w:val="00245EA2"/>
    <w:rsid w:val="00245FD1"/>
    <w:rsid w:val="00245FF0"/>
    <w:rsid w:val="002461D6"/>
    <w:rsid w:val="002464E9"/>
    <w:rsid w:val="00246B09"/>
    <w:rsid w:val="00246DD8"/>
    <w:rsid w:val="00246DE2"/>
    <w:rsid w:val="00246EA6"/>
    <w:rsid w:val="0024718E"/>
    <w:rsid w:val="0024743F"/>
    <w:rsid w:val="00247C5B"/>
    <w:rsid w:val="0025048D"/>
    <w:rsid w:val="00250F02"/>
    <w:rsid w:val="002512B0"/>
    <w:rsid w:val="002513C7"/>
    <w:rsid w:val="0025147C"/>
    <w:rsid w:val="002517F7"/>
    <w:rsid w:val="00251A2E"/>
    <w:rsid w:val="00251DC5"/>
    <w:rsid w:val="00251F83"/>
    <w:rsid w:val="002521F4"/>
    <w:rsid w:val="002524E2"/>
    <w:rsid w:val="002529FD"/>
    <w:rsid w:val="00252E39"/>
    <w:rsid w:val="0025322E"/>
    <w:rsid w:val="002537B4"/>
    <w:rsid w:val="00253A0F"/>
    <w:rsid w:val="00253FAD"/>
    <w:rsid w:val="0025436E"/>
    <w:rsid w:val="00254CBA"/>
    <w:rsid w:val="00256675"/>
    <w:rsid w:val="00256A05"/>
    <w:rsid w:val="00256ADA"/>
    <w:rsid w:val="00256B66"/>
    <w:rsid w:val="00256D46"/>
    <w:rsid w:val="0025702A"/>
    <w:rsid w:val="0025733C"/>
    <w:rsid w:val="002573A9"/>
    <w:rsid w:val="00257501"/>
    <w:rsid w:val="00257830"/>
    <w:rsid w:val="00257BBE"/>
    <w:rsid w:val="00257C8B"/>
    <w:rsid w:val="00257D20"/>
    <w:rsid w:val="0026001E"/>
    <w:rsid w:val="00260874"/>
    <w:rsid w:val="00260885"/>
    <w:rsid w:val="00260AD9"/>
    <w:rsid w:val="0026108D"/>
    <w:rsid w:val="00261456"/>
    <w:rsid w:val="002617D8"/>
    <w:rsid w:val="002618AE"/>
    <w:rsid w:val="00263A28"/>
    <w:rsid w:val="0026428E"/>
    <w:rsid w:val="00264294"/>
    <w:rsid w:val="002650AD"/>
    <w:rsid w:val="002650F5"/>
    <w:rsid w:val="002656F3"/>
    <w:rsid w:val="00265779"/>
    <w:rsid w:val="00265C1B"/>
    <w:rsid w:val="0026661B"/>
    <w:rsid w:val="00266FF1"/>
    <w:rsid w:val="00267436"/>
    <w:rsid w:val="0026774D"/>
    <w:rsid w:val="002677E2"/>
    <w:rsid w:val="00267823"/>
    <w:rsid w:val="00267D12"/>
    <w:rsid w:val="002700D1"/>
    <w:rsid w:val="00270F13"/>
    <w:rsid w:val="00270FB9"/>
    <w:rsid w:val="00271AC2"/>
    <w:rsid w:val="00271EF0"/>
    <w:rsid w:val="0027214D"/>
    <w:rsid w:val="002722E5"/>
    <w:rsid w:val="00272318"/>
    <w:rsid w:val="0027236C"/>
    <w:rsid w:val="00272833"/>
    <w:rsid w:val="002728D9"/>
    <w:rsid w:val="00272920"/>
    <w:rsid w:val="00272A17"/>
    <w:rsid w:val="00273283"/>
    <w:rsid w:val="002735E9"/>
    <w:rsid w:val="00273890"/>
    <w:rsid w:val="00273A52"/>
    <w:rsid w:val="00274243"/>
    <w:rsid w:val="00274376"/>
    <w:rsid w:val="00274767"/>
    <w:rsid w:val="00274917"/>
    <w:rsid w:val="002750BC"/>
    <w:rsid w:val="0027566F"/>
    <w:rsid w:val="00275806"/>
    <w:rsid w:val="00275921"/>
    <w:rsid w:val="00275AF1"/>
    <w:rsid w:val="00275BBB"/>
    <w:rsid w:val="00275C66"/>
    <w:rsid w:val="002764AC"/>
    <w:rsid w:val="0027677D"/>
    <w:rsid w:val="00277042"/>
    <w:rsid w:val="00277148"/>
    <w:rsid w:val="00277324"/>
    <w:rsid w:val="0027753E"/>
    <w:rsid w:val="002775E7"/>
    <w:rsid w:val="002776A6"/>
    <w:rsid w:val="00277B14"/>
    <w:rsid w:val="00277C0A"/>
    <w:rsid w:val="00277D7A"/>
    <w:rsid w:val="00277DFE"/>
    <w:rsid w:val="00280150"/>
    <w:rsid w:val="00280213"/>
    <w:rsid w:val="002812D7"/>
    <w:rsid w:val="00281A44"/>
    <w:rsid w:val="00281B17"/>
    <w:rsid w:val="00281F57"/>
    <w:rsid w:val="002820C3"/>
    <w:rsid w:val="002821A9"/>
    <w:rsid w:val="0028224C"/>
    <w:rsid w:val="0028253E"/>
    <w:rsid w:val="002828F0"/>
    <w:rsid w:val="00282B26"/>
    <w:rsid w:val="00282DD9"/>
    <w:rsid w:val="00283222"/>
    <w:rsid w:val="00283243"/>
    <w:rsid w:val="002835B3"/>
    <w:rsid w:val="0028393E"/>
    <w:rsid w:val="00283A16"/>
    <w:rsid w:val="00283ABA"/>
    <w:rsid w:val="00283D7E"/>
    <w:rsid w:val="00283E34"/>
    <w:rsid w:val="00284398"/>
    <w:rsid w:val="0028472A"/>
    <w:rsid w:val="00284862"/>
    <w:rsid w:val="00284C9B"/>
    <w:rsid w:val="00284CAF"/>
    <w:rsid w:val="00284CBC"/>
    <w:rsid w:val="00284D4D"/>
    <w:rsid w:val="00284F9B"/>
    <w:rsid w:val="00285267"/>
    <w:rsid w:val="0028538D"/>
    <w:rsid w:val="0028573D"/>
    <w:rsid w:val="0028580B"/>
    <w:rsid w:val="00285D94"/>
    <w:rsid w:val="0028651D"/>
    <w:rsid w:val="00286AAA"/>
    <w:rsid w:val="002874E7"/>
    <w:rsid w:val="00287711"/>
    <w:rsid w:val="00287A03"/>
    <w:rsid w:val="00290092"/>
    <w:rsid w:val="00290414"/>
    <w:rsid w:val="0029079A"/>
    <w:rsid w:val="00291229"/>
    <w:rsid w:val="002914A0"/>
    <w:rsid w:val="00291625"/>
    <w:rsid w:val="00291783"/>
    <w:rsid w:val="002918BA"/>
    <w:rsid w:val="00291F7C"/>
    <w:rsid w:val="00292087"/>
    <w:rsid w:val="002924A4"/>
    <w:rsid w:val="00292C7C"/>
    <w:rsid w:val="00292EB2"/>
    <w:rsid w:val="0029490C"/>
    <w:rsid w:val="00295C94"/>
    <w:rsid w:val="00296DF2"/>
    <w:rsid w:val="002975A6"/>
    <w:rsid w:val="00297B8D"/>
    <w:rsid w:val="00297CF8"/>
    <w:rsid w:val="002A0304"/>
    <w:rsid w:val="002A0494"/>
    <w:rsid w:val="002A0875"/>
    <w:rsid w:val="002A08C9"/>
    <w:rsid w:val="002A09EC"/>
    <w:rsid w:val="002A0C42"/>
    <w:rsid w:val="002A0D54"/>
    <w:rsid w:val="002A1023"/>
    <w:rsid w:val="002A120A"/>
    <w:rsid w:val="002A144E"/>
    <w:rsid w:val="002A15C1"/>
    <w:rsid w:val="002A196B"/>
    <w:rsid w:val="002A21F6"/>
    <w:rsid w:val="002A2B0C"/>
    <w:rsid w:val="002A2E08"/>
    <w:rsid w:val="002A309E"/>
    <w:rsid w:val="002A30ED"/>
    <w:rsid w:val="002A3191"/>
    <w:rsid w:val="002A33BA"/>
    <w:rsid w:val="002A35C5"/>
    <w:rsid w:val="002A35F0"/>
    <w:rsid w:val="002A43A7"/>
    <w:rsid w:val="002A44E1"/>
    <w:rsid w:val="002A45C0"/>
    <w:rsid w:val="002A4AF5"/>
    <w:rsid w:val="002A4C60"/>
    <w:rsid w:val="002A5045"/>
    <w:rsid w:val="002A5968"/>
    <w:rsid w:val="002A6026"/>
    <w:rsid w:val="002A6052"/>
    <w:rsid w:val="002A6C51"/>
    <w:rsid w:val="002A72BE"/>
    <w:rsid w:val="002A73E1"/>
    <w:rsid w:val="002A7513"/>
    <w:rsid w:val="002A7730"/>
    <w:rsid w:val="002A7D82"/>
    <w:rsid w:val="002A7E9C"/>
    <w:rsid w:val="002B0243"/>
    <w:rsid w:val="002B085A"/>
    <w:rsid w:val="002B09DE"/>
    <w:rsid w:val="002B0F44"/>
    <w:rsid w:val="002B11C3"/>
    <w:rsid w:val="002B16B0"/>
    <w:rsid w:val="002B1B25"/>
    <w:rsid w:val="002B1B66"/>
    <w:rsid w:val="002B1BD3"/>
    <w:rsid w:val="002B1BFC"/>
    <w:rsid w:val="002B1D73"/>
    <w:rsid w:val="002B245D"/>
    <w:rsid w:val="002B28F8"/>
    <w:rsid w:val="002B32E0"/>
    <w:rsid w:val="002B33A4"/>
    <w:rsid w:val="002B34AD"/>
    <w:rsid w:val="002B40D6"/>
    <w:rsid w:val="002B48F8"/>
    <w:rsid w:val="002B4A3B"/>
    <w:rsid w:val="002B4FA8"/>
    <w:rsid w:val="002B5108"/>
    <w:rsid w:val="002B5B44"/>
    <w:rsid w:val="002B5DD8"/>
    <w:rsid w:val="002B5F4B"/>
    <w:rsid w:val="002B615C"/>
    <w:rsid w:val="002B63CB"/>
    <w:rsid w:val="002B65BF"/>
    <w:rsid w:val="002B664D"/>
    <w:rsid w:val="002B6A31"/>
    <w:rsid w:val="002B7733"/>
    <w:rsid w:val="002B78EB"/>
    <w:rsid w:val="002B7C41"/>
    <w:rsid w:val="002C03DF"/>
    <w:rsid w:val="002C0453"/>
    <w:rsid w:val="002C0DB0"/>
    <w:rsid w:val="002C15F4"/>
    <w:rsid w:val="002C1736"/>
    <w:rsid w:val="002C20BF"/>
    <w:rsid w:val="002C2399"/>
    <w:rsid w:val="002C26BB"/>
    <w:rsid w:val="002C28E2"/>
    <w:rsid w:val="002C2AA6"/>
    <w:rsid w:val="002C2ACB"/>
    <w:rsid w:val="002C3326"/>
    <w:rsid w:val="002C354D"/>
    <w:rsid w:val="002C36E1"/>
    <w:rsid w:val="002C3924"/>
    <w:rsid w:val="002C3C00"/>
    <w:rsid w:val="002C3DF4"/>
    <w:rsid w:val="002C4636"/>
    <w:rsid w:val="002C469C"/>
    <w:rsid w:val="002C47D7"/>
    <w:rsid w:val="002C49CD"/>
    <w:rsid w:val="002C5FB8"/>
    <w:rsid w:val="002C6055"/>
    <w:rsid w:val="002C60AA"/>
    <w:rsid w:val="002C63D1"/>
    <w:rsid w:val="002C66E8"/>
    <w:rsid w:val="002C6896"/>
    <w:rsid w:val="002C6EC7"/>
    <w:rsid w:val="002C7B00"/>
    <w:rsid w:val="002C7E1E"/>
    <w:rsid w:val="002C7ECD"/>
    <w:rsid w:val="002C7FB9"/>
    <w:rsid w:val="002D0346"/>
    <w:rsid w:val="002D06C0"/>
    <w:rsid w:val="002D07CB"/>
    <w:rsid w:val="002D0A6D"/>
    <w:rsid w:val="002D13F8"/>
    <w:rsid w:val="002D147C"/>
    <w:rsid w:val="002D1AD6"/>
    <w:rsid w:val="002D310B"/>
    <w:rsid w:val="002D3147"/>
    <w:rsid w:val="002D3792"/>
    <w:rsid w:val="002D37F0"/>
    <w:rsid w:val="002D3BA2"/>
    <w:rsid w:val="002D420D"/>
    <w:rsid w:val="002D55D7"/>
    <w:rsid w:val="002D5651"/>
    <w:rsid w:val="002D5665"/>
    <w:rsid w:val="002D5E7C"/>
    <w:rsid w:val="002D611C"/>
    <w:rsid w:val="002D6414"/>
    <w:rsid w:val="002D66EF"/>
    <w:rsid w:val="002D6852"/>
    <w:rsid w:val="002D68BC"/>
    <w:rsid w:val="002D72F3"/>
    <w:rsid w:val="002D744A"/>
    <w:rsid w:val="002D75BB"/>
    <w:rsid w:val="002D7A49"/>
    <w:rsid w:val="002E024B"/>
    <w:rsid w:val="002E0863"/>
    <w:rsid w:val="002E08E4"/>
    <w:rsid w:val="002E0B30"/>
    <w:rsid w:val="002E0CB7"/>
    <w:rsid w:val="002E0FE6"/>
    <w:rsid w:val="002E1FD3"/>
    <w:rsid w:val="002E220C"/>
    <w:rsid w:val="002E233A"/>
    <w:rsid w:val="002E2410"/>
    <w:rsid w:val="002E28D6"/>
    <w:rsid w:val="002E2CEB"/>
    <w:rsid w:val="002E2F8B"/>
    <w:rsid w:val="002E34F4"/>
    <w:rsid w:val="002E34FC"/>
    <w:rsid w:val="002E354B"/>
    <w:rsid w:val="002E3760"/>
    <w:rsid w:val="002E3EE5"/>
    <w:rsid w:val="002E3EF3"/>
    <w:rsid w:val="002E53A1"/>
    <w:rsid w:val="002E56DB"/>
    <w:rsid w:val="002E59E1"/>
    <w:rsid w:val="002E5AC2"/>
    <w:rsid w:val="002E60EA"/>
    <w:rsid w:val="002E62AB"/>
    <w:rsid w:val="002E65BF"/>
    <w:rsid w:val="002E6AFE"/>
    <w:rsid w:val="002E714B"/>
    <w:rsid w:val="002E7D96"/>
    <w:rsid w:val="002E7EA0"/>
    <w:rsid w:val="002F067B"/>
    <w:rsid w:val="002F099A"/>
    <w:rsid w:val="002F0BA9"/>
    <w:rsid w:val="002F0BCB"/>
    <w:rsid w:val="002F151B"/>
    <w:rsid w:val="002F1FD1"/>
    <w:rsid w:val="002F25DB"/>
    <w:rsid w:val="002F27C7"/>
    <w:rsid w:val="002F28F3"/>
    <w:rsid w:val="002F35B2"/>
    <w:rsid w:val="002F3C41"/>
    <w:rsid w:val="002F408C"/>
    <w:rsid w:val="002F48F4"/>
    <w:rsid w:val="002F48F8"/>
    <w:rsid w:val="002F4EB0"/>
    <w:rsid w:val="002F515C"/>
    <w:rsid w:val="002F5219"/>
    <w:rsid w:val="002F52D4"/>
    <w:rsid w:val="002F54F9"/>
    <w:rsid w:val="002F55A7"/>
    <w:rsid w:val="002F5BFA"/>
    <w:rsid w:val="002F5D24"/>
    <w:rsid w:val="002F5FFB"/>
    <w:rsid w:val="002F608F"/>
    <w:rsid w:val="002F6DA5"/>
    <w:rsid w:val="002F75BC"/>
    <w:rsid w:val="002F7C5F"/>
    <w:rsid w:val="002F7ED3"/>
    <w:rsid w:val="002F7EFC"/>
    <w:rsid w:val="003002F5"/>
    <w:rsid w:val="00301076"/>
    <w:rsid w:val="003011CA"/>
    <w:rsid w:val="003012DB"/>
    <w:rsid w:val="003017A3"/>
    <w:rsid w:val="00302071"/>
    <w:rsid w:val="0030231D"/>
    <w:rsid w:val="003025AB"/>
    <w:rsid w:val="0030290B"/>
    <w:rsid w:val="00302962"/>
    <w:rsid w:val="00302E90"/>
    <w:rsid w:val="003030C8"/>
    <w:rsid w:val="0030336B"/>
    <w:rsid w:val="0030356F"/>
    <w:rsid w:val="00303F1B"/>
    <w:rsid w:val="00304561"/>
    <w:rsid w:val="003045A1"/>
    <w:rsid w:val="00304672"/>
    <w:rsid w:val="003046CE"/>
    <w:rsid w:val="0030565B"/>
    <w:rsid w:val="00305751"/>
    <w:rsid w:val="003058AD"/>
    <w:rsid w:val="0030595F"/>
    <w:rsid w:val="00305ADB"/>
    <w:rsid w:val="0030607F"/>
    <w:rsid w:val="00306C68"/>
    <w:rsid w:val="00306CD4"/>
    <w:rsid w:val="00306DA1"/>
    <w:rsid w:val="0030765D"/>
    <w:rsid w:val="00307669"/>
    <w:rsid w:val="0031017E"/>
    <w:rsid w:val="003101E6"/>
    <w:rsid w:val="00310402"/>
    <w:rsid w:val="00310551"/>
    <w:rsid w:val="00310919"/>
    <w:rsid w:val="00310D7F"/>
    <w:rsid w:val="00310E84"/>
    <w:rsid w:val="00311273"/>
    <w:rsid w:val="003115D4"/>
    <w:rsid w:val="00311664"/>
    <w:rsid w:val="0031198A"/>
    <w:rsid w:val="0031258C"/>
    <w:rsid w:val="003125E6"/>
    <w:rsid w:val="003128F3"/>
    <w:rsid w:val="00312B70"/>
    <w:rsid w:val="00312DB1"/>
    <w:rsid w:val="003132DD"/>
    <w:rsid w:val="00313354"/>
    <w:rsid w:val="003133BF"/>
    <w:rsid w:val="003133F3"/>
    <w:rsid w:val="003134A5"/>
    <w:rsid w:val="003135CD"/>
    <w:rsid w:val="003136E7"/>
    <w:rsid w:val="003137AB"/>
    <w:rsid w:val="0031455F"/>
    <w:rsid w:val="0031491C"/>
    <w:rsid w:val="003149D0"/>
    <w:rsid w:val="00314BE2"/>
    <w:rsid w:val="003150D4"/>
    <w:rsid w:val="00315149"/>
    <w:rsid w:val="00315577"/>
    <w:rsid w:val="003155F9"/>
    <w:rsid w:val="003159F3"/>
    <w:rsid w:val="00315D7F"/>
    <w:rsid w:val="00316492"/>
    <w:rsid w:val="00316918"/>
    <w:rsid w:val="0031707B"/>
    <w:rsid w:val="0031769E"/>
    <w:rsid w:val="00317709"/>
    <w:rsid w:val="00317CE0"/>
    <w:rsid w:val="00320282"/>
    <w:rsid w:val="00320426"/>
    <w:rsid w:val="00320592"/>
    <w:rsid w:val="00320BA0"/>
    <w:rsid w:val="00320D11"/>
    <w:rsid w:val="00321133"/>
    <w:rsid w:val="00321314"/>
    <w:rsid w:val="0032134C"/>
    <w:rsid w:val="0032157D"/>
    <w:rsid w:val="0032162F"/>
    <w:rsid w:val="00321B9F"/>
    <w:rsid w:val="00321D93"/>
    <w:rsid w:val="00322165"/>
    <w:rsid w:val="003222F9"/>
    <w:rsid w:val="003225C4"/>
    <w:rsid w:val="003227AB"/>
    <w:rsid w:val="00322D23"/>
    <w:rsid w:val="0032300E"/>
    <w:rsid w:val="003239AC"/>
    <w:rsid w:val="00323E09"/>
    <w:rsid w:val="00323FB3"/>
    <w:rsid w:val="003244CC"/>
    <w:rsid w:val="00324579"/>
    <w:rsid w:val="0032457A"/>
    <w:rsid w:val="00324B03"/>
    <w:rsid w:val="00324BC2"/>
    <w:rsid w:val="00324BED"/>
    <w:rsid w:val="00325285"/>
    <w:rsid w:val="00325758"/>
    <w:rsid w:val="003257A7"/>
    <w:rsid w:val="00325A4D"/>
    <w:rsid w:val="0032617C"/>
    <w:rsid w:val="00327052"/>
    <w:rsid w:val="003274F5"/>
    <w:rsid w:val="00327558"/>
    <w:rsid w:val="0032755D"/>
    <w:rsid w:val="003276EB"/>
    <w:rsid w:val="00327735"/>
    <w:rsid w:val="00327E7E"/>
    <w:rsid w:val="00330945"/>
    <w:rsid w:val="00330B3A"/>
    <w:rsid w:val="00330C0A"/>
    <w:rsid w:val="003310F6"/>
    <w:rsid w:val="00331352"/>
    <w:rsid w:val="00331DC7"/>
    <w:rsid w:val="00332AF1"/>
    <w:rsid w:val="00332BC7"/>
    <w:rsid w:val="00332FD8"/>
    <w:rsid w:val="003331FC"/>
    <w:rsid w:val="0033332D"/>
    <w:rsid w:val="0033384E"/>
    <w:rsid w:val="00333886"/>
    <w:rsid w:val="00333989"/>
    <w:rsid w:val="00333D7E"/>
    <w:rsid w:val="00333F6D"/>
    <w:rsid w:val="003343AA"/>
    <w:rsid w:val="00334658"/>
    <w:rsid w:val="0033498A"/>
    <w:rsid w:val="00334D4D"/>
    <w:rsid w:val="00334DA2"/>
    <w:rsid w:val="00334EC1"/>
    <w:rsid w:val="00334F11"/>
    <w:rsid w:val="00334FF4"/>
    <w:rsid w:val="0033544D"/>
    <w:rsid w:val="00335490"/>
    <w:rsid w:val="00335669"/>
    <w:rsid w:val="00335C7B"/>
    <w:rsid w:val="00335DF1"/>
    <w:rsid w:val="00336143"/>
    <w:rsid w:val="00336173"/>
    <w:rsid w:val="00336D4A"/>
    <w:rsid w:val="00336E83"/>
    <w:rsid w:val="003377C8"/>
    <w:rsid w:val="003377EF"/>
    <w:rsid w:val="003403B8"/>
    <w:rsid w:val="003404FA"/>
    <w:rsid w:val="003408B8"/>
    <w:rsid w:val="00340CDE"/>
    <w:rsid w:val="0034293B"/>
    <w:rsid w:val="00342E8B"/>
    <w:rsid w:val="003436CB"/>
    <w:rsid w:val="00343EED"/>
    <w:rsid w:val="00343F8B"/>
    <w:rsid w:val="0034421A"/>
    <w:rsid w:val="00344250"/>
    <w:rsid w:val="003447FD"/>
    <w:rsid w:val="00344A87"/>
    <w:rsid w:val="00345129"/>
    <w:rsid w:val="0034666C"/>
    <w:rsid w:val="003466FE"/>
    <w:rsid w:val="003467C3"/>
    <w:rsid w:val="00346D37"/>
    <w:rsid w:val="003470E8"/>
    <w:rsid w:val="00347349"/>
    <w:rsid w:val="00347A05"/>
    <w:rsid w:val="00347A4D"/>
    <w:rsid w:val="00347BE5"/>
    <w:rsid w:val="00347F79"/>
    <w:rsid w:val="00351172"/>
    <w:rsid w:val="00351259"/>
    <w:rsid w:val="00351378"/>
    <w:rsid w:val="0035200E"/>
    <w:rsid w:val="00352087"/>
    <w:rsid w:val="003520D0"/>
    <w:rsid w:val="00352F6F"/>
    <w:rsid w:val="003535BC"/>
    <w:rsid w:val="00353700"/>
    <w:rsid w:val="00353A34"/>
    <w:rsid w:val="00353B11"/>
    <w:rsid w:val="00353CEA"/>
    <w:rsid w:val="003541F4"/>
    <w:rsid w:val="003543E6"/>
    <w:rsid w:val="00354706"/>
    <w:rsid w:val="0035481D"/>
    <w:rsid w:val="00354C6C"/>
    <w:rsid w:val="00355246"/>
    <w:rsid w:val="003553B7"/>
    <w:rsid w:val="00355444"/>
    <w:rsid w:val="00355771"/>
    <w:rsid w:val="00355CB0"/>
    <w:rsid w:val="00355D39"/>
    <w:rsid w:val="00355E8B"/>
    <w:rsid w:val="00357060"/>
    <w:rsid w:val="00357199"/>
    <w:rsid w:val="003574E3"/>
    <w:rsid w:val="0035753A"/>
    <w:rsid w:val="00357606"/>
    <w:rsid w:val="00357960"/>
    <w:rsid w:val="00360163"/>
    <w:rsid w:val="003602B3"/>
    <w:rsid w:val="00360575"/>
    <w:rsid w:val="00360635"/>
    <w:rsid w:val="00360817"/>
    <w:rsid w:val="00360F3E"/>
    <w:rsid w:val="0036121E"/>
    <w:rsid w:val="003618E2"/>
    <w:rsid w:val="00361A65"/>
    <w:rsid w:val="003623FD"/>
    <w:rsid w:val="0036256B"/>
    <w:rsid w:val="00362F69"/>
    <w:rsid w:val="003631BF"/>
    <w:rsid w:val="00363488"/>
    <w:rsid w:val="003638B9"/>
    <w:rsid w:val="003639B0"/>
    <w:rsid w:val="00364043"/>
    <w:rsid w:val="0036499C"/>
    <w:rsid w:val="00364F2B"/>
    <w:rsid w:val="00365312"/>
    <w:rsid w:val="003655A6"/>
    <w:rsid w:val="00366192"/>
    <w:rsid w:val="0036653D"/>
    <w:rsid w:val="003668A3"/>
    <w:rsid w:val="003669FB"/>
    <w:rsid w:val="00366A4B"/>
    <w:rsid w:val="00366C2E"/>
    <w:rsid w:val="0036799B"/>
    <w:rsid w:val="003679BE"/>
    <w:rsid w:val="00370070"/>
    <w:rsid w:val="003702F1"/>
    <w:rsid w:val="00370AC1"/>
    <w:rsid w:val="00370D20"/>
    <w:rsid w:val="00371440"/>
    <w:rsid w:val="0037188A"/>
    <w:rsid w:val="00371933"/>
    <w:rsid w:val="003722F0"/>
    <w:rsid w:val="003726A6"/>
    <w:rsid w:val="00374284"/>
    <w:rsid w:val="00374410"/>
    <w:rsid w:val="003745DC"/>
    <w:rsid w:val="003745FD"/>
    <w:rsid w:val="00374849"/>
    <w:rsid w:val="00374ACB"/>
    <w:rsid w:val="00374B3A"/>
    <w:rsid w:val="00374BD6"/>
    <w:rsid w:val="00374C48"/>
    <w:rsid w:val="00374DF1"/>
    <w:rsid w:val="003751E3"/>
    <w:rsid w:val="00375FFD"/>
    <w:rsid w:val="00376215"/>
    <w:rsid w:val="003768B7"/>
    <w:rsid w:val="00376A53"/>
    <w:rsid w:val="00376EA4"/>
    <w:rsid w:val="003774A3"/>
    <w:rsid w:val="0037772B"/>
    <w:rsid w:val="00377741"/>
    <w:rsid w:val="003777C9"/>
    <w:rsid w:val="003777F0"/>
    <w:rsid w:val="00377842"/>
    <w:rsid w:val="00377FA8"/>
    <w:rsid w:val="00380576"/>
    <w:rsid w:val="003809EF"/>
    <w:rsid w:val="00380FAD"/>
    <w:rsid w:val="00381335"/>
    <w:rsid w:val="003816E5"/>
    <w:rsid w:val="00381A36"/>
    <w:rsid w:val="00381FF1"/>
    <w:rsid w:val="003826F1"/>
    <w:rsid w:val="00382788"/>
    <w:rsid w:val="00382C90"/>
    <w:rsid w:val="00383502"/>
    <w:rsid w:val="0038350B"/>
    <w:rsid w:val="00383A03"/>
    <w:rsid w:val="0038434D"/>
    <w:rsid w:val="003845B4"/>
    <w:rsid w:val="003845F2"/>
    <w:rsid w:val="00384720"/>
    <w:rsid w:val="00384860"/>
    <w:rsid w:val="00384D58"/>
    <w:rsid w:val="00385193"/>
    <w:rsid w:val="00385B8E"/>
    <w:rsid w:val="00385D07"/>
    <w:rsid w:val="00385F94"/>
    <w:rsid w:val="00385FA8"/>
    <w:rsid w:val="00386411"/>
    <w:rsid w:val="003866CB"/>
    <w:rsid w:val="003867DC"/>
    <w:rsid w:val="00386AC8"/>
    <w:rsid w:val="00386F79"/>
    <w:rsid w:val="0038700B"/>
    <w:rsid w:val="00387029"/>
    <w:rsid w:val="00387787"/>
    <w:rsid w:val="00387C91"/>
    <w:rsid w:val="00387DFE"/>
    <w:rsid w:val="00390132"/>
    <w:rsid w:val="00390579"/>
    <w:rsid w:val="00390840"/>
    <w:rsid w:val="00391563"/>
    <w:rsid w:val="0039233D"/>
    <w:rsid w:val="0039257B"/>
    <w:rsid w:val="00392870"/>
    <w:rsid w:val="0039290A"/>
    <w:rsid w:val="003932EB"/>
    <w:rsid w:val="0039464C"/>
    <w:rsid w:val="00394720"/>
    <w:rsid w:val="00394ED1"/>
    <w:rsid w:val="00395165"/>
    <w:rsid w:val="003951D2"/>
    <w:rsid w:val="00395594"/>
    <w:rsid w:val="00395688"/>
    <w:rsid w:val="00395B8F"/>
    <w:rsid w:val="00395BCA"/>
    <w:rsid w:val="0039607A"/>
    <w:rsid w:val="00396335"/>
    <w:rsid w:val="003969C3"/>
    <w:rsid w:val="00396D2B"/>
    <w:rsid w:val="00396DEA"/>
    <w:rsid w:val="0039755E"/>
    <w:rsid w:val="00397C1F"/>
    <w:rsid w:val="003A0109"/>
    <w:rsid w:val="003A0240"/>
    <w:rsid w:val="003A04A3"/>
    <w:rsid w:val="003A0567"/>
    <w:rsid w:val="003A0680"/>
    <w:rsid w:val="003A06C6"/>
    <w:rsid w:val="003A08E7"/>
    <w:rsid w:val="003A1251"/>
    <w:rsid w:val="003A15F6"/>
    <w:rsid w:val="003A19DD"/>
    <w:rsid w:val="003A1F8D"/>
    <w:rsid w:val="003A2E8F"/>
    <w:rsid w:val="003A31F6"/>
    <w:rsid w:val="003A366E"/>
    <w:rsid w:val="003A38F7"/>
    <w:rsid w:val="003A3A04"/>
    <w:rsid w:val="003A3A63"/>
    <w:rsid w:val="003A3AAB"/>
    <w:rsid w:val="003A41B2"/>
    <w:rsid w:val="003A4227"/>
    <w:rsid w:val="003A4671"/>
    <w:rsid w:val="003A4A1F"/>
    <w:rsid w:val="003A4ADE"/>
    <w:rsid w:val="003A4BF2"/>
    <w:rsid w:val="003A51EC"/>
    <w:rsid w:val="003A52F7"/>
    <w:rsid w:val="003A5AE7"/>
    <w:rsid w:val="003A5C1B"/>
    <w:rsid w:val="003A5CD3"/>
    <w:rsid w:val="003A6179"/>
    <w:rsid w:val="003A6772"/>
    <w:rsid w:val="003A6773"/>
    <w:rsid w:val="003A6914"/>
    <w:rsid w:val="003A6C62"/>
    <w:rsid w:val="003A6C8B"/>
    <w:rsid w:val="003A6E54"/>
    <w:rsid w:val="003A6EE2"/>
    <w:rsid w:val="003B00A4"/>
    <w:rsid w:val="003B0174"/>
    <w:rsid w:val="003B08D5"/>
    <w:rsid w:val="003B0E26"/>
    <w:rsid w:val="003B11F6"/>
    <w:rsid w:val="003B1477"/>
    <w:rsid w:val="003B1847"/>
    <w:rsid w:val="003B1998"/>
    <w:rsid w:val="003B1E69"/>
    <w:rsid w:val="003B2164"/>
    <w:rsid w:val="003B229D"/>
    <w:rsid w:val="003B235E"/>
    <w:rsid w:val="003B2640"/>
    <w:rsid w:val="003B2F12"/>
    <w:rsid w:val="003B3158"/>
    <w:rsid w:val="003B3213"/>
    <w:rsid w:val="003B34FF"/>
    <w:rsid w:val="003B3757"/>
    <w:rsid w:val="003B39AB"/>
    <w:rsid w:val="003B435D"/>
    <w:rsid w:val="003B47AF"/>
    <w:rsid w:val="003B552C"/>
    <w:rsid w:val="003B5728"/>
    <w:rsid w:val="003B59E2"/>
    <w:rsid w:val="003B5C00"/>
    <w:rsid w:val="003B5CC1"/>
    <w:rsid w:val="003B5D7B"/>
    <w:rsid w:val="003B5DCE"/>
    <w:rsid w:val="003B6667"/>
    <w:rsid w:val="003B6E17"/>
    <w:rsid w:val="003B6F50"/>
    <w:rsid w:val="003B77A8"/>
    <w:rsid w:val="003B792C"/>
    <w:rsid w:val="003C0B2A"/>
    <w:rsid w:val="003C1154"/>
    <w:rsid w:val="003C116D"/>
    <w:rsid w:val="003C172E"/>
    <w:rsid w:val="003C17A5"/>
    <w:rsid w:val="003C17EB"/>
    <w:rsid w:val="003C18AD"/>
    <w:rsid w:val="003C2531"/>
    <w:rsid w:val="003C2AF2"/>
    <w:rsid w:val="003C2B16"/>
    <w:rsid w:val="003C2D46"/>
    <w:rsid w:val="003C328F"/>
    <w:rsid w:val="003C33BA"/>
    <w:rsid w:val="003C33D2"/>
    <w:rsid w:val="003C341B"/>
    <w:rsid w:val="003C3EEB"/>
    <w:rsid w:val="003C408A"/>
    <w:rsid w:val="003C42B8"/>
    <w:rsid w:val="003C4567"/>
    <w:rsid w:val="003C4570"/>
    <w:rsid w:val="003C485D"/>
    <w:rsid w:val="003C4A72"/>
    <w:rsid w:val="003C4B72"/>
    <w:rsid w:val="003C4DC3"/>
    <w:rsid w:val="003C4E03"/>
    <w:rsid w:val="003C512C"/>
    <w:rsid w:val="003C5FEA"/>
    <w:rsid w:val="003C61AC"/>
    <w:rsid w:val="003C65E3"/>
    <w:rsid w:val="003C69F6"/>
    <w:rsid w:val="003C6D53"/>
    <w:rsid w:val="003C6FE5"/>
    <w:rsid w:val="003C78CD"/>
    <w:rsid w:val="003C7920"/>
    <w:rsid w:val="003C7D2A"/>
    <w:rsid w:val="003D01BF"/>
    <w:rsid w:val="003D02DA"/>
    <w:rsid w:val="003D062D"/>
    <w:rsid w:val="003D09A8"/>
    <w:rsid w:val="003D09F6"/>
    <w:rsid w:val="003D0D42"/>
    <w:rsid w:val="003D0FE6"/>
    <w:rsid w:val="003D1501"/>
    <w:rsid w:val="003D1969"/>
    <w:rsid w:val="003D21E5"/>
    <w:rsid w:val="003D2B8E"/>
    <w:rsid w:val="003D3000"/>
    <w:rsid w:val="003D3118"/>
    <w:rsid w:val="003D31C3"/>
    <w:rsid w:val="003D3542"/>
    <w:rsid w:val="003D381A"/>
    <w:rsid w:val="003D464E"/>
    <w:rsid w:val="003D468A"/>
    <w:rsid w:val="003D47A7"/>
    <w:rsid w:val="003D490B"/>
    <w:rsid w:val="003D4F66"/>
    <w:rsid w:val="003D5B1E"/>
    <w:rsid w:val="003D5BCD"/>
    <w:rsid w:val="003D6583"/>
    <w:rsid w:val="003D68F9"/>
    <w:rsid w:val="003D6A71"/>
    <w:rsid w:val="003D7085"/>
    <w:rsid w:val="003D77E9"/>
    <w:rsid w:val="003D796E"/>
    <w:rsid w:val="003D7A22"/>
    <w:rsid w:val="003E03FA"/>
    <w:rsid w:val="003E048C"/>
    <w:rsid w:val="003E0D9A"/>
    <w:rsid w:val="003E1065"/>
    <w:rsid w:val="003E12E9"/>
    <w:rsid w:val="003E1342"/>
    <w:rsid w:val="003E1C64"/>
    <w:rsid w:val="003E1D92"/>
    <w:rsid w:val="003E27CB"/>
    <w:rsid w:val="003E2815"/>
    <w:rsid w:val="003E2AD5"/>
    <w:rsid w:val="003E2C5D"/>
    <w:rsid w:val="003E2CEE"/>
    <w:rsid w:val="003E3627"/>
    <w:rsid w:val="003E393F"/>
    <w:rsid w:val="003E3DE4"/>
    <w:rsid w:val="003E417F"/>
    <w:rsid w:val="003E506D"/>
    <w:rsid w:val="003E50E6"/>
    <w:rsid w:val="003E59DE"/>
    <w:rsid w:val="003E5CB8"/>
    <w:rsid w:val="003E5DE6"/>
    <w:rsid w:val="003E5F98"/>
    <w:rsid w:val="003E619D"/>
    <w:rsid w:val="003E677B"/>
    <w:rsid w:val="003E6DEF"/>
    <w:rsid w:val="003E6E43"/>
    <w:rsid w:val="003E70B4"/>
    <w:rsid w:val="003E7464"/>
    <w:rsid w:val="003E7873"/>
    <w:rsid w:val="003E7C08"/>
    <w:rsid w:val="003F0773"/>
    <w:rsid w:val="003F0DDA"/>
    <w:rsid w:val="003F10B7"/>
    <w:rsid w:val="003F12B7"/>
    <w:rsid w:val="003F1407"/>
    <w:rsid w:val="003F1586"/>
    <w:rsid w:val="003F2570"/>
    <w:rsid w:val="003F27E9"/>
    <w:rsid w:val="003F29FF"/>
    <w:rsid w:val="003F41F9"/>
    <w:rsid w:val="003F45D4"/>
    <w:rsid w:val="003F4F75"/>
    <w:rsid w:val="003F5029"/>
    <w:rsid w:val="003F5AAB"/>
    <w:rsid w:val="003F5F92"/>
    <w:rsid w:val="003F5F97"/>
    <w:rsid w:val="003F6EA7"/>
    <w:rsid w:val="003F71A6"/>
    <w:rsid w:val="003F757C"/>
    <w:rsid w:val="003F7934"/>
    <w:rsid w:val="003F7B34"/>
    <w:rsid w:val="004004A3"/>
    <w:rsid w:val="00400797"/>
    <w:rsid w:val="004007F1"/>
    <w:rsid w:val="00400BCE"/>
    <w:rsid w:val="00400CD7"/>
    <w:rsid w:val="00400F1C"/>
    <w:rsid w:val="00401390"/>
    <w:rsid w:val="00401396"/>
    <w:rsid w:val="004013AB"/>
    <w:rsid w:val="004013F8"/>
    <w:rsid w:val="00401CD6"/>
    <w:rsid w:val="00401D26"/>
    <w:rsid w:val="00401E8F"/>
    <w:rsid w:val="00402E6D"/>
    <w:rsid w:val="00403626"/>
    <w:rsid w:val="00403798"/>
    <w:rsid w:val="00403F9D"/>
    <w:rsid w:val="0040427D"/>
    <w:rsid w:val="004042F4"/>
    <w:rsid w:val="004045FF"/>
    <w:rsid w:val="00404A1E"/>
    <w:rsid w:val="00404CC3"/>
    <w:rsid w:val="004054F5"/>
    <w:rsid w:val="0040553A"/>
    <w:rsid w:val="004059F6"/>
    <w:rsid w:val="00405CA3"/>
    <w:rsid w:val="00406079"/>
    <w:rsid w:val="004060C5"/>
    <w:rsid w:val="0040611C"/>
    <w:rsid w:val="00406955"/>
    <w:rsid w:val="00406C12"/>
    <w:rsid w:val="00406DD3"/>
    <w:rsid w:val="004071D6"/>
    <w:rsid w:val="00407286"/>
    <w:rsid w:val="004074AF"/>
    <w:rsid w:val="00410196"/>
    <w:rsid w:val="004108BB"/>
    <w:rsid w:val="004109B3"/>
    <w:rsid w:val="00410AAC"/>
    <w:rsid w:val="00410B85"/>
    <w:rsid w:val="00411099"/>
    <w:rsid w:val="004110AF"/>
    <w:rsid w:val="0041168D"/>
    <w:rsid w:val="004118FD"/>
    <w:rsid w:val="00411AA5"/>
    <w:rsid w:val="00411B74"/>
    <w:rsid w:val="004121DF"/>
    <w:rsid w:val="004122BE"/>
    <w:rsid w:val="00413012"/>
    <w:rsid w:val="0041304B"/>
    <w:rsid w:val="00413122"/>
    <w:rsid w:val="004131BA"/>
    <w:rsid w:val="004131BE"/>
    <w:rsid w:val="00413293"/>
    <w:rsid w:val="00413561"/>
    <w:rsid w:val="004138DF"/>
    <w:rsid w:val="0041392C"/>
    <w:rsid w:val="00413951"/>
    <w:rsid w:val="00413FB9"/>
    <w:rsid w:val="004141D8"/>
    <w:rsid w:val="004157F7"/>
    <w:rsid w:val="00415AE9"/>
    <w:rsid w:val="00415E9C"/>
    <w:rsid w:val="0041653A"/>
    <w:rsid w:val="00416FB5"/>
    <w:rsid w:val="00417115"/>
    <w:rsid w:val="00417183"/>
    <w:rsid w:val="00417620"/>
    <w:rsid w:val="00417A47"/>
    <w:rsid w:val="00417CA3"/>
    <w:rsid w:val="00417F22"/>
    <w:rsid w:val="00420C52"/>
    <w:rsid w:val="00420CDC"/>
    <w:rsid w:val="00420E23"/>
    <w:rsid w:val="00420F83"/>
    <w:rsid w:val="004219B7"/>
    <w:rsid w:val="00421CD8"/>
    <w:rsid w:val="00422415"/>
    <w:rsid w:val="0042247C"/>
    <w:rsid w:val="004224B1"/>
    <w:rsid w:val="00422B4D"/>
    <w:rsid w:val="00422B53"/>
    <w:rsid w:val="00422E28"/>
    <w:rsid w:val="004233D9"/>
    <w:rsid w:val="00423401"/>
    <w:rsid w:val="00423466"/>
    <w:rsid w:val="004235C6"/>
    <w:rsid w:val="0042368E"/>
    <w:rsid w:val="004246E3"/>
    <w:rsid w:val="00424869"/>
    <w:rsid w:val="00424E2B"/>
    <w:rsid w:val="00424ED7"/>
    <w:rsid w:val="0042526E"/>
    <w:rsid w:val="004257D8"/>
    <w:rsid w:val="00425BC4"/>
    <w:rsid w:val="00426073"/>
    <w:rsid w:val="004267DA"/>
    <w:rsid w:val="00426994"/>
    <w:rsid w:val="00426A82"/>
    <w:rsid w:val="00426BD0"/>
    <w:rsid w:val="00426DD8"/>
    <w:rsid w:val="00427151"/>
    <w:rsid w:val="004271E3"/>
    <w:rsid w:val="0042732E"/>
    <w:rsid w:val="00427455"/>
    <w:rsid w:val="00427593"/>
    <w:rsid w:val="00427798"/>
    <w:rsid w:val="00427A2B"/>
    <w:rsid w:val="00427B61"/>
    <w:rsid w:val="004305F6"/>
    <w:rsid w:val="00430621"/>
    <w:rsid w:val="0043068F"/>
    <w:rsid w:val="00430738"/>
    <w:rsid w:val="004310B7"/>
    <w:rsid w:val="004311CB"/>
    <w:rsid w:val="00431247"/>
    <w:rsid w:val="00431642"/>
    <w:rsid w:val="00431873"/>
    <w:rsid w:val="004327BF"/>
    <w:rsid w:val="00432943"/>
    <w:rsid w:val="00433009"/>
    <w:rsid w:val="00433071"/>
    <w:rsid w:val="00433639"/>
    <w:rsid w:val="0043363A"/>
    <w:rsid w:val="00433B95"/>
    <w:rsid w:val="00433E24"/>
    <w:rsid w:val="004343C5"/>
    <w:rsid w:val="004345EA"/>
    <w:rsid w:val="00434666"/>
    <w:rsid w:val="00434741"/>
    <w:rsid w:val="00434821"/>
    <w:rsid w:val="00434A37"/>
    <w:rsid w:val="00434C91"/>
    <w:rsid w:val="00434EF3"/>
    <w:rsid w:val="00435103"/>
    <w:rsid w:val="004353B9"/>
    <w:rsid w:val="00435E17"/>
    <w:rsid w:val="00436181"/>
    <w:rsid w:val="00436235"/>
    <w:rsid w:val="0043631E"/>
    <w:rsid w:val="00436AEF"/>
    <w:rsid w:val="00436BE1"/>
    <w:rsid w:val="00436E09"/>
    <w:rsid w:val="0043762C"/>
    <w:rsid w:val="00441075"/>
    <w:rsid w:val="004416A1"/>
    <w:rsid w:val="00441840"/>
    <w:rsid w:val="00441C44"/>
    <w:rsid w:val="004429F4"/>
    <w:rsid w:val="00442BFA"/>
    <w:rsid w:val="0044326B"/>
    <w:rsid w:val="004434EE"/>
    <w:rsid w:val="00443A11"/>
    <w:rsid w:val="00443EF6"/>
    <w:rsid w:val="004442C5"/>
    <w:rsid w:val="00444658"/>
    <w:rsid w:val="00444911"/>
    <w:rsid w:val="0044527A"/>
    <w:rsid w:val="00445333"/>
    <w:rsid w:val="004458DC"/>
    <w:rsid w:val="00445AD5"/>
    <w:rsid w:val="00445C48"/>
    <w:rsid w:val="00445E1E"/>
    <w:rsid w:val="0044698C"/>
    <w:rsid w:val="00447511"/>
    <w:rsid w:val="0044761E"/>
    <w:rsid w:val="00447669"/>
    <w:rsid w:val="00447C88"/>
    <w:rsid w:val="00447CEC"/>
    <w:rsid w:val="00447E20"/>
    <w:rsid w:val="00447ED8"/>
    <w:rsid w:val="00450070"/>
    <w:rsid w:val="004509AD"/>
    <w:rsid w:val="004509D1"/>
    <w:rsid w:val="00450C70"/>
    <w:rsid w:val="00451855"/>
    <w:rsid w:val="00451E94"/>
    <w:rsid w:val="00452224"/>
    <w:rsid w:val="0045230B"/>
    <w:rsid w:val="004525D5"/>
    <w:rsid w:val="004533B5"/>
    <w:rsid w:val="0045393E"/>
    <w:rsid w:val="004539BB"/>
    <w:rsid w:val="00453F48"/>
    <w:rsid w:val="00454808"/>
    <w:rsid w:val="00454E15"/>
    <w:rsid w:val="00454F15"/>
    <w:rsid w:val="0045533E"/>
    <w:rsid w:val="0045596F"/>
    <w:rsid w:val="00455E0E"/>
    <w:rsid w:val="00455FED"/>
    <w:rsid w:val="0045654A"/>
    <w:rsid w:val="00456B5E"/>
    <w:rsid w:val="00457ADB"/>
    <w:rsid w:val="00457BAF"/>
    <w:rsid w:val="00460287"/>
    <w:rsid w:val="004603A3"/>
    <w:rsid w:val="004604FE"/>
    <w:rsid w:val="004607D2"/>
    <w:rsid w:val="00460B14"/>
    <w:rsid w:val="00460DCF"/>
    <w:rsid w:val="00460F0D"/>
    <w:rsid w:val="00461021"/>
    <w:rsid w:val="0046113D"/>
    <w:rsid w:val="004615B8"/>
    <w:rsid w:val="00461A73"/>
    <w:rsid w:val="00461C35"/>
    <w:rsid w:val="00461ECA"/>
    <w:rsid w:val="00462365"/>
    <w:rsid w:val="00462528"/>
    <w:rsid w:val="004627FC"/>
    <w:rsid w:val="00462CCD"/>
    <w:rsid w:val="00462D77"/>
    <w:rsid w:val="00462EC0"/>
    <w:rsid w:val="00463DC3"/>
    <w:rsid w:val="00464574"/>
    <w:rsid w:val="004645BE"/>
    <w:rsid w:val="00465A04"/>
    <w:rsid w:val="00465B0C"/>
    <w:rsid w:val="00465FF1"/>
    <w:rsid w:val="00466035"/>
    <w:rsid w:val="004666BD"/>
    <w:rsid w:val="00466756"/>
    <w:rsid w:val="00466761"/>
    <w:rsid w:val="00466F18"/>
    <w:rsid w:val="004671BE"/>
    <w:rsid w:val="004676D8"/>
    <w:rsid w:val="00467A06"/>
    <w:rsid w:val="00467AA0"/>
    <w:rsid w:val="00467BB7"/>
    <w:rsid w:val="00467C32"/>
    <w:rsid w:val="00467FDE"/>
    <w:rsid w:val="00470A3D"/>
    <w:rsid w:val="004714A7"/>
    <w:rsid w:val="00471690"/>
    <w:rsid w:val="00472895"/>
    <w:rsid w:val="004728DF"/>
    <w:rsid w:val="00472A69"/>
    <w:rsid w:val="00472CB7"/>
    <w:rsid w:val="00473003"/>
    <w:rsid w:val="0047376E"/>
    <w:rsid w:val="00473793"/>
    <w:rsid w:val="00473811"/>
    <w:rsid w:val="00473A42"/>
    <w:rsid w:val="0047443B"/>
    <w:rsid w:val="00474BBB"/>
    <w:rsid w:val="00474E0E"/>
    <w:rsid w:val="00474E23"/>
    <w:rsid w:val="00475068"/>
    <w:rsid w:val="00475518"/>
    <w:rsid w:val="00476692"/>
    <w:rsid w:val="004771FC"/>
    <w:rsid w:val="0047736D"/>
    <w:rsid w:val="00477651"/>
    <w:rsid w:val="0047792C"/>
    <w:rsid w:val="004801B2"/>
    <w:rsid w:val="00480242"/>
    <w:rsid w:val="00480468"/>
    <w:rsid w:val="00480CBB"/>
    <w:rsid w:val="00480DE3"/>
    <w:rsid w:val="004811F2"/>
    <w:rsid w:val="004813DB"/>
    <w:rsid w:val="0048176D"/>
    <w:rsid w:val="0048185B"/>
    <w:rsid w:val="004819A1"/>
    <w:rsid w:val="00481B42"/>
    <w:rsid w:val="004820B9"/>
    <w:rsid w:val="004824EC"/>
    <w:rsid w:val="004830CA"/>
    <w:rsid w:val="004830CB"/>
    <w:rsid w:val="004831D6"/>
    <w:rsid w:val="0048338F"/>
    <w:rsid w:val="00483D2A"/>
    <w:rsid w:val="00483FD0"/>
    <w:rsid w:val="00484437"/>
    <w:rsid w:val="00484E49"/>
    <w:rsid w:val="00485A16"/>
    <w:rsid w:val="00485E38"/>
    <w:rsid w:val="00485F2E"/>
    <w:rsid w:val="00486235"/>
    <w:rsid w:val="004863AD"/>
    <w:rsid w:val="00487233"/>
    <w:rsid w:val="0048725F"/>
    <w:rsid w:val="004873BE"/>
    <w:rsid w:val="00487C7A"/>
    <w:rsid w:val="004903BC"/>
    <w:rsid w:val="00490450"/>
    <w:rsid w:val="00490638"/>
    <w:rsid w:val="0049099A"/>
    <w:rsid w:val="00491631"/>
    <w:rsid w:val="00491EAD"/>
    <w:rsid w:val="00492262"/>
    <w:rsid w:val="00492339"/>
    <w:rsid w:val="004924ED"/>
    <w:rsid w:val="00492882"/>
    <w:rsid w:val="00492BD6"/>
    <w:rsid w:val="004930E9"/>
    <w:rsid w:val="00493C21"/>
    <w:rsid w:val="00493F27"/>
    <w:rsid w:val="00493F52"/>
    <w:rsid w:val="004945B9"/>
    <w:rsid w:val="004949A3"/>
    <w:rsid w:val="00494AD4"/>
    <w:rsid w:val="00494D68"/>
    <w:rsid w:val="00494E44"/>
    <w:rsid w:val="00494F59"/>
    <w:rsid w:val="00494F88"/>
    <w:rsid w:val="0049505C"/>
    <w:rsid w:val="00495833"/>
    <w:rsid w:val="0049588C"/>
    <w:rsid w:val="0049592B"/>
    <w:rsid w:val="00495940"/>
    <w:rsid w:val="00495E74"/>
    <w:rsid w:val="00496676"/>
    <w:rsid w:val="0049684A"/>
    <w:rsid w:val="004968CB"/>
    <w:rsid w:val="00496B60"/>
    <w:rsid w:val="00496B9D"/>
    <w:rsid w:val="00496CAF"/>
    <w:rsid w:val="00497C15"/>
    <w:rsid w:val="004A0174"/>
    <w:rsid w:val="004A02E3"/>
    <w:rsid w:val="004A03DE"/>
    <w:rsid w:val="004A071D"/>
    <w:rsid w:val="004A07A9"/>
    <w:rsid w:val="004A081D"/>
    <w:rsid w:val="004A0876"/>
    <w:rsid w:val="004A0AC6"/>
    <w:rsid w:val="004A0B7E"/>
    <w:rsid w:val="004A0EFE"/>
    <w:rsid w:val="004A0FF1"/>
    <w:rsid w:val="004A14F9"/>
    <w:rsid w:val="004A162C"/>
    <w:rsid w:val="004A1746"/>
    <w:rsid w:val="004A1B3E"/>
    <w:rsid w:val="004A20B8"/>
    <w:rsid w:val="004A26E8"/>
    <w:rsid w:val="004A2980"/>
    <w:rsid w:val="004A2ECD"/>
    <w:rsid w:val="004A2EF2"/>
    <w:rsid w:val="004A321C"/>
    <w:rsid w:val="004A3997"/>
    <w:rsid w:val="004A3EF9"/>
    <w:rsid w:val="004A42FA"/>
    <w:rsid w:val="004A4656"/>
    <w:rsid w:val="004A4AE8"/>
    <w:rsid w:val="004A4BF1"/>
    <w:rsid w:val="004A5041"/>
    <w:rsid w:val="004A5AB5"/>
    <w:rsid w:val="004A5B97"/>
    <w:rsid w:val="004A5C9A"/>
    <w:rsid w:val="004A6337"/>
    <w:rsid w:val="004A6C09"/>
    <w:rsid w:val="004A727B"/>
    <w:rsid w:val="004A737D"/>
    <w:rsid w:val="004A73E5"/>
    <w:rsid w:val="004A7537"/>
    <w:rsid w:val="004A7887"/>
    <w:rsid w:val="004A7D31"/>
    <w:rsid w:val="004A7DC0"/>
    <w:rsid w:val="004B02DF"/>
    <w:rsid w:val="004B07B0"/>
    <w:rsid w:val="004B0A96"/>
    <w:rsid w:val="004B10AD"/>
    <w:rsid w:val="004B1517"/>
    <w:rsid w:val="004B16CD"/>
    <w:rsid w:val="004B2395"/>
    <w:rsid w:val="004B2571"/>
    <w:rsid w:val="004B2767"/>
    <w:rsid w:val="004B3A07"/>
    <w:rsid w:val="004B3A4D"/>
    <w:rsid w:val="004B3C4E"/>
    <w:rsid w:val="004B421D"/>
    <w:rsid w:val="004B4A7A"/>
    <w:rsid w:val="004B4C7B"/>
    <w:rsid w:val="004B5428"/>
    <w:rsid w:val="004B5802"/>
    <w:rsid w:val="004B5878"/>
    <w:rsid w:val="004B59CD"/>
    <w:rsid w:val="004B5F1A"/>
    <w:rsid w:val="004B6051"/>
    <w:rsid w:val="004B61CD"/>
    <w:rsid w:val="004B6368"/>
    <w:rsid w:val="004B658A"/>
    <w:rsid w:val="004B7564"/>
    <w:rsid w:val="004B7B08"/>
    <w:rsid w:val="004C038C"/>
    <w:rsid w:val="004C04B1"/>
    <w:rsid w:val="004C0B56"/>
    <w:rsid w:val="004C0D49"/>
    <w:rsid w:val="004C0F8E"/>
    <w:rsid w:val="004C12B5"/>
    <w:rsid w:val="004C199E"/>
    <w:rsid w:val="004C1D4D"/>
    <w:rsid w:val="004C3BC2"/>
    <w:rsid w:val="004C3E34"/>
    <w:rsid w:val="004C3E60"/>
    <w:rsid w:val="004C4179"/>
    <w:rsid w:val="004C4346"/>
    <w:rsid w:val="004C44E3"/>
    <w:rsid w:val="004C476A"/>
    <w:rsid w:val="004C48DD"/>
    <w:rsid w:val="004C4D6E"/>
    <w:rsid w:val="004C5126"/>
    <w:rsid w:val="004C52A4"/>
    <w:rsid w:val="004C55E5"/>
    <w:rsid w:val="004C5A9D"/>
    <w:rsid w:val="004C5D4E"/>
    <w:rsid w:val="004C5E88"/>
    <w:rsid w:val="004C5FCB"/>
    <w:rsid w:val="004C5FD4"/>
    <w:rsid w:val="004C62C4"/>
    <w:rsid w:val="004C63C5"/>
    <w:rsid w:val="004C6628"/>
    <w:rsid w:val="004C6648"/>
    <w:rsid w:val="004C6775"/>
    <w:rsid w:val="004C7170"/>
    <w:rsid w:val="004C78D3"/>
    <w:rsid w:val="004C7C06"/>
    <w:rsid w:val="004D01B5"/>
    <w:rsid w:val="004D061C"/>
    <w:rsid w:val="004D1800"/>
    <w:rsid w:val="004D234E"/>
    <w:rsid w:val="004D2509"/>
    <w:rsid w:val="004D26BE"/>
    <w:rsid w:val="004D2E11"/>
    <w:rsid w:val="004D2E74"/>
    <w:rsid w:val="004D2F1F"/>
    <w:rsid w:val="004D31CD"/>
    <w:rsid w:val="004D377E"/>
    <w:rsid w:val="004D41D3"/>
    <w:rsid w:val="004D43EF"/>
    <w:rsid w:val="004D44FE"/>
    <w:rsid w:val="004D4D94"/>
    <w:rsid w:val="004D4F1E"/>
    <w:rsid w:val="004D4F6B"/>
    <w:rsid w:val="004D53B1"/>
    <w:rsid w:val="004D5856"/>
    <w:rsid w:val="004D5976"/>
    <w:rsid w:val="004D597C"/>
    <w:rsid w:val="004D5B98"/>
    <w:rsid w:val="004D5D49"/>
    <w:rsid w:val="004D5FE7"/>
    <w:rsid w:val="004D6152"/>
    <w:rsid w:val="004D63DC"/>
    <w:rsid w:val="004D6AB0"/>
    <w:rsid w:val="004D6D59"/>
    <w:rsid w:val="004D7305"/>
    <w:rsid w:val="004D7492"/>
    <w:rsid w:val="004E0021"/>
    <w:rsid w:val="004E0A78"/>
    <w:rsid w:val="004E1449"/>
    <w:rsid w:val="004E18F6"/>
    <w:rsid w:val="004E1A27"/>
    <w:rsid w:val="004E1DD9"/>
    <w:rsid w:val="004E2607"/>
    <w:rsid w:val="004E282C"/>
    <w:rsid w:val="004E3517"/>
    <w:rsid w:val="004E3810"/>
    <w:rsid w:val="004E38B0"/>
    <w:rsid w:val="004E3A0E"/>
    <w:rsid w:val="004E3D00"/>
    <w:rsid w:val="004E43C4"/>
    <w:rsid w:val="004E4AB0"/>
    <w:rsid w:val="004E4D0D"/>
    <w:rsid w:val="004E5AC5"/>
    <w:rsid w:val="004E5C94"/>
    <w:rsid w:val="004E5EF4"/>
    <w:rsid w:val="004E6258"/>
    <w:rsid w:val="004E63F4"/>
    <w:rsid w:val="004E64E8"/>
    <w:rsid w:val="004E660E"/>
    <w:rsid w:val="004E66A8"/>
    <w:rsid w:val="004E6DBF"/>
    <w:rsid w:val="004E7043"/>
    <w:rsid w:val="004E72A2"/>
    <w:rsid w:val="004E740A"/>
    <w:rsid w:val="004E7AFE"/>
    <w:rsid w:val="004E7D13"/>
    <w:rsid w:val="004E7E8A"/>
    <w:rsid w:val="004E7FE8"/>
    <w:rsid w:val="004F048F"/>
    <w:rsid w:val="004F0541"/>
    <w:rsid w:val="004F096B"/>
    <w:rsid w:val="004F0CE5"/>
    <w:rsid w:val="004F10FB"/>
    <w:rsid w:val="004F11C7"/>
    <w:rsid w:val="004F128E"/>
    <w:rsid w:val="004F2AB4"/>
    <w:rsid w:val="004F2D17"/>
    <w:rsid w:val="004F2F65"/>
    <w:rsid w:val="004F3083"/>
    <w:rsid w:val="004F3982"/>
    <w:rsid w:val="004F3A97"/>
    <w:rsid w:val="004F4478"/>
    <w:rsid w:val="004F4D22"/>
    <w:rsid w:val="004F5187"/>
    <w:rsid w:val="004F5593"/>
    <w:rsid w:val="004F5B55"/>
    <w:rsid w:val="004F6361"/>
    <w:rsid w:val="004F64B8"/>
    <w:rsid w:val="004F67B0"/>
    <w:rsid w:val="004F7722"/>
    <w:rsid w:val="004F7A4D"/>
    <w:rsid w:val="004F7E88"/>
    <w:rsid w:val="004F7F36"/>
    <w:rsid w:val="004F7FAF"/>
    <w:rsid w:val="0050009B"/>
    <w:rsid w:val="005004D5"/>
    <w:rsid w:val="005006D0"/>
    <w:rsid w:val="005009E3"/>
    <w:rsid w:val="00500ABA"/>
    <w:rsid w:val="005015EA"/>
    <w:rsid w:val="005018A2"/>
    <w:rsid w:val="00501B93"/>
    <w:rsid w:val="00501C39"/>
    <w:rsid w:val="00501D96"/>
    <w:rsid w:val="00502566"/>
    <w:rsid w:val="00502718"/>
    <w:rsid w:val="00502777"/>
    <w:rsid w:val="00502B03"/>
    <w:rsid w:val="00503312"/>
    <w:rsid w:val="00503546"/>
    <w:rsid w:val="005047E8"/>
    <w:rsid w:val="00504882"/>
    <w:rsid w:val="00504A74"/>
    <w:rsid w:val="005050C1"/>
    <w:rsid w:val="00505464"/>
    <w:rsid w:val="00506451"/>
    <w:rsid w:val="00506454"/>
    <w:rsid w:val="00506A33"/>
    <w:rsid w:val="00506ABF"/>
    <w:rsid w:val="00506CD8"/>
    <w:rsid w:val="00506D8A"/>
    <w:rsid w:val="00506DB6"/>
    <w:rsid w:val="00506E25"/>
    <w:rsid w:val="0050771E"/>
    <w:rsid w:val="005077FB"/>
    <w:rsid w:val="00507EC9"/>
    <w:rsid w:val="005104F0"/>
    <w:rsid w:val="00511115"/>
    <w:rsid w:val="005113BE"/>
    <w:rsid w:val="005117F4"/>
    <w:rsid w:val="00511B00"/>
    <w:rsid w:val="00511B4B"/>
    <w:rsid w:val="00511BA6"/>
    <w:rsid w:val="00511CF7"/>
    <w:rsid w:val="00511D02"/>
    <w:rsid w:val="00511FB0"/>
    <w:rsid w:val="005126AF"/>
    <w:rsid w:val="00512717"/>
    <w:rsid w:val="0051277C"/>
    <w:rsid w:val="005127FE"/>
    <w:rsid w:val="0051332B"/>
    <w:rsid w:val="00513657"/>
    <w:rsid w:val="005136D2"/>
    <w:rsid w:val="00513CFB"/>
    <w:rsid w:val="00513EEB"/>
    <w:rsid w:val="005144C7"/>
    <w:rsid w:val="00514866"/>
    <w:rsid w:val="00514920"/>
    <w:rsid w:val="00514EA9"/>
    <w:rsid w:val="00514F66"/>
    <w:rsid w:val="0051596B"/>
    <w:rsid w:val="00515AD8"/>
    <w:rsid w:val="00515F5B"/>
    <w:rsid w:val="0051607F"/>
    <w:rsid w:val="00516644"/>
    <w:rsid w:val="0051748C"/>
    <w:rsid w:val="0051771B"/>
    <w:rsid w:val="005177EE"/>
    <w:rsid w:val="00517878"/>
    <w:rsid w:val="00517B09"/>
    <w:rsid w:val="00517B24"/>
    <w:rsid w:val="00517CA6"/>
    <w:rsid w:val="00517D4B"/>
    <w:rsid w:val="005201D0"/>
    <w:rsid w:val="005203B8"/>
    <w:rsid w:val="005206C0"/>
    <w:rsid w:val="005209DA"/>
    <w:rsid w:val="00520BA7"/>
    <w:rsid w:val="005213B6"/>
    <w:rsid w:val="0052164F"/>
    <w:rsid w:val="00521D8A"/>
    <w:rsid w:val="00521F24"/>
    <w:rsid w:val="0052247A"/>
    <w:rsid w:val="0052255D"/>
    <w:rsid w:val="00522B0A"/>
    <w:rsid w:val="00522C05"/>
    <w:rsid w:val="005238FC"/>
    <w:rsid w:val="005239BD"/>
    <w:rsid w:val="005244CB"/>
    <w:rsid w:val="00524674"/>
    <w:rsid w:val="005250B4"/>
    <w:rsid w:val="00525748"/>
    <w:rsid w:val="0052586A"/>
    <w:rsid w:val="00525AC6"/>
    <w:rsid w:val="00525FCE"/>
    <w:rsid w:val="005265D7"/>
    <w:rsid w:val="005270D5"/>
    <w:rsid w:val="005271D6"/>
    <w:rsid w:val="00527489"/>
    <w:rsid w:val="00527711"/>
    <w:rsid w:val="00527912"/>
    <w:rsid w:val="00527A2C"/>
    <w:rsid w:val="00527A32"/>
    <w:rsid w:val="00527CF8"/>
    <w:rsid w:val="00527E69"/>
    <w:rsid w:val="00527E73"/>
    <w:rsid w:val="0053006D"/>
    <w:rsid w:val="00530692"/>
    <w:rsid w:val="00530CE2"/>
    <w:rsid w:val="00530D0F"/>
    <w:rsid w:val="005311E5"/>
    <w:rsid w:val="00531729"/>
    <w:rsid w:val="005321D6"/>
    <w:rsid w:val="005322A1"/>
    <w:rsid w:val="005325C2"/>
    <w:rsid w:val="00532838"/>
    <w:rsid w:val="00534399"/>
    <w:rsid w:val="00534486"/>
    <w:rsid w:val="0053485B"/>
    <w:rsid w:val="00534AD7"/>
    <w:rsid w:val="00534C8F"/>
    <w:rsid w:val="00534CEE"/>
    <w:rsid w:val="00534E1F"/>
    <w:rsid w:val="00534F02"/>
    <w:rsid w:val="0053540B"/>
    <w:rsid w:val="00535B0D"/>
    <w:rsid w:val="00535B99"/>
    <w:rsid w:val="00535CBB"/>
    <w:rsid w:val="005361AA"/>
    <w:rsid w:val="0053630D"/>
    <w:rsid w:val="00536402"/>
    <w:rsid w:val="00536593"/>
    <w:rsid w:val="005365CF"/>
    <w:rsid w:val="005368F3"/>
    <w:rsid w:val="005369C2"/>
    <w:rsid w:val="00537031"/>
    <w:rsid w:val="0053707D"/>
    <w:rsid w:val="005373DA"/>
    <w:rsid w:val="0053742A"/>
    <w:rsid w:val="0053758A"/>
    <w:rsid w:val="005378B7"/>
    <w:rsid w:val="00537981"/>
    <w:rsid w:val="0053799F"/>
    <w:rsid w:val="00540019"/>
    <w:rsid w:val="005400C6"/>
    <w:rsid w:val="005402A6"/>
    <w:rsid w:val="0054041B"/>
    <w:rsid w:val="0054086C"/>
    <w:rsid w:val="00540946"/>
    <w:rsid w:val="00540A01"/>
    <w:rsid w:val="00540D11"/>
    <w:rsid w:val="00540F79"/>
    <w:rsid w:val="00541097"/>
    <w:rsid w:val="00541172"/>
    <w:rsid w:val="005411CE"/>
    <w:rsid w:val="0054158A"/>
    <w:rsid w:val="00541D89"/>
    <w:rsid w:val="00541E18"/>
    <w:rsid w:val="00542194"/>
    <w:rsid w:val="0054280E"/>
    <w:rsid w:val="0054289E"/>
    <w:rsid w:val="00542D61"/>
    <w:rsid w:val="0054311D"/>
    <w:rsid w:val="005433FC"/>
    <w:rsid w:val="00543A2E"/>
    <w:rsid w:val="00543CDA"/>
    <w:rsid w:val="00543E25"/>
    <w:rsid w:val="0054405C"/>
    <w:rsid w:val="00544AF7"/>
    <w:rsid w:val="00545142"/>
    <w:rsid w:val="0054537D"/>
    <w:rsid w:val="005463EA"/>
    <w:rsid w:val="005466B8"/>
    <w:rsid w:val="00547744"/>
    <w:rsid w:val="00547DDC"/>
    <w:rsid w:val="00547E5E"/>
    <w:rsid w:val="00547FBF"/>
    <w:rsid w:val="005503FE"/>
    <w:rsid w:val="005506EB"/>
    <w:rsid w:val="005509B3"/>
    <w:rsid w:val="00550C6F"/>
    <w:rsid w:val="00551082"/>
    <w:rsid w:val="00551606"/>
    <w:rsid w:val="005516CC"/>
    <w:rsid w:val="00551DE0"/>
    <w:rsid w:val="00552849"/>
    <w:rsid w:val="00552D27"/>
    <w:rsid w:val="00552E69"/>
    <w:rsid w:val="00553183"/>
    <w:rsid w:val="00553D8D"/>
    <w:rsid w:val="0055420F"/>
    <w:rsid w:val="00554463"/>
    <w:rsid w:val="0055486F"/>
    <w:rsid w:val="00554D2A"/>
    <w:rsid w:val="00554D9A"/>
    <w:rsid w:val="00555711"/>
    <w:rsid w:val="00555999"/>
    <w:rsid w:val="00555ADC"/>
    <w:rsid w:val="00555B47"/>
    <w:rsid w:val="00555F3A"/>
    <w:rsid w:val="0055602E"/>
    <w:rsid w:val="005561EB"/>
    <w:rsid w:val="005561EE"/>
    <w:rsid w:val="0055677E"/>
    <w:rsid w:val="00556A7D"/>
    <w:rsid w:val="00556D86"/>
    <w:rsid w:val="00556DF1"/>
    <w:rsid w:val="00556F8F"/>
    <w:rsid w:val="0055701A"/>
    <w:rsid w:val="00557421"/>
    <w:rsid w:val="0056021C"/>
    <w:rsid w:val="005604A3"/>
    <w:rsid w:val="00560A29"/>
    <w:rsid w:val="00560B94"/>
    <w:rsid w:val="00561226"/>
    <w:rsid w:val="0056152D"/>
    <w:rsid w:val="0056202F"/>
    <w:rsid w:val="00562057"/>
    <w:rsid w:val="005622FD"/>
    <w:rsid w:val="0056250D"/>
    <w:rsid w:val="0056267A"/>
    <w:rsid w:val="00562A13"/>
    <w:rsid w:val="00563258"/>
    <w:rsid w:val="00563353"/>
    <w:rsid w:val="0056344D"/>
    <w:rsid w:val="00563708"/>
    <w:rsid w:val="0056389E"/>
    <w:rsid w:val="005639B5"/>
    <w:rsid w:val="00563BC2"/>
    <w:rsid w:val="00563C7D"/>
    <w:rsid w:val="00563DB7"/>
    <w:rsid w:val="0056418C"/>
    <w:rsid w:val="00564325"/>
    <w:rsid w:val="0056450E"/>
    <w:rsid w:val="0056462D"/>
    <w:rsid w:val="00564841"/>
    <w:rsid w:val="00564CDB"/>
    <w:rsid w:val="00564F03"/>
    <w:rsid w:val="00564F58"/>
    <w:rsid w:val="00565233"/>
    <w:rsid w:val="0056540E"/>
    <w:rsid w:val="00565775"/>
    <w:rsid w:val="00565A2C"/>
    <w:rsid w:val="00566199"/>
    <w:rsid w:val="00566530"/>
    <w:rsid w:val="00566E2C"/>
    <w:rsid w:val="00566E79"/>
    <w:rsid w:val="00566F7D"/>
    <w:rsid w:val="0056753E"/>
    <w:rsid w:val="00570099"/>
    <w:rsid w:val="005701BE"/>
    <w:rsid w:val="005708E8"/>
    <w:rsid w:val="00570936"/>
    <w:rsid w:val="0057097C"/>
    <w:rsid w:val="00570BD0"/>
    <w:rsid w:val="00570F6C"/>
    <w:rsid w:val="00570F98"/>
    <w:rsid w:val="00571044"/>
    <w:rsid w:val="00571357"/>
    <w:rsid w:val="00571493"/>
    <w:rsid w:val="005714A1"/>
    <w:rsid w:val="00571502"/>
    <w:rsid w:val="0057188C"/>
    <w:rsid w:val="00571EAA"/>
    <w:rsid w:val="00571FCA"/>
    <w:rsid w:val="005729DE"/>
    <w:rsid w:val="00572A3C"/>
    <w:rsid w:val="00572E91"/>
    <w:rsid w:val="00572EF1"/>
    <w:rsid w:val="005734B8"/>
    <w:rsid w:val="0057377D"/>
    <w:rsid w:val="00573832"/>
    <w:rsid w:val="00573B8B"/>
    <w:rsid w:val="005746A8"/>
    <w:rsid w:val="00574885"/>
    <w:rsid w:val="0057495A"/>
    <w:rsid w:val="00574EAC"/>
    <w:rsid w:val="0057540F"/>
    <w:rsid w:val="00575505"/>
    <w:rsid w:val="005757C5"/>
    <w:rsid w:val="0057614B"/>
    <w:rsid w:val="00576AA0"/>
    <w:rsid w:val="00576C0A"/>
    <w:rsid w:val="0057705A"/>
    <w:rsid w:val="00577362"/>
    <w:rsid w:val="005776FC"/>
    <w:rsid w:val="00577DD7"/>
    <w:rsid w:val="00577F29"/>
    <w:rsid w:val="00580064"/>
    <w:rsid w:val="005807F5"/>
    <w:rsid w:val="00580803"/>
    <w:rsid w:val="005814FA"/>
    <w:rsid w:val="00581582"/>
    <w:rsid w:val="00581D5C"/>
    <w:rsid w:val="00582169"/>
    <w:rsid w:val="00582295"/>
    <w:rsid w:val="005823C6"/>
    <w:rsid w:val="005828B5"/>
    <w:rsid w:val="00583051"/>
    <w:rsid w:val="005830C9"/>
    <w:rsid w:val="0058323C"/>
    <w:rsid w:val="00583585"/>
    <w:rsid w:val="0058358F"/>
    <w:rsid w:val="005839C5"/>
    <w:rsid w:val="00583A01"/>
    <w:rsid w:val="00583D70"/>
    <w:rsid w:val="00583F95"/>
    <w:rsid w:val="0058432C"/>
    <w:rsid w:val="0058498E"/>
    <w:rsid w:val="00584B33"/>
    <w:rsid w:val="00584DA0"/>
    <w:rsid w:val="00584DD9"/>
    <w:rsid w:val="0058587B"/>
    <w:rsid w:val="005858CD"/>
    <w:rsid w:val="00585E0F"/>
    <w:rsid w:val="0058683E"/>
    <w:rsid w:val="00586871"/>
    <w:rsid w:val="0058689F"/>
    <w:rsid w:val="00586A5C"/>
    <w:rsid w:val="005870A1"/>
    <w:rsid w:val="005873C1"/>
    <w:rsid w:val="005877E9"/>
    <w:rsid w:val="00587D86"/>
    <w:rsid w:val="005905DA"/>
    <w:rsid w:val="00590F0E"/>
    <w:rsid w:val="00591CE2"/>
    <w:rsid w:val="00591D06"/>
    <w:rsid w:val="00591DA5"/>
    <w:rsid w:val="005922BB"/>
    <w:rsid w:val="00592993"/>
    <w:rsid w:val="00592A7B"/>
    <w:rsid w:val="0059387C"/>
    <w:rsid w:val="00593D8A"/>
    <w:rsid w:val="00593DCE"/>
    <w:rsid w:val="00594003"/>
    <w:rsid w:val="00594440"/>
    <w:rsid w:val="00594DCB"/>
    <w:rsid w:val="00595412"/>
    <w:rsid w:val="0059564B"/>
    <w:rsid w:val="0059580C"/>
    <w:rsid w:val="00595877"/>
    <w:rsid w:val="00595D52"/>
    <w:rsid w:val="0059613B"/>
    <w:rsid w:val="005961E7"/>
    <w:rsid w:val="005963B2"/>
    <w:rsid w:val="005964F0"/>
    <w:rsid w:val="00596711"/>
    <w:rsid w:val="00596728"/>
    <w:rsid w:val="00596E31"/>
    <w:rsid w:val="00596E39"/>
    <w:rsid w:val="00597237"/>
    <w:rsid w:val="005977A2"/>
    <w:rsid w:val="00597BEB"/>
    <w:rsid w:val="00597E25"/>
    <w:rsid w:val="005A007C"/>
    <w:rsid w:val="005A04A3"/>
    <w:rsid w:val="005A087D"/>
    <w:rsid w:val="005A0ADA"/>
    <w:rsid w:val="005A0F10"/>
    <w:rsid w:val="005A1189"/>
    <w:rsid w:val="005A1314"/>
    <w:rsid w:val="005A16AB"/>
    <w:rsid w:val="005A17AD"/>
    <w:rsid w:val="005A18AA"/>
    <w:rsid w:val="005A19CA"/>
    <w:rsid w:val="005A1D8A"/>
    <w:rsid w:val="005A2071"/>
    <w:rsid w:val="005A21E2"/>
    <w:rsid w:val="005A251D"/>
    <w:rsid w:val="005A28A3"/>
    <w:rsid w:val="005A2AA7"/>
    <w:rsid w:val="005A2DB2"/>
    <w:rsid w:val="005A3DC1"/>
    <w:rsid w:val="005A4054"/>
    <w:rsid w:val="005A437A"/>
    <w:rsid w:val="005A44B8"/>
    <w:rsid w:val="005A48D4"/>
    <w:rsid w:val="005A4CB4"/>
    <w:rsid w:val="005A4E8A"/>
    <w:rsid w:val="005A50C9"/>
    <w:rsid w:val="005A56B8"/>
    <w:rsid w:val="005A57B2"/>
    <w:rsid w:val="005A5846"/>
    <w:rsid w:val="005A5AF7"/>
    <w:rsid w:val="005A5C5D"/>
    <w:rsid w:val="005A5E31"/>
    <w:rsid w:val="005A631F"/>
    <w:rsid w:val="005A6D53"/>
    <w:rsid w:val="005A6EDB"/>
    <w:rsid w:val="005A6FDB"/>
    <w:rsid w:val="005A7541"/>
    <w:rsid w:val="005A7C1E"/>
    <w:rsid w:val="005B047F"/>
    <w:rsid w:val="005B105B"/>
    <w:rsid w:val="005B1065"/>
    <w:rsid w:val="005B1627"/>
    <w:rsid w:val="005B16F9"/>
    <w:rsid w:val="005B17C6"/>
    <w:rsid w:val="005B1EDF"/>
    <w:rsid w:val="005B2175"/>
    <w:rsid w:val="005B22DC"/>
    <w:rsid w:val="005B24FD"/>
    <w:rsid w:val="005B2533"/>
    <w:rsid w:val="005B278E"/>
    <w:rsid w:val="005B2BAB"/>
    <w:rsid w:val="005B2D2B"/>
    <w:rsid w:val="005B315C"/>
    <w:rsid w:val="005B3629"/>
    <w:rsid w:val="005B3713"/>
    <w:rsid w:val="005B385C"/>
    <w:rsid w:val="005B39BD"/>
    <w:rsid w:val="005B3A48"/>
    <w:rsid w:val="005B4492"/>
    <w:rsid w:val="005B45DA"/>
    <w:rsid w:val="005B4720"/>
    <w:rsid w:val="005B48DF"/>
    <w:rsid w:val="005B499D"/>
    <w:rsid w:val="005B52B7"/>
    <w:rsid w:val="005B56BD"/>
    <w:rsid w:val="005B572B"/>
    <w:rsid w:val="005B5956"/>
    <w:rsid w:val="005B5991"/>
    <w:rsid w:val="005B5A2D"/>
    <w:rsid w:val="005B5DB7"/>
    <w:rsid w:val="005B6474"/>
    <w:rsid w:val="005B6B3D"/>
    <w:rsid w:val="005B6C0E"/>
    <w:rsid w:val="005B6FEB"/>
    <w:rsid w:val="005B73CB"/>
    <w:rsid w:val="005B7A29"/>
    <w:rsid w:val="005B7D10"/>
    <w:rsid w:val="005B7D57"/>
    <w:rsid w:val="005B7DDB"/>
    <w:rsid w:val="005B7E87"/>
    <w:rsid w:val="005C013B"/>
    <w:rsid w:val="005C0BDD"/>
    <w:rsid w:val="005C1168"/>
    <w:rsid w:val="005C1306"/>
    <w:rsid w:val="005C14DA"/>
    <w:rsid w:val="005C1560"/>
    <w:rsid w:val="005C1740"/>
    <w:rsid w:val="005C1A5A"/>
    <w:rsid w:val="005C1B1E"/>
    <w:rsid w:val="005C1C52"/>
    <w:rsid w:val="005C2533"/>
    <w:rsid w:val="005C26E7"/>
    <w:rsid w:val="005C2761"/>
    <w:rsid w:val="005C2E67"/>
    <w:rsid w:val="005C3A41"/>
    <w:rsid w:val="005C3E53"/>
    <w:rsid w:val="005C4683"/>
    <w:rsid w:val="005C47B5"/>
    <w:rsid w:val="005C4949"/>
    <w:rsid w:val="005C49A9"/>
    <w:rsid w:val="005C49DC"/>
    <w:rsid w:val="005C4A2B"/>
    <w:rsid w:val="005C4D8E"/>
    <w:rsid w:val="005C5653"/>
    <w:rsid w:val="005C5739"/>
    <w:rsid w:val="005C5BE6"/>
    <w:rsid w:val="005C5D0A"/>
    <w:rsid w:val="005C62D2"/>
    <w:rsid w:val="005C744F"/>
    <w:rsid w:val="005C75FE"/>
    <w:rsid w:val="005C7848"/>
    <w:rsid w:val="005C7A29"/>
    <w:rsid w:val="005C7B2A"/>
    <w:rsid w:val="005D05AF"/>
    <w:rsid w:val="005D0A11"/>
    <w:rsid w:val="005D0A49"/>
    <w:rsid w:val="005D0DF7"/>
    <w:rsid w:val="005D0E2D"/>
    <w:rsid w:val="005D0F2F"/>
    <w:rsid w:val="005D13D7"/>
    <w:rsid w:val="005D16F4"/>
    <w:rsid w:val="005D178D"/>
    <w:rsid w:val="005D188E"/>
    <w:rsid w:val="005D18F3"/>
    <w:rsid w:val="005D21D5"/>
    <w:rsid w:val="005D26ED"/>
    <w:rsid w:val="005D2B23"/>
    <w:rsid w:val="005D2BA2"/>
    <w:rsid w:val="005D3214"/>
    <w:rsid w:val="005D32B2"/>
    <w:rsid w:val="005D397D"/>
    <w:rsid w:val="005D4EF8"/>
    <w:rsid w:val="005D4FFE"/>
    <w:rsid w:val="005D509A"/>
    <w:rsid w:val="005D547A"/>
    <w:rsid w:val="005D56BB"/>
    <w:rsid w:val="005D5B0C"/>
    <w:rsid w:val="005D5F65"/>
    <w:rsid w:val="005D6277"/>
    <w:rsid w:val="005D6391"/>
    <w:rsid w:val="005D6A18"/>
    <w:rsid w:val="005D6C9A"/>
    <w:rsid w:val="005D70D3"/>
    <w:rsid w:val="005D74D7"/>
    <w:rsid w:val="005D7701"/>
    <w:rsid w:val="005E016D"/>
    <w:rsid w:val="005E054C"/>
    <w:rsid w:val="005E0A24"/>
    <w:rsid w:val="005E0E8B"/>
    <w:rsid w:val="005E1B18"/>
    <w:rsid w:val="005E272D"/>
    <w:rsid w:val="005E2A14"/>
    <w:rsid w:val="005E2AB8"/>
    <w:rsid w:val="005E403A"/>
    <w:rsid w:val="005E4042"/>
    <w:rsid w:val="005E467D"/>
    <w:rsid w:val="005E47ED"/>
    <w:rsid w:val="005E50B0"/>
    <w:rsid w:val="005E5127"/>
    <w:rsid w:val="005E5130"/>
    <w:rsid w:val="005E51F3"/>
    <w:rsid w:val="005E5763"/>
    <w:rsid w:val="005E5903"/>
    <w:rsid w:val="005E6423"/>
    <w:rsid w:val="005E6C66"/>
    <w:rsid w:val="005E6DC2"/>
    <w:rsid w:val="005E6EB6"/>
    <w:rsid w:val="005E7374"/>
    <w:rsid w:val="005E79D5"/>
    <w:rsid w:val="005E7CBB"/>
    <w:rsid w:val="005E7DA3"/>
    <w:rsid w:val="005F032D"/>
    <w:rsid w:val="005F056C"/>
    <w:rsid w:val="005F0EC5"/>
    <w:rsid w:val="005F157C"/>
    <w:rsid w:val="005F16F8"/>
    <w:rsid w:val="005F17FE"/>
    <w:rsid w:val="005F186F"/>
    <w:rsid w:val="005F2030"/>
    <w:rsid w:val="005F2093"/>
    <w:rsid w:val="005F2112"/>
    <w:rsid w:val="005F2709"/>
    <w:rsid w:val="005F2EE1"/>
    <w:rsid w:val="005F3125"/>
    <w:rsid w:val="005F31B4"/>
    <w:rsid w:val="005F3526"/>
    <w:rsid w:val="005F39D8"/>
    <w:rsid w:val="005F426A"/>
    <w:rsid w:val="005F4398"/>
    <w:rsid w:val="005F4B3C"/>
    <w:rsid w:val="005F4DB7"/>
    <w:rsid w:val="005F5128"/>
    <w:rsid w:val="005F53D1"/>
    <w:rsid w:val="005F59A5"/>
    <w:rsid w:val="005F5E8C"/>
    <w:rsid w:val="005F60BB"/>
    <w:rsid w:val="005F65A7"/>
    <w:rsid w:val="005F660E"/>
    <w:rsid w:val="005F67D8"/>
    <w:rsid w:val="005F68EF"/>
    <w:rsid w:val="005F69C8"/>
    <w:rsid w:val="005F72A4"/>
    <w:rsid w:val="005F72EF"/>
    <w:rsid w:val="005F7624"/>
    <w:rsid w:val="005F779B"/>
    <w:rsid w:val="005F7838"/>
    <w:rsid w:val="005F7ADF"/>
    <w:rsid w:val="005F7B6F"/>
    <w:rsid w:val="005F7DA8"/>
    <w:rsid w:val="005F7EA7"/>
    <w:rsid w:val="005F7F25"/>
    <w:rsid w:val="00600D1A"/>
    <w:rsid w:val="0060114A"/>
    <w:rsid w:val="00601193"/>
    <w:rsid w:val="006013A9"/>
    <w:rsid w:val="00601475"/>
    <w:rsid w:val="00601E63"/>
    <w:rsid w:val="006021D8"/>
    <w:rsid w:val="00602254"/>
    <w:rsid w:val="00602316"/>
    <w:rsid w:val="006023B6"/>
    <w:rsid w:val="00602498"/>
    <w:rsid w:val="006025E5"/>
    <w:rsid w:val="006029A2"/>
    <w:rsid w:val="00602DD9"/>
    <w:rsid w:val="006035A6"/>
    <w:rsid w:val="00603A99"/>
    <w:rsid w:val="00603D55"/>
    <w:rsid w:val="00604C2B"/>
    <w:rsid w:val="00604FA3"/>
    <w:rsid w:val="006051C9"/>
    <w:rsid w:val="006054D4"/>
    <w:rsid w:val="006056F7"/>
    <w:rsid w:val="00605972"/>
    <w:rsid w:val="00606250"/>
    <w:rsid w:val="0060665B"/>
    <w:rsid w:val="006066B3"/>
    <w:rsid w:val="0060679F"/>
    <w:rsid w:val="00606B0B"/>
    <w:rsid w:val="00607136"/>
    <w:rsid w:val="006076C4"/>
    <w:rsid w:val="006078AC"/>
    <w:rsid w:val="00610052"/>
    <w:rsid w:val="0061005B"/>
    <w:rsid w:val="00610861"/>
    <w:rsid w:val="00610A34"/>
    <w:rsid w:val="00610B80"/>
    <w:rsid w:val="00610C8F"/>
    <w:rsid w:val="00611069"/>
    <w:rsid w:val="00611456"/>
    <w:rsid w:val="00611504"/>
    <w:rsid w:val="006117E5"/>
    <w:rsid w:val="0061191C"/>
    <w:rsid w:val="00611AE1"/>
    <w:rsid w:val="00611B7E"/>
    <w:rsid w:val="00611F8A"/>
    <w:rsid w:val="00612C66"/>
    <w:rsid w:val="00612EBC"/>
    <w:rsid w:val="006130C4"/>
    <w:rsid w:val="0061337F"/>
    <w:rsid w:val="00613485"/>
    <w:rsid w:val="0061370D"/>
    <w:rsid w:val="006141F6"/>
    <w:rsid w:val="00614444"/>
    <w:rsid w:val="00614BC8"/>
    <w:rsid w:val="00615011"/>
    <w:rsid w:val="006154DB"/>
    <w:rsid w:val="00616DD1"/>
    <w:rsid w:val="00616EFF"/>
    <w:rsid w:val="0061760D"/>
    <w:rsid w:val="0061778B"/>
    <w:rsid w:val="00617824"/>
    <w:rsid w:val="00617CC4"/>
    <w:rsid w:val="00617E2F"/>
    <w:rsid w:val="0062048C"/>
    <w:rsid w:val="00620F5B"/>
    <w:rsid w:val="00621459"/>
    <w:rsid w:val="00621C7D"/>
    <w:rsid w:val="00621F94"/>
    <w:rsid w:val="00622436"/>
    <w:rsid w:val="00622789"/>
    <w:rsid w:val="006228B8"/>
    <w:rsid w:val="00622DA3"/>
    <w:rsid w:val="00622EF7"/>
    <w:rsid w:val="006231CC"/>
    <w:rsid w:val="0062358E"/>
    <w:rsid w:val="00623A85"/>
    <w:rsid w:val="00623B1D"/>
    <w:rsid w:val="006241E8"/>
    <w:rsid w:val="006247F9"/>
    <w:rsid w:val="0062487A"/>
    <w:rsid w:val="006252E4"/>
    <w:rsid w:val="006256FA"/>
    <w:rsid w:val="006257C9"/>
    <w:rsid w:val="006258F6"/>
    <w:rsid w:val="006267D3"/>
    <w:rsid w:val="0062698A"/>
    <w:rsid w:val="00627344"/>
    <w:rsid w:val="006274F3"/>
    <w:rsid w:val="0062777D"/>
    <w:rsid w:val="00627D1E"/>
    <w:rsid w:val="006303F7"/>
    <w:rsid w:val="00630560"/>
    <w:rsid w:val="00630601"/>
    <w:rsid w:val="006308AB"/>
    <w:rsid w:val="00630B69"/>
    <w:rsid w:val="00630E3B"/>
    <w:rsid w:val="00630F49"/>
    <w:rsid w:val="00631647"/>
    <w:rsid w:val="00631C92"/>
    <w:rsid w:val="00631FF9"/>
    <w:rsid w:val="00632189"/>
    <w:rsid w:val="00632235"/>
    <w:rsid w:val="00632666"/>
    <w:rsid w:val="00632CB1"/>
    <w:rsid w:val="006332CB"/>
    <w:rsid w:val="006332FE"/>
    <w:rsid w:val="006335F7"/>
    <w:rsid w:val="00633D47"/>
    <w:rsid w:val="00635722"/>
    <w:rsid w:val="00635B82"/>
    <w:rsid w:val="00635C27"/>
    <w:rsid w:val="00635CEA"/>
    <w:rsid w:val="0063651C"/>
    <w:rsid w:val="006368F4"/>
    <w:rsid w:val="00636A02"/>
    <w:rsid w:val="00636F85"/>
    <w:rsid w:val="00637893"/>
    <w:rsid w:val="00637960"/>
    <w:rsid w:val="00637993"/>
    <w:rsid w:val="00637BE3"/>
    <w:rsid w:val="00640214"/>
    <w:rsid w:val="006403F3"/>
    <w:rsid w:val="00640A2E"/>
    <w:rsid w:val="00641570"/>
    <w:rsid w:val="006416E1"/>
    <w:rsid w:val="00641840"/>
    <w:rsid w:val="00642520"/>
    <w:rsid w:val="00642ED3"/>
    <w:rsid w:val="00642EF3"/>
    <w:rsid w:val="00643EF7"/>
    <w:rsid w:val="006449E3"/>
    <w:rsid w:val="00644C70"/>
    <w:rsid w:val="00644D42"/>
    <w:rsid w:val="00644EF2"/>
    <w:rsid w:val="006451BF"/>
    <w:rsid w:val="006453A2"/>
    <w:rsid w:val="006453C2"/>
    <w:rsid w:val="006454AA"/>
    <w:rsid w:val="006457DA"/>
    <w:rsid w:val="00646D8A"/>
    <w:rsid w:val="00646DE3"/>
    <w:rsid w:val="00647A2C"/>
    <w:rsid w:val="00647EE6"/>
    <w:rsid w:val="006504C5"/>
    <w:rsid w:val="0065075B"/>
    <w:rsid w:val="00651185"/>
    <w:rsid w:val="006513A8"/>
    <w:rsid w:val="00651EB1"/>
    <w:rsid w:val="0065200A"/>
    <w:rsid w:val="006521F7"/>
    <w:rsid w:val="006523C0"/>
    <w:rsid w:val="006529A8"/>
    <w:rsid w:val="00652AAD"/>
    <w:rsid w:val="00652BB5"/>
    <w:rsid w:val="00652BC8"/>
    <w:rsid w:val="00652E0C"/>
    <w:rsid w:val="00652E1E"/>
    <w:rsid w:val="00653223"/>
    <w:rsid w:val="006532F0"/>
    <w:rsid w:val="00653746"/>
    <w:rsid w:val="006538D3"/>
    <w:rsid w:val="00653CA8"/>
    <w:rsid w:val="00653DFA"/>
    <w:rsid w:val="0065405F"/>
    <w:rsid w:val="006540EA"/>
    <w:rsid w:val="00654199"/>
    <w:rsid w:val="006543E3"/>
    <w:rsid w:val="006544C6"/>
    <w:rsid w:val="006546F2"/>
    <w:rsid w:val="006548B9"/>
    <w:rsid w:val="00654AC5"/>
    <w:rsid w:val="00654D6D"/>
    <w:rsid w:val="00654D9D"/>
    <w:rsid w:val="00654E61"/>
    <w:rsid w:val="00654F14"/>
    <w:rsid w:val="00656295"/>
    <w:rsid w:val="0065642F"/>
    <w:rsid w:val="006568ED"/>
    <w:rsid w:val="00656FC4"/>
    <w:rsid w:val="0065703C"/>
    <w:rsid w:val="006570DA"/>
    <w:rsid w:val="0065734A"/>
    <w:rsid w:val="0066016A"/>
    <w:rsid w:val="00660578"/>
    <w:rsid w:val="006606D5"/>
    <w:rsid w:val="0066092E"/>
    <w:rsid w:val="006612E7"/>
    <w:rsid w:val="00661593"/>
    <w:rsid w:val="006615D8"/>
    <w:rsid w:val="00661DFE"/>
    <w:rsid w:val="00662668"/>
    <w:rsid w:val="0066287B"/>
    <w:rsid w:val="0066299E"/>
    <w:rsid w:val="00662A45"/>
    <w:rsid w:val="00662F96"/>
    <w:rsid w:val="006641EB"/>
    <w:rsid w:val="0066448E"/>
    <w:rsid w:val="006651A2"/>
    <w:rsid w:val="00665229"/>
    <w:rsid w:val="0066571F"/>
    <w:rsid w:val="006657C0"/>
    <w:rsid w:val="00665FEA"/>
    <w:rsid w:val="0066701C"/>
    <w:rsid w:val="00667335"/>
    <w:rsid w:val="006674FD"/>
    <w:rsid w:val="0066789A"/>
    <w:rsid w:val="00667BD8"/>
    <w:rsid w:val="00667E29"/>
    <w:rsid w:val="0067022C"/>
    <w:rsid w:val="00670986"/>
    <w:rsid w:val="00670B22"/>
    <w:rsid w:val="00671962"/>
    <w:rsid w:val="00671E6D"/>
    <w:rsid w:val="0067246B"/>
    <w:rsid w:val="00672574"/>
    <w:rsid w:val="006725DF"/>
    <w:rsid w:val="006725FA"/>
    <w:rsid w:val="00672711"/>
    <w:rsid w:val="0067295B"/>
    <w:rsid w:val="00672BAE"/>
    <w:rsid w:val="00672BF7"/>
    <w:rsid w:val="00672CB3"/>
    <w:rsid w:val="00672F1E"/>
    <w:rsid w:val="00673297"/>
    <w:rsid w:val="00673887"/>
    <w:rsid w:val="00674FDD"/>
    <w:rsid w:val="00674FE3"/>
    <w:rsid w:val="006752B7"/>
    <w:rsid w:val="006753FA"/>
    <w:rsid w:val="00675585"/>
    <w:rsid w:val="00675A89"/>
    <w:rsid w:val="00676FF8"/>
    <w:rsid w:val="00677E22"/>
    <w:rsid w:val="006803B5"/>
    <w:rsid w:val="006805CD"/>
    <w:rsid w:val="00680BAC"/>
    <w:rsid w:val="00680C38"/>
    <w:rsid w:val="00681723"/>
    <w:rsid w:val="00681C0D"/>
    <w:rsid w:val="00681ED7"/>
    <w:rsid w:val="0068207B"/>
    <w:rsid w:val="00682561"/>
    <w:rsid w:val="00682793"/>
    <w:rsid w:val="00682E80"/>
    <w:rsid w:val="006832D2"/>
    <w:rsid w:val="006837FA"/>
    <w:rsid w:val="0068384F"/>
    <w:rsid w:val="006838D7"/>
    <w:rsid w:val="0068434D"/>
    <w:rsid w:val="00684622"/>
    <w:rsid w:val="00684B9F"/>
    <w:rsid w:val="00684C67"/>
    <w:rsid w:val="00685089"/>
    <w:rsid w:val="006851C0"/>
    <w:rsid w:val="0068528B"/>
    <w:rsid w:val="00685740"/>
    <w:rsid w:val="00685B2A"/>
    <w:rsid w:val="00685F9A"/>
    <w:rsid w:val="00686631"/>
    <w:rsid w:val="00686855"/>
    <w:rsid w:val="00686B0E"/>
    <w:rsid w:val="00686C8D"/>
    <w:rsid w:val="00686E2F"/>
    <w:rsid w:val="00686F07"/>
    <w:rsid w:val="0068741F"/>
    <w:rsid w:val="00687740"/>
    <w:rsid w:val="006878CA"/>
    <w:rsid w:val="00687E92"/>
    <w:rsid w:val="006901C0"/>
    <w:rsid w:val="006902BC"/>
    <w:rsid w:val="00690796"/>
    <w:rsid w:val="006907A6"/>
    <w:rsid w:val="00690C62"/>
    <w:rsid w:val="00690D2B"/>
    <w:rsid w:val="006916AD"/>
    <w:rsid w:val="006916D0"/>
    <w:rsid w:val="00691768"/>
    <w:rsid w:val="006917EE"/>
    <w:rsid w:val="00691DA9"/>
    <w:rsid w:val="00691E57"/>
    <w:rsid w:val="00691EAB"/>
    <w:rsid w:val="00692730"/>
    <w:rsid w:val="00692C3C"/>
    <w:rsid w:val="0069375A"/>
    <w:rsid w:val="0069396C"/>
    <w:rsid w:val="00693A8E"/>
    <w:rsid w:val="00693EEC"/>
    <w:rsid w:val="006940C6"/>
    <w:rsid w:val="00694249"/>
    <w:rsid w:val="006943D9"/>
    <w:rsid w:val="0069440D"/>
    <w:rsid w:val="00694F5F"/>
    <w:rsid w:val="00695052"/>
    <w:rsid w:val="0069521C"/>
    <w:rsid w:val="006958EE"/>
    <w:rsid w:val="00695984"/>
    <w:rsid w:val="00695E24"/>
    <w:rsid w:val="00696021"/>
    <w:rsid w:val="006966F8"/>
    <w:rsid w:val="006967F0"/>
    <w:rsid w:val="00696D26"/>
    <w:rsid w:val="00696D49"/>
    <w:rsid w:val="00696E6C"/>
    <w:rsid w:val="00697150"/>
    <w:rsid w:val="006975D1"/>
    <w:rsid w:val="00697694"/>
    <w:rsid w:val="006978B0"/>
    <w:rsid w:val="0069797A"/>
    <w:rsid w:val="00697C6F"/>
    <w:rsid w:val="00697CD5"/>
    <w:rsid w:val="006A0392"/>
    <w:rsid w:val="006A04F1"/>
    <w:rsid w:val="006A078E"/>
    <w:rsid w:val="006A080D"/>
    <w:rsid w:val="006A08E2"/>
    <w:rsid w:val="006A0EA5"/>
    <w:rsid w:val="006A1E0D"/>
    <w:rsid w:val="006A2249"/>
    <w:rsid w:val="006A2318"/>
    <w:rsid w:val="006A26FF"/>
    <w:rsid w:val="006A29BF"/>
    <w:rsid w:val="006A2FEA"/>
    <w:rsid w:val="006A3326"/>
    <w:rsid w:val="006A3791"/>
    <w:rsid w:val="006A391C"/>
    <w:rsid w:val="006A3B25"/>
    <w:rsid w:val="006A3E80"/>
    <w:rsid w:val="006A3F0F"/>
    <w:rsid w:val="006A40A0"/>
    <w:rsid w:val="006A42EB"/>
    <w:rsid w:val="006A4751"/>
    <w:rsid w:val="006A4D74"/>
    <w:rsid w:val="006A507C"/>
    <w:rsid w:val="006A51F5"/>
    <w:rsid w:val="006A5C69"/>
    <w:rsid w:val="006A5EEB"/>
    <w:rsid w:val="006A6001"/>
    <w:rsid w:val="006A6086"/>
    <w:rsid w:val="006A60CD"/>
    <w:rsid w:val="006A6141"/>
    <w:rsid w:val="006A6501"/>
    <w:rsid w:val="006A696D"/>
    <w:rsid w:val="006A6A59"/>
    <w:rsid w:val="006A6BFE"/>
    <w:rsid w:val="006A6E56"/>
    <w:rsid w:val="006A757A"/>
    <w:rsid w:val="006A783D"/>
    <w:rsid w:val="006A7B60"/>
    <w:rsid w:val="006B0370"/>
    <w:rsid w:val="006B050D"/>
    <w:rsid w:val="006B072C"/>
    <w:rsid w:val="006B0D1E"/>
    <w:rsid w:val="006B0F07"/>
    <w:rsid w:val="006B0F11"/>
    <w:rsid w:val="006B2246"/>
    <w:rsid w:val="006B2428"/>
    <w:rsid w:val="006B328C"/>
    <w:rsid w:val="006B353F"/>
    <w:rsid w:val="006B38C9"/>
    <w:rsid w:val="006B3C7A"/>
    <w:rsid w:val="006B3C92"/>
    <w:rsid w:val="006B3E21"/>
    <w:rsid w:val="006B3FCB"/>
    <w:rsid w:val="006B55DF"/>
    <w:rsid w:val="006B5AB6"/>
    <w:rsid w:val="006B5CE2"/>
    <w:rsid w:val="006B668A"/>
    <w:rsid w:val="006B6824"/>
    <w:rsid w:val="006B6CBE"/>
    <w:rsid w:val="006B7D11"/>
    <w:rsid w:val="006B7DFB"/>
    <w:rsid w:val="006C040A"/>
    <w:rsid w:val="006C04AE"/>
    <w:rsid w:val="006C0F05"/>
    <w:rsid w:val="006C188D"/>
    <w:rsid w:val="006C1CDB"/>
    <w:rsid w:val="006C1F62"/>
    <w:rsid w:val="006C256E"/>
    <w:rsid w:val="006C27A5"/>
    <w:rsid w:val="006C280C"/>
    <w:rsid w:val="006C34E4"/>
    <w:rsid w:val="006C38F1"/>
    <w:rsid w:val="006C3973"/>
    <w:rsid w:val="006C440C"/>
    <w:rsid w:val="006C4464"/>
    <w:rsid w:val="006C446C"/>
    <w:rsid w:val="006C45CA"/>
    <w:rsid w:val="006C488F"/>
    <w:rsid w:val="006C4C5F"/>
    <w:rsid w:val="006C4C8D"/>
    <w:rsid w:val="006C4EB4"/>
    <w:rsid w:val="006C5B01"/>
    <w:rsid w:val="006C5C6F"/>
    <w:rsid w:val="006C5E5A"/>
    <w:rsid w:val="006C6017"/>
    <w:rsid w:val="006C6309"/>
    <w:rsid w:val="006C65A6"/>
    <w:rsid w:val="006C695F"/>
    <w:rsid w:val="006C6AA7"/>
    <w:rsid w:val="006C6AF9"/>
    <w:rsid w:val="006C6E72"/>
    <w:rsid w:val="006C6F23"/>
    <w:rsid w:val="006C7669"/>
    <w:rsid w:val="006C7BD2"/>
    <w:rsid w:val="006D064B"/>
    <w:rsid w:val="006D06C1"/>
    <w:rsid w:val="006D13A0"/>
    <w:rsid w:val="006D14A1"/>
    <w:rsid w:val="006D1517"/>
    <w:rsid w:val="006D15F6"/>
    <w:rsid w:val="006D16AF"/>
    <w:rsid w:val="006D178E"/>
    <w:rsid w:val="006D18EF"/>
    <w:rsid w:val="006D2273"/>
    <w:rsid w:val="006D24AD"/>
    <w:rsid w:val="006D26B7"/>
    <w:rsid w:val="006D287E"/>
    <w:rsid w:val="006D32D7"/>
    <w:rsid w:val="006D37DC"/>
    <w:rsid w:val="006D4402"/>
    <w:rsid w:val="006D4706"/>
    <w:rsid w:val="006D4AEB"/>
    <w:rsid w:val="006D4D38"/>
    <w:rsid w:val="006D5689"/>
    <w:rsid w:val="006D57D3"/>
    <w:rsid w:val="006D57D8"/>
    <w:rsid w:val="006D57E9"/>
    <w:rsid w:val="006D5896"/>
    <w:rsid w:val="006D5B4F"/>
    <w:rsid w:val="006D5ECD"/>
    <w:rsid w:val="006D6412"/>
    <w:rsid w:val="006D6543"/>
    <w:rsid w:val="006D6CA7"/>
    <w:rsid w:val="006D6CAE"/>
    <w:rsid w:val="006D6D0D"/>
    <w:rsid w:val="006D73EC"/>
    <w:rsid w:val="006D7468"/>
    <w:rsid w:val="006D7617"/>
    <w:rsid w:val="006E0906"/>
    <w:rsid w:val="006E0A27"/>
    <w:rsid w:val="006E0B53"/>
    <w:rsid w:val="006E0D42"/>
    <w:rsid w:val="006E157D"/>
    <w:rsid w:val="006E2011"/>
    <w:rsid w:val="006E209A"/>
    <w:rsid w:val="006E235B"/>
    <w:rsid w:val="006E23B9"/>
    <w:rsid w:val="006E3017"/>
    <w:rsid w:val="006E306E"/>
    <w:rsid w:val="006E33AD"/>
    <w:rsid w:val="006E3423"/>
    <w:rsid w:val="006E44E6"/>
    <w:rsid w:val="006E46FC"/>
    <w:rsid w:val="006E49D0"/>
    <w:rsid w:val="006E4CF4"/>
    <w:rsid w:val="006E5319"/>
    <w:rsid w:val="006E5B8C"/>
    <w:rsid w:val="006E5C1D"/>
    <w:rsid w:val="006E5E8E"/>
    <w:rsid w:val="006E6169"/>
    <w:rsid w:val="006E649D"/>
    <w:rsid w:val="006E6E59"/>
    <w:rsid w:val="006E6FA4"/>
    <w:rsid w:val="006E7F17"/>
    <w:rsid w:val="006F04D1"/>
    <w:rsid w:val="006F062A"/>
    <w:rsid w:val="006F0786"/>
    <w:rsid w:val="006F094D"/>
    <w:rsid w:val="006F0B45"/>
    <w:rsid w:val="006F0C01"/>
    <w:rsid w:val="006F0CCE"/>
    <w:rsid w:val="006F15C7"/>
    <w:rsid w:val="006F1D6D"/>
    <w:rsid w:val="006F23B4"/>
    <w:rsid w:val="006F247F"/>
    <w:rsid w:val="006F259E"/>
    <w:rsid w:val="006F298A"/>
    <w:rsid w:val="006F2E8F"/>
    <w:rsid w:val="006F31C0"/>
    <w:rsid w:val="006F337E"/>
    <w:rsid w:val="006F33E8"/>
    <w:rsid w:val="006F3858"/>
    <w:rsid w:val="006F3F7A"/>
    <w:rsid w:val="006F41D3"/>
    <w:rsid w:val="006F4236"/>
    <w:rsid w:val="006F43AC"/>
    <w:rsid w:val="006F4DA8"/>
    <w:rsid w:val="006F4ECE"/>
    <w:rsid w:val="006F4F15"/>
    <w:rsid w:val="006F5130"/>
    <w:rsid w:val="006F5978"/>
    <w:rsid w:val="006F5B51"/>
    <w:rsid w:val="006F5C6C"/>
    <w:rsid w:val="006F5F42"/>
    <w:rsid w:val="006F6430"/>
    <w:rsid w:val="006F6A56"/>
    <w:rsid w:val="006F6BD6"/>
    <w:rsid w:val="006F6DD1"/>
    <w:rsid w:val="006F7411"/>
    <w:rsid w:val="006F746F"/>
    <w:rsid w:val="006F7D41"/>
    <w:rsid w:val="00700297"/>
    <w:rsid w:val="00700405"/>
    <w:rsid w:val="00700908"/>
    <w:rsid w:val="00700D4D"/>
    <w:rsid w:val="00700D50"/>
    <w:rsid w:val="00701371"/>
    <w:rsid w:val="0070147B"/>
    <w:rsid w:val="0070175D"/>
    <w:rsid w:val="007018FB"/>
    <w:rsid w:val="0070193A"/>
    <w:rsid w:val="00701F73"/>
    <w:rsid w:val="00702296"/>
    <w:rsid w:val="0070237C"/>
    <w:rsid w:val="00702B1F"/>
    <w:rsid w:val="00702E39"/>
    <w:rsid w:val="0070318A"/>
    <w:rsid w:val="007031E5"/>
    <w:rsid w:val="0070364B"/>
    <w:rsid w:val="00703A00"/>
    <w:rsid w:val="00703A47"/>
    <w:rsid w:val="00703D3C"/>
    <w:rsid w:val="00703F76"/>
    <w:rsid w:val="0070434E"/>
    <w:rsid w:val="00704871"/>
    <w:rsid w:val="00704ACD"/>
    <w:rsid w:val="00704E35"/>
    <w:rsid w:val="00704E60"/>
    <w:rsid w:val="007050AE"/>
    <w:rsid w:val="00705287"/>
    <w:rsid w:val="00705603"/>
    <w:rsid w:val="00705CBC"/>
    <w:rsid w:val="00705F60"/>
    <w:rsid w:val="00705F64"/>
    <w:rsid w:val="00706260"/>
    <w:rsid w:val="00706AF7"/>
    <w:rsid w:val="00706BE6"/>
    <w:rsid w:val="00707082"/>
    <w:rsid w:val="007072FA"/>
    <w:rsid w:val="0070754F"/>
    <w:rsid w:val="00707627"/>
    <w:rsid w:val="00707B0E"/>
    <w:rsid w:val="00710042"/>
    <w:rsid w:val="00710785"/>
    <w:rsid w:val="0071118D"/>
    <w:rsid w:val="007116D0"/>
    <w:rsid w:val="0071197B"/>
    <w:rsid w:val="00712468"/>
    <w:rsid w:val="00712960"/>
    <w:rsid w:val="0071297E"/>
    <w:rsid w:val="00713097"/>
    <w:rsid w:val="007132BA"/>
    <w:rsid w:val="00713887"/>
    <w:rsid w:val="007142F5"/>
    <w:rsid w:val="00714325"/>
    <w:rsid w:val="0071451A"/>
    <w:rsid w:val="00715013"/>
    <w:rsid w:val="007152E1"/>
    <w:rsid w:val="0071560E"/>
    <w:rsid w:val="007156C5"/>
    <w:rsid w:val="0071598E"/>
    <w:rsid w:val="00716057"/>
    <w:rsid w:val="00716190"/>
    <w:rsid w:val="007162EB"/>
    <w:rsid w:val="00716373"/>
    <w:rsid w:val="00716B9A"/>
    <w:rsid w:val="00716C14"/>
    <w:rsid w:val="0071719B"/>
    <w:rsid w:val="0071743C"/>
    <w:rsid w:val="00717506"/>
    <w:rsid w:val="007175CE"/>
    <w:rsid w:val="00717F4F"/>
    <w:rsid w:val="0072002B"/>
    <w:rsid w:val="007200A3"/>
    <w:rsid w:val="0072098B"/>
    <w:rsid w:val="00720B6B"/>
    <w:rsid w:val="007215F0"/>
    <w:rsid w:val="00721826"/>
    <w:rsid w:val="00721832"/>
    <w:rsid w:val="00721B0D"/>
    <w:rsid w:val="00721BE4"/>
    <w:rsid w:val="0072204D"/>
    <w:rsid w:val="00722A40"/>
    <w:rsid w:val="00722DB5"/>
    <w:rsid w:val="00723D2D"/>
    <w:rsid w:val="00723D2F"/>
    <w:rsid w:val="00723F3F"/>
    <w:rsid w:val="007241B3"/>
    <w:rsid w:val="007246CA"/>
    <w:rsid w:val="00724C01"/>
    <w:rsid w:val="00724C8B"/>
    <w:rsid w:val="007251C3"/>
    <w:rsid w:val="00725593"/>
    <w:rsid w:val="00725A88"/>
    <w:rsid w:val="00725C28"/>
    <w:rsid w:val="00725EE6"/>
    <w:rsid w:val="00725FA5"/>
    <w:rsid w:val="007263AF"/>
    <w:rsid w:val="0072658F"/>
    <w:rsid w:val="00726905"/>
    <w:rsid w:val="00726935"/>
    <w:rsid w:val="00726ADF"/>
    <w:rsid w:val="00726E33"/>
    <w:rsid w:val="00727163"/>
    <w:rsid w:val="0072721E"/>
    <w:rsid w:val="007273D6"/>
    <w:rsid w:val="00727AAA"/>
    <w:rsid w:val="00730218"/>
    <w:rsid w:val="007305FA"/>
    <w:rsid w:val="00730780"/>
    <w:rsid w:val="007308BB"/>
    <w:rsid w:val="00730F0C"/>
    <w:rsid w:val="0073103F"/>
    <w:rsid w:val="007319E3"/>
    <w:rsid w:val="00731D1F"/>
    <w:rsid w:val="00731FE0"/>
    <w:rsid w:val="00732291"/>
    <w:rsid w:val="007327DE"/>
    <w:rsid w:val="00733180"/>
    <w:rsid w:val="0073365B"/>
    <w:rsid w:val="007338CB"/>
    <w:rsid w:val="00733CE0"/>
    <w:rsid w:val="00733DB2"/>
    <w:rsid w:val="00734004"/>
    <w:rsid w:val="007342E0"/>
    <w:rsid w:val="007342FE"/>
    <w:rsid w:val="0073445F"/>
    <w:rsid w:val="00734562"/>
    <w:rsid w:val="007346D8"/>
    <w:rsid w:val="00734777"/>
    <w:rsid w:val="00734A71"/>
    <w:rsid w:val="00734AB0"/>
    <w:rsid w:val="00735638"/>
    <w:rsid w:val="00735B2A"/>
    <w:rsid w:val="0073668C"/>
    <w:rsid w:val="00736D1C"/>
    <w:rsid w:val="00737070"/>
    <w:rsid w:val="00737215"/>
    <w:rsid w:val="00737607"/>
    <w:rsid w:val="0073798C"/>
    <w:rsid w:val="00737ACD"/>
    <w:rsid w:val="00737E2D"/>
    <w:rsid w:val="00737FBF"/>
    <w:rsid w:val="007403A7"/>
    <w:rsid w:val="007405B8"/>
    <w:rsid w:val="007408B6"/>
    <w:rsid w:val="00740C31"/>
    <w:rsid w:val="00740E2F"/>
    <w:rsid w:val="00740FC2"/>
    <w:rsid w:val="00741000"/>
    <w:rsid w:val="007413CC"/>
    <w:rsid w:val="0074172B"/>
    <w:rsid w:val="00741755"/>
    <w:rsid w:val="0074181A"/>
    <w:rsid w:val="00741B1C"/>
    <w:rsid w:val="00741EEE"/>
    <w:rsid w:val="0074297F"/>
    <w:rsid w:val="00742FB0"/>
    <w:rsid w:val="0074311A"/>
    <w:rsid w:val="00743C3D"/>
    <w:rsid w:val="00743C60"/>
    <w:rsid w:val="00744891"/>
    <w:rsid w:val="007452D1"/>
    <w:rsid w:val="00745392"/>
    <w:rsid w:val="00745409"/>
    <w:rsid w:val="00745444"/>
    <w:rsid w:val="00745510"/>
    <w:rsid w:val="007458A8"/>
    <w:rsid w:val="0074591F"/>
    <w:rsid w:val="00745F82"/>
    <w:rsid w:val="0074662F"/>
    <w:rsid w:val="00746A13"/>
    <w:rsid w:val="00746C30"/>
    <w:rsid w:val="00750156"/>
    <w:rsid w:val="0075036E"/>
    <w:rsid w:val="00750430"/>
    <w:rsid w:val="007509DE"/>
    <w:rsid w:val="00750A60"/>
    <w:rsid w:val="00750B4A"/>
    <w:rsid w:val="00750ECF"/>
    <w:rsid w:val="007512FE"/>
    <w:rsid w:val="00751667"/>
    <w:rsid w:val="00751B4D"/>
    <w:rsid w:val="00751FB2"/>
    <w:rsid w:val="007527FF"/>
    <w:rsid w:val="00752B64"/>
    <w:rsid w:val="007537A2"/>
    <w:rsid w:val="00753C2A"/>
    <w:rsid w:val="00753D02"/>
    <w:rsid w:val="007548D1"/>
    <w:rsid w:val="007552B5"/>
    <w:rsid w:val="00755664"/>
    <w:rsid w:val="00755CC2"/>
    <w:rsid w:val="00755E0B"/>
    <w:rsid w:val="00755E63"/>
    <w:rsid w:val="00755F47"/>
    <w:rsid w:val="00756530"/>
    <w:rsid w:val="0075675B"/>
    <w:rsid w:val="00756A04"/>
    <w:rsid w:val="00756CE6"/>
    <w:rsid w:val="00756D59"/>
    <w:rsid w:val="00757063"/>
    <w:rsid w:val="0075742A"/>
    <w:rsid w:val="00757C7D"/>
    <w:rsid w:val="00760065"/>
    <w:rsid w:val="00760284"/>
    <w:rsid w:val="00760522"/>
    <w:rsid w:val="00760BBA"/>
    <w:rsid w:val="00761C6B"/>
    <w:rsid w:val="007620DF"/>
    <w:rsid w:val="00762F8A"/>
    <w:rsid w:val="00763513"/>
    <w:rsid w:val="00763901"/>
    <w:rsid w:val="0076405F"/>
    <w:rsid w:val="007644DE"/>
    <w:rsid w:val="00764507"/>
    <w:rsid w:val="007645AC"/>
    <w:rsid w:val="007645F0"/>
    <w:rsid w:val="00764799"/>
    <w:rsid w:val="00764F33"/>
    <w:rsid w:val="00765006"/>
    <w:rsid w:val="0076502D"/>
    <w:rsid w:val="007657F1"/>
    <w:rsid w:val="00765B84"/>
    <w:rsid w:val="00765E70"/>
    <w:rsid w:val="0076614D"/>
    <w:rsid w:val="0076639C"/>
    <w:rsid w:val="00766AB5"/>
    <w:rsid w:val="00766ADE"/>
    <w:rsid w:val="00766F19"/>
    <w:rsid w:val="00767A5D"/>
    <w:rsid w:val="00767AC1"/>
    <w:rsid w:val="0077127A"/>
    <w:rsid w:val="007717AD"/>
    <w:rsid w:val="00771897"/>
    <w:rsid w:val="00771CB2"/>
    <w:rsid w:val="00772090"/>
    <w:rsid w:val="007721CA"/>
    <w:rsid w:val="00772565"/>
    <w:rsid w:val="007727D5"/>
    <w:rsid w:val="007728BD"/>
    <w:rsid w:val="00772B68"/>
    <w:rsid w:val="00772BF1"/>
    <w:rsid w:val="00772DC4"/>
    <w:rsid w:val="00772E15"/>
    <w:rsid w:val="007733DF"/>
    <w:rsid w:val="007734A1"/>
    <w:rsid w:val="00773566"/>
    <w:rsid w:val="007735CE"/>
    <w:rsid w:val="00773A61"/>
    <w:rsid w:val="0077448E"/>
    <w:rsid w:val="0077494C"/>
    <w:rsid w:val="00774D21"/>
    <w:rsid w:val="00774D66"/>
    <w:rsid w:val="0077559C"/>
    <w:rsid w:val="007758AD"/>
    <w:rsid w:val="00775F52"/>
    <w:rsid w:val="00775F8C"/>
    <w:rsid w:val="0077613B"/>
    <w:rsid w:val="0077686B"/>
    <w:rsid w:val="00777160"/>
    <w:rsid w:val="00777440"/>
    <w:rsid w:val="00777599"/>
    <w:rsid w:val="007775A4"/>
    <w:rsid w:val="00777CD2"/>
    <w:rsid w:val="00777E16"/>
    <w:rsid w:val="007803BA"/>
    <w:rsid w:val="00780963"/>
    <w:rsid w:val="00780E72"/>
    <w:rsid w:val="00780E9B"/>
    <w:rsid w:val="00780F45"/>
    <w:rsid w:val="0078133C"/>
    <w:rsid w:val="007815AF"/>
    <w:rsid w:val="0078177F"/>
    <w:rsid w:val="0078187F"/>
    <w:rsid w:val="0078243E"/>
    <w:rsid w:val="007827A4"/>
    <w:rsid w:val="00782A7F"/>
    <w:rsid w:val="00782AF3"/>
    <w:rsid w:val="00782B88"/>
    <w:rsid w:val="00782DE9"/>
    <w:rsid w:val="00783277"/>
    <w:rsid w:val="007834A0"/>
    <w:rsid w:val="007839B2"/>
    <w:rsid w:val="00784947"/>
    <w:rsid w:val="00785187"/>
    <w:rsid w:val="00785933"/>
    <w:rsid w:val="00785FCF"/>
    <w:rsid w:val="00785FE8"/>
    <w:rsid w:val="00786958"/>
    <w:rsid w:val="00786DBC"/>
    <w:rsid w:val="007870E6"/>
    <w:rsid w:val="007878F4"/>
    <w:rsid w:val="007907E6"/>
    <w:rsid w:val="00790A36"/>
    <w:rsid w:val="00791010"/>
    <w:rsid w:val="007910E7"/>
    <w:rsid w:val="00791233"/>
    <w:rsid w:val="007916F1"/>
    <w:rsid w:val="00791988"/>
    <w:rsid w:val="00791AFF"/>
    <w:rsid w:val="00791EF8"/>
    <w:rsid w:val="007926F7"/>
    <w:rsid w:val="00792752"/>
    <w:rsid w:val="007938E3"/>
    <w:rsid w:val="00793AF2"/>
    <w:rsid w:val="00793CC2"/>
    <w:rsid w:val="00793D5A"/>
    <w:rsid w:val="0079419E"/>
    <w:rsid w:val="00794839"/>
    <w:rsid w:val="0079488A"/>
    <w:rsid w:val="007949A1"/>
    <w:rsid w:val="00794A4D"/>
    <w:rsid w:val="00794DBF"/>
    <w:rsid w:val="00794DF7"/>
    <w:rsid w:val="00794EDF"/>
    <w:rsid w:val="00794FE4"/>
    <w:rsid w:val="00795115"/>
    <w:rsid w:val="007951D1"/>
    <w:rsid w:val="00795A49"/>
    <w:rsid w:val="00795BA3"/>
    <w:rsid w:val="00795BC0"/>
    <w:rsid w:val="00796F33"/>
    <w:rsid w:val="00796F5C"/>
    <w:rsid w:val="00797191"/>
    <w:rsid w:val="00797370"/>
    <w:rsid w:val="007976CB"/>
    <w:rsid w:val="00797B1A"/>
    <w:rsid w:val="007A03D3"/>
    <w:rsid w:val="007A05E8"/>
    <w:rsid w:val="007A0BFD"/>
    <w:rsid w:val="007A0F97"/>
    <w:rsid w:val="007A1413"/>
    <w:rsid w:val="007A1606"/>
    <w:rsid w:val="007A1D98"/>
    <w:rsid w:val="007A1E97"/>
    <w:rsid w:val="007A1F7D"/>
    <w:rsid w:val="007A20DB"/>
    <w:rsid w:val="007A233F"/>
    <w:rsid w:val="007A2360"/>
    <w:rsid w:val="007A2809"/>
    <w:rsid w:val="007A2A95"/>
    <w:rsid w:val="007A311D"/>
    <w:rsid w:val="007A317C"/>
    <w:rsid w:val="007A3650"/>
    <w:rsid w:val="007A3912"/>
    <w:rsid w:val="007A3EA9"/>
    <w:rsid w:val="007A3EEE"/>
    <w:rsid w:val="007A550F"/>
    <w:rsid w:val="007A55CE"/>
    <w:rsid w:val="007A5947"/>
    <w:rsid w:val="007A5F36"/>
    <w:rsid w:val="007A6044"/>
    <w:rsid w:val="007A605A"/>
    <w:rsid w:val="007A6892"/>
    <w:rsid w:val="007A6F2F"/>
    <w:rsid w:val="007A703B"/>
    <w:rsid w:val="007A7F23"/>
    <w:rsid w:val="007B031E"/>
    <w:rsid w:val="007B078D"/>
    <w:rsid w:val="007B0949"/>
    <w:rsid w:val="007B0AA4"/>
    <w:rsid w:val="007B0B9D"/>
    <w:rsid w:val="007B1BBB"/>
    <w:rsid w:val="007B1E27"/>
    <w:rsid w:val="007B210E"/>
    <w:rsid w:val="007B23CC"/>
    <w:rsid w:val="007B28B3"/>
    <w:rsid w:val="007B29F3"/>
    <w:rsid w:val="007B2C4A"/>
    <w:rsid w:val="007B2D59"/>
    <w:rsid w:val="007B2EAB"/>
    <w:rsid w:val="007B342A"/>
    <w:rsid w:val="007B3538"/>
    <w:rsid w:val="007B3B54"/>
    <w:rsid w:val="007B3CFC"/>
    <w:rsid w:val="007B3D47"/>
    <w:rsid w:val="007B3E55"/>
    <w:rsid w:val="007B499E"/>
    <w:rsid w:val="007B4B2A"/>
    <w:rsid w:val="007B4C21"/>
    <w:rsid w:val="007B4DC5"/>
    <w:rsid w:val="007B4ECE"/>
    <w:rsid w:val="007B4FF7"/>
    <w:rsid w:val="007B55B1"/>
    <w:rsid w:val="007B55EE"/>
    <w:rsid w:val="007B5C3C"/>
    <w:rsid w:val="007B5EB4"/>
    <w:rsid w:val="007B5F36"/>
    <w:rsid w:val="007B6014"/>
    <w:rsid w:val="007B657A"/>
    <w:rsid w:val="007B662C"/>
    <w:rsid w:val="007B68F3"/>
    <w:rsid w:val="007B6987"/>
    <w:rsid w:val="007C0263"/>
    <w:rsid w:val="007C0750"/>
    <w:rsid w:val="007C0AA6"/>
    <w:rsid w:val="007C0E14"/>
    <w:rsid w:val="007C12F1"/>
    <w:rsid w:val="007C1558"/>
    <w:rsid w:val="007C15C6"/>
    <w:rsid w:val="007C1CEE"/>
    <w:rsid w:val="007C277C"/>
    <w:rsid w:val="007C29B9"/>
    <w:rsid w:val="007C2ACF"/>
    <w:rsid w:val="007C3434"/>
    <w:rsid w:val="007C396F"/>
    <w:rsid w:val="007C3ACF"/>
    <w:rsid w:val="007C3BA1"/>
    <w:rsid w:val="007C3D73"/>
    <w:rsid w:val="007C42EF"/>
    <w:rsid w:val="007C4319"/>
    <w:rsid w:val="007C4561"/>
    <w:rsid w:val="007C493D"/>
    <w:rsid w:val="007C49DA"/>
    <w:rsid w:val="007C4F56"/>
    <w:rsid w:val="007C56FC"/>
    <w:rsid w:val="007C5AA6"/>
    <w:rsid w:val="007C5C42"/>
    <w:rsid w:val="007C6563"/>
    <w:rsid w:val="007C664B"/>
    <w:rsid w:val="007C78D5"/>
    <w:rsid w:val="007C797E"/>
    <w:rsid w:val="007C79DD"/>
    <w:rsid w:val="007C7C3E"/>
    <w:rsid w:val="007C7C9F"/>
    <w:rsid w:val="007C7D74"/>
    <w:rsid w:val="007C7F6C"/>
    <w:rsid w:val="007D0129"/>
    <w:rsid w:val="007D01F2"/>
    <w:rsid w:val="007D05BB"/>
    <w:rsid w:val="007D093D"/>
    <w:rsid w:val="007D09E0"/>
    <w:rsid w:val="007D0C92"/>
    <w:rsid w:val="007D10C5"/>
    <w:rsid w:val="007D14D1"/>
    <w:rsid w:val="007D1559"/>
    <w:rsid w:val="007D15E7"/>
    <w:rsid w:val="007D16FC"/>
    <w:rsid w:val="007D21B8"/>
    <w:rsid w:val="007D237C"/>
    <w:rsid w:val="007D260A"/>
    <w:rsid w:val="007D2685"/>
    <w:rsid w:val="007D28C9"/>
    <w:rsid w:val="007D2A19"/>
    <w:rsid w:val="007D2F1C"/>
    <w:rsid w:val="007D32CE"/>
    <w:rsid w:val="007D3587"/>
    <w:rsid w:val="007D3597"/>
    <w:rsid w:val="007D3A08"/>
    <w:rsid w:val="007D3F89"/>
    <w:rsid w:val="007D40D3"/>
    <w:rsid w:val="007D43BE"/>
    <w:rsid w:val="007D53D1"/>
    <w:rsid w:val="007D56FE"/>
    <w:rsid w:val="007D57AA"/>
    <w:rsid w:val="007D594B"/>
    <w:rsid w:val="007D60ED"/>
    <w:rsid w:val="007D6281"/>
    <w:rsid w:val="007D6665"/>
    <w:rsid w:val="007D67B1"/>
    <w:rsid w:val="007D6B56"/>
    <w:rsid w:val="007D773B"/>
    <w:rsid w:val="007D77E4"/>
    <w:rsid w:val="007E0250"/>
    <w:rsid w:val="007E06AA"/>
    <w:rsid w:val="007E083A"/>
    <w:rsid w:val="007E086F"/>
    <w:rsid w:val="007E0B5A"/>
    <w:rsid w:val="007E0F48"/>
    <w:rsid w:val="007E1F6F"/>
    <w:rsid w:val="007E227F"/>
    <w:rsid w:val="007E242F"/>
    <w:rsid w:val="007E264B"/>
    <w:rsid w:val="007E269D"/>
    <w:rsid w:val="007E2884"/>
    <w:rsid w:val="007E2D5F"/>
    <w:rsid w:val="007E2D77"/>
    <w:rsid w:val="007E2E21"/>
    <w:rsid w:val="007E2E48"/>
    <w:rsid w:val="007E2ECF"/>
    <w:rsid w:val="007E2ED6"/>
    <w:rsid w:val="007E3216"/>
    <w:rsid w:val="007E33C5"/>
    <w:rsid w:val="007E3DC7"/>
    <w:rsid w:val="007E41F2"/>
    <w:rsid w:val="007E445E"/>
    <w:rsid w:val="007E46E9"/>
    <w:rsid w:val="007E4F34"/>
    <w:rsid w:val="007E51CE"/>
    <w:rsid w:val="007E5203"/>
    <w:rsid w:val="007E54A2"/>
    <w:rsid w:val="007E575B"/>
    <w:rsid w:val="007E592C"/>
    <w:rsid w:val="007E5B50"/>
    <w:rsid w:val="007E5FA3"/>
    <w:rsid w:val="007E6070"/>
    <w:rsid w:val="007E6ACE"/>
    <w:rsid w:val="007E6D82"/>
    <w:rsid w:val="007E6FF7"/>
    <w:rsid w:val="007E72A3"/>
    <w:rsid w:val="007E785D"/>
    <w:rsid w:val="007E798E"/>
    <w:rsid w:val="007E7AF0"/>
    <w:rsid w:val="007E7FFA"/>
    <w:rsid w:val="007F02A0"/>
    <w:rsid w:val="007F036E"/>
    <w:rsid w:val="007F069D"/>
    <w:rsid w:val="007F11EC"/>
    <w:rsid w:val="007F1D4D"/>
    <w:rsid w:val="007F2173"/>
    <w:rsid w:val="007F2CDF"/>
    <w:rsid w:val="007F2FD6"/>
    <w:rsid w:val="007F398C"/>
    <w:rsid w:val="007F3F3F"/>
    <w:rsid w:val="007F4435"/>
    <w:rsid w:val="007F45F0"/>
    <w:rsid w:val="007F4609"/>
    <w:rsid w:val="007F4836"/>
    <w:rsid w:val="007F48E5"/>
    <w:rsid w:val="007F4B06"/>
    <w:rsid w:val="007F4CEB"/>
    <w:rsid w:val="007F4E54"/>
    <w:rsid w:val="007F4F87"/>
    <w:rsid w:val="007F4FC6"/>
    <w:rsid w:val="007F51C9"/>
    <w:rsid w:val="007F5420"/>
    <w:rsid w:val="007F5736"/>
    <w:rsid w:val="007F5776"/>
    <w:rsid w:val="007F57D9"/>
    <w:rsid w:val="007F6229"/>
    <w:rsid w:val="007F662A"/>
    <w:rsid w:val="007F67FC"/>
    <w:rsid w:val="007F6A02"/>
    <w:rsid w:val="007F6D7E"/>
    <w:rsid w:val="007F6EF8"/>
    <w:rsid w:val="00800531"/>
    <w:rsid w:val="008006DA"/>
    <w:rsid w:val="008012D4"/>
    <w:rsid w:val="00801BA2"/>
    <w:rsid w:val="008020F6"/>
    <w:rsid w:val="008021F7"/>
    <w:rsid w:val="008038B0"/>
    <w:rsid w:val="00803BCB"/>
    <w:rsid w:val="00803DC9"/>
    <w:rsid w:val="00803F9F"/>
    <w:rsid w:val="00804142"/>
    <w:rsid w:val="008042F9"/>
    <w:rsid w:val="00805462"/>
    <w:rsid w:val="008054DD"/>
    <w:rsid w:val="00805574"/>
    <w:rsid w:val="00805BB4"/>
    <w:rsid w:val="00805E91"/>
    <w:rsid w:val="008063E4"/>
    <w:rsid w:val="00806961"/>
    <w:rsid w:val="00806DB7"/>
    <w:rsid w:val="00806F11"/>
    <w:rsid w:val="0080718C"/>
    <w:rsid w:val="00807624"/>
    <w:rsid w:val="00807BA3"/>
    <w:rsid w:val="00807DB5"/>
    <w:rsid w:val="00810429"/>
    <w:rsid w:val="0081087B"/>
    <w:rsid w:val="00810CAE"/>
    <w:rsid w:val="00810EDD"/>
    <w:rsid w:val="008117A9"/>
    <w:rsid w:val="00811C5D"/>
    <w:rsid w:val="00811F60"/>
    <w:rsid w:val="00812013"/>
    <w:rsid w:val="00812037"/>
    <w:rsid w:val="00812266"/>
    <w:rsid w:val="00812339"/>
    <w:rsid w:val="0081243A"/>
    <w:rsid w:val="008124A4"/>
    <w:rsid w:val="0081277B"/>
    <w:rsid w:val="0081278B"/>
    <w:rsid w:val="00812989"/>
    <w:rsid w:val="00812C1A"/>
    <w:rsid w:val="00812EA8"/>
    <w:rsid w:val="00813064"/>
    <w:rsid w:val="008131CA"/>
    <w:rsid w:val="00813354"/>
    <w:rsid w:val="0081366D"/>
    <w:rsid w:val="00813926"/>
    <w:rsid w:val="00813BBC"/>
    <w:rsid w:val="00814689"/>
    <w:rsid w:val="00814AAC"/>
    <w:rsid w:val="00815010"/>
    <w:rsid w:val="00815248"/>
    <w:rsid w:val="008155BE"/>
    <w:rsid w:val="00815742"/>
    <w:rsid w:val="008157B2"/>
    <w:rsid w:val="00815C1C"/>
    <w:rsid w:val="00815E3F"/>
    <w:rsid w:val="0081633E"/>
    <w:rsid w:val="00816680"/>
    <w:rsid w:val="008169F9"/>
    <w:rsid w:val="00816A6E"/>
    <w:rsid w:val="00816A8D"/>
    <w:rsid w:val="00816DD7"/>
    <w:rsid w:val="0081739A"/>
    <w:rsid w:val="008175B6"/>
    <w:rsid w:val="008179CB"/>
    <w:rsid w:val="008202BD"/>
    <w:rsid w:val="008207F0"/>
    <w:rsid w:val="00820CB7"/>
    <w:rsid w:val="00820D81"/>
    <w:rsid w:val="00820DCE"/>
    <w:rsid w:val="00821296"/>
    <w:rsid w:val="00821478"/>
    <w:rsid w:val="00821529"/>
    <w:rsid w:val="00821961"/>
    <w:rsid w:val="00821D28"/>
    <w:rsid w:val="00821E20"/>
    <w:rsid w:val="0082220B"/>
    <w:rsid w:val="008225DB"/>
    <w:rsid w:val="008225F6"/>
    <w:rsid w:val="00822915"/>
    <w:rsid w:val="00823238"/>
    <w:rsid w:val="0082359E"/>
    <w:rsid w:val="0082371A"/>
    <w:rsid w:val="008238A1"/>
    <w:rsid w:val="00823D83"/>
    <w:rsid w:val="00823DAB"/>
    <w:rsid w:val="0082438F"/>
    <w:rsid w:val="00824474"/>
    <w:rsid w:val="0082454E"/>
    <w:rsid w:val="008246FD"/>
    <w:rsid w:val="00824814"/>
    <w:rsid w:val="008248C0"/>
    <w:rsid w:val="00824D64"/>
    <w:rsid w:val="00825201"/>
    <w:rsid w:val="00825353"/>
    <w:rsid w:val="00825B26"/>
    <w:rsid w:val="00825DF8"/>
    <w:rsid w:val="00826063"/>
    <w:rsid w:val="00826812"/>
    <w:rsid w:val="00826B19"/>
    <w:rsid w:val="00826CBA"/>
    <w:rsid w:val="008271D6"/>
    <w:rsid w:val="008275CE"/>
    <w:rsid w:val="00827749"/>
    <w:rsid w:val="008277A2"/>
    <w:rsid w:val="00827A18"/>
    <w:rsid w:val="00827B9A"/>
    <w:rsid w:val="00827EA3"/>
    <w:rsid w:val="00827EB7"/>
    <w:rsid w:val="008300F4"/>
    <w:rsid w:val="00830128"/>
    <w:rsid w:val="00830C8D"/>
    <w:rsid w:val="00830CA2"/>
    <w:rsid w:val="00830E7F"/>
    <w:rsid w:val="008311BF"/>
    <w:rsid w:val="00832323"/>
    <w:rsid w:val="00832845"/>
    <w:rsid w:val="0083331F"/>
    <w:rsid w:val="00833782"/>
    <w:rsid w:val="008337E5"/>
    <w:rsid w:val="00833803"/>
    <w:rsid w:val="00833AB0"/>
    <w:rsid w:val="00833AC7"/>
    <w:rsid w:val="00834593"/>
    <w:rsid w:val="008359CA"/>
    <w:rsid w:val="00836217"/>
    <w:rsid w:val="008369E9"/>
    <w:rsid w:val="00836FBD"/>
    <w:rsid w:val="008376DA"/>
    <w:rsid w:val="00837814"/>
    <w:rsid w:val="00837AA6"/>
    <w:rsid w:val="008403B6"/>
    <w:rsid w:val="00840E5E"/>
    <w:rsid w:val="00840EF5"/>
    <w:rsid w:val="00841026"/>
    <w:rsid w:val="00841E39"/>
    <w:rsid w:val="008427F5"/>
    <w:rsid w:val="00842C8F"/>
    <w:rsid w:val="00842DDF"/>
    <w:rsid w:val="008430BD"/>
    <w:rsid w:val="0084316E"/>
    <w:rsid w:val="00843B63"/>
    <w:rsid w:val="00844491"/>
    <w:rsid w:val="00844B52"/>
    <w:rsid w:val="0084586D"/>
    <w:rsid w:val="00845944"/>
    <w:rsid w:val="00845AAA"/>
    <w:rsid w:val="0084623C"/>
    <w:rsid w:val="0084639F"/>
    <w:rsid w:val="00846410"/>
    <w:rsid w:val="00846537"/>
    <w:rsid w:val="0084678E"/>
    <w:rsid w:val="00846D00"/>
    <w:rsid w:val="008473D2"/>
    <w:rsid w:val="008473FE"/>
    <w:rsid w:val="0084764D"/>
    <w:rsid w:val="00847A93"/>
    <w:rsid w:val="00847B01"/>
    <w:rsid w:val="00847D1B"/>
    <w:rsid w:val="00850212"/>
    <w:rsid w:val="00850373"/>
    <w:rsid w:val="00850915"/>
    <w:rsid w:val="00850B07"/>
    <w:rsid w:val="00850D15"/>
    <w:rsid w:val="00851760"/>
    <w:rsid w:val="008519B8"/>
    <w:rsid w:val="00851A73"/>
    <w:rsid w:val="00851F21"/>
    <w:rsid w:val="00852482"/>
    <w:rsid w:val="00852814"/>
    <w:rsid w:val="008528B3"/>
    <w:rsid w:val="00852A01"/>
    <w:rsid w:val="0085331D"/>
    <w:rsid w:val="008539E7"/>
    <w:rsid w:val="0085400F"/>
    <w:rsid w:val="00854BC8"/>
    <w:rsid w:val="00855423"/>
    <w:rsid w:val="00855774"/>
    <w:rsid w:val="008558A7"/>
    <w:rsid w:val="00855E88"/>
    <w:rsid w:val="008562A6"/>
    <w:rsid w:val="00856462"/>
    <w:rsid w:val="00856545"/>
    <w:rsid w:val="0085658B"/>
    <w:rsid w:val="00856869"/>
    <w:rsid w:val="008569D6"/>
    <w:rsid w:val="00856B1B"/>
    <w:rsid w:val="00856D62"/>
    <w:rsid w:val="0085712E"/>
    <w:rsid w:val="00857DAF"/>
    <w:rsid w:val="008601A7"/>
    <w:rsid w:val="00860C04"/>
    <w:rsid w:val="00860FE4"/>
    <w:rsid w:val="0086119A"/>
    <w:rsid w:val="008614FB"/>
    <w:rsid w:val="00861999"/>
    <w:rsid w:val="00861A86"/>
    <w:rsid w:val="00861AC9"/>
    <w:rsid w:val="008625E3"/>
    <w:rsid w:val="00862A2A"/>
    <w:rsid w:val="00862B82"/>
    <w:rsid w:val="008633AA"/>
    <w:rsid w:val="00863608"/>
    <w:rsid w:val="0086410A"/>
    <w:rsid w:val="00864446"/>
    <w:rsid w:val="008644B3"/>
    <w:rsid w:val="00864582"/>
    <w:rsid w:val="008647FE"/>
    <w:rsid w:val="00864A05"/>
    <w:rsid w:val="00864B7F"/>
    <w:rsid w:val="00864E67"/>
    <w:rsid w:val="00864F4C"/>
    <w:rsid w:val="008651B3"/>
    <w:rsid w:val="0086553A"/>
    <w:rsid w:val="00865A50"/>
    <w:rsid w:val="0086632C"/>
    <w:rsid w:val="0086645A"/>
    <w:rsid w:val="008669CA"/>
    <w:rsid w:val="00866AE1"/>
    <w:rsid w:val="00867463"/>
    <w:rsid w:val="00867644"/>
    <w:rsid w:val="00867923"/>
    <w:rsid w:val="00867B28"/>
    <w:rsid w:val="00867F2F"/>
    <w:rsid w:val="008700C6"/>
    <w:rsid w:val="008706A0"/>
    <w:rsid w:val="0087091E"/>
    <w:rsid w:val="00870F6F"/>
    <w:rsid w:val="0087103F"/>
    <w:rsid w:val="0087170F"/>
    <w:rsid w:val="00871A98"/>
    <w:rsid w:val="00871DBB"/>
    <w:rsid w:val="0087264F"/>
    <w:rsid w:val="00872F26"/>
    <w:rsid w:val="008733EC"/>
    <w:rsid w:val="00873987"/>
    <w:rsid w:val="00873A93"/>
    <w:rsid w:val="00873D24"/>
    <w:rsid w:val="00873E2E"/>
    <w:rsid w:val="008741F4"/>
    <w:rsid w:val="00874419"/>
    <w:rsid w:val="00875B57"/>
    <w:rsid w:val="00876022"/>
    <w:rsid w:val="008764D3"/>
    <w:rsid w:val="008766A9"/>
    <w:rsid w:val="008767E1"/>
    <w:rsid w:val="008774FF"/>
    <w:rsid w:val="00877631"/>
    <w:rsid w:val="00877949"/>
    <w:rsid w:val="00877F96"/>
    <w:rsid w:val="00877FA2"/>
    <w:rsid w:val="00880040"/>
    <w:rsid w:val="0088035D"/>
    <w:rsid w:val="0088043E"/>
    <w:rsid w:val="0088046F"/>
    <w:rsid w:val="00881B97"/>
    <w:rsid w:val="00881C73"/>
    <w:rsid w:val="00882064"/>
    <w:rsid w:val="00882347"/>
    <w:rsid w:val="0088274F"/>
    <w:rsid w:val="0088283E"/>
    <w:rsid w:val="00882926"/>
    <w:rsid w:val="0088298C"/>
    <w:rsid w:val="00882A5C"/>
    <w:rsid w:val="00882C38"/>
    <w:rsid w:val="00882F8C"/>
    <w:rsid w:val="00882F9A"/>
    <w:rsid w:val="00882FB2"/>
    <w:rsid w:val="00883447"/>
    <w:rsid w:val="0088386C"/>
    <w:rsid w:val="00883C3A"/>
    <w:rsid w:val="0088448A"/>
    <w:rsid w:val="008846B3"/>
    <w:rsid w:val="008854DC"/>
    <w:rsid w:val="00885D15"/>
    <w:rsid w:val="00885F3F"/>
    <w:rsid w:val="00885F82"/>
    <w:rsid w:val="00885FAC"/>
    <w:rsid w:val="00886499"/>
    <w:rsid w:val="008867DD"/>
    <w:rsid w:val="00886DA2"/>
    <w:rsid w:val="00886DE5"/>
    <w:rsid w:val="008871B8"/>
    <w:rsid w:val="008871D2"/>
    <w:rsid w:val="008872BE"/>
    <w:rsid w:val="008875ED"/>
    <w:rsid w:val="008879E2"/>
    <w:rsid w:val="00887D8D"/>
    <w:rsid w:val="00890651"/>
    <w:rsid w:val="0089076E"/>
    <w:rsid w:val="00890A96"/>
    <w:rsid w:val="00890C81"/>
    <w:rsid w:val="00890E5E"/>
    <w:rsid w:val="00890F7A"/>
    <w:rsid w:val="0089127D"/>
    <w:rsid w:val="008916FC"/>
    <w:rsid w:val="00892081"/>
    <w:rsid w:val="008921D4"/>
    <w:rsid w:val="00892469"/>
    <w:rsid w:val="0089263A"/>
    <w:rsid w:val="008926F4"/>
    <w:rsid w:val="00893148"/>
    <w:rsid w:val="008933E1"/>
    <w:rsid w:val="008934B0"/>
    <w:rsid w:val="0089362F"/>
    <w:rsid w:val="00893712"/>
    <w:rsid w:val="0089381A"/>
    <w:rsid w:val="00893B0A"/>
    <w:rsid w:val="00894367"/>
    <w:rsid w:val="0089437B"/>
    <w:rsid w:val="00894454"/>
    <w:rsid w:val="00894523"/>
    <w:rsid w:val="00894559"/>
    <w:rsid w:val="0089496E"/>
    <w:rsid w:val="008949D6"/>
    <w:rsid w:val="00894CCA"/>
    <w:rsid w:val="00894D7C"/>
    <w:rsid w:val="00895634"/>
    <w:rsid w:val="008957ED"/>
    <w:rsid w:val="008959BF"/>
    <w:rsid w:val="00895C77"/>
    <w:rsid w:val="00895D1B"/>
    <w:rsid w:val="00895F31"/>
    <w:rsid w:val="0089635D"/>
    <w:rsid w:val="008964E9"/>
    <w:rsid w:val="00896708"/>
    <w:rsid w:val="00896CD9"/>
    <w:rsid w:val="00896DCB"/>
    <w:rsid w:val="00896EA9"/>
    <w:rsid w:val="008971F8"/>
    <w:rsid w:val="008973D0"/>
    <w:rsid w:val="0089797B"/>
    <w:rsid w:val="00897EE8"/>
    <w:rsid w:val="008A002A"/>
    <w:rsid w:val="008A0087"/>
    <w:rsid w:val="008A0775"/>
    <w:rsid w:val="008A07A6"/>
    <w:rsid w:val="008A08ED"/>
    <w:rsid w:val="008A09FB"/>
    <w:rsid w:val="008A0E1F"/>
    <w:rsid w:val="008A12F9"/>
    <w:rsid w:val="008A1538"/>
    <w:rsid w:val="008A1944"/>
    <w:rsid w:val="008A1E11"/>
    <w:rsid w:val="008A2A6D"/>
    <w:rsid w:val="008A2D57"/>
    <w:rsid w:val="008A2E6E"/>
    <w:rsid w:val="008A3175"/>
    <w:rsid w:val="008A37C6"/>
    <w:rsid w:val="008A392A"/>
    <w:rsid w:val="008A4040"/>
    <w:rsid w:val="008A41E1"/>
    <w:rsid w:val="008A4229"/>
    <w:rsid w:val="008A42B6"/>
    <w:rsid w:val="008A44EE"/>
    <w:rsid w:val="008A48C1"/>
    <w:rsid w:val="008A4DF7"/>
    <w:rsid w:val="008A4E90"/>
    <w:rsid w:val="008A5DBC"/>
    <w:rsid w:val="008A61DC"/>
    <w:rsid w:val="008A6847"/>
    <w:rsid w:val="008A6974"/>
    <w:rsid w:val="008A6C1B"/>
    <w:rsid w:val="008A6C77"/>
    <w:rsid w:val="008A70C8"/>
    <w:rsid w:val="008A7B35"/>
    <w:rsid w:val="008A7B4F"/>
    <w:rsid w:val="008A7E6A"/>
    <w:rsid w:val="008B0240"/>
    <w:rsid w:val="008B0B78"/>
    <w:rsid w:val="008B11DF"/>
    <w:rsid w:val="008B1887"/>
    <w:rsid w:val="008B216D"/>
    <w:rsid w:val="008B25F5"/>
    <w:rsid w:val="008B2699"/>
    <w:rsid w:val="008B2B7B"/>
    <w:rsid w:val="008B32D4"/>
    <w:rsid w:val="008B3741"/>
    <w:rsid w:val="008B3A2B"/>
    <w:rsid w:val="008B3C36"/>
    <w:rsid w:val="008B3CDC"/>
    <w:rsid w:val="008B3D00"/>
    <w:rsid w:val="008B3E88"/>
    <w:rsid w:val="008B4019"/>
    <w:rsid w:val="008B40A1"/>
    <w:rsid w:val="008B4524"/>
    <w:rsid w:val="008B4A15"/>
    <w:rsid w:val="008B4A45"/>
    <w:rsid w:val="008B5058"/>
    <w:rsid w:val="008B532E"/>
    <w:rsid w:val="008B5BA8"/>
    <w:rsid w:val="008B5CC5"/>
    <w:rsid w:val="008B5D82"/>
    <w:rsid w:val="008B6168"/>
    <w:rsid w:val="008B6205"/>
    <w:rsid w:val="008B66BE"/>
    <w:rsid w:val="008B6A51"/>
    <w:rsid w:val="008B6B69"/>
    <w:rsid w:val="008B705E"/>
    <w:rsid w:val="008B7D84"/>
    <w:rsid w:val="008C00C1"/>
    <w:rsid w:val="008C0150"/>
    <w:rsid w:val="008C040B"/>
    <w:rsid w:val="008C06F1"/>
    <w:rsid w:val="008C08FE"/>
    <w:rsid w:val="008C1394"/>
    <w:rsid w:val="008C17BF"/>
    <w:rsid w:val="008C17FC"/>
    <w:rsid w:val="008C1910"/>
    <w:rsid w:val="008C1AFE"/>
    <w:rsid w:val="008C218E"/>
    <w:rsid w:val="008C21CA"/>
    <w:rsid w:val="008C253C"/>
    <w:rsid w:val="008C2982"/>
    <w:rsid w:val="008C2E72"/>
    <w:rsid w:val="008C2EF5"/>
    <w:rsid w:val="008C2F37"/>
    <w:rsid w:val="008C30C5"/>
    <w:rsid w:val="008C333F"/>
    <w:rsid w:val="008C3F02"/>
    <w:rsid w:val="008C3FEC"/>
    <w:rsid w:val="008C4057"/>
    <w:rsid w:val="008C464E"/>
    <w:rsid w:val="008C4F4B"/>
    <w:rsid w:val="008C5384"/>
    <w:rsid w:val="008C573F"/>
    <w:rsid w:val="008C583B"/>
    <w:rsid w:val="008C592E"/>
    <w:rsid w:val="008C5938"/>
    <w:rsid w:val="008C5DF1"/>
    <w:rsid w:val="008C5ECA"/>
    <w:rsid w:val="008C611A"/>
    <w:rsid w:val="008C650E"/>
    <w:rsid w:val="008C67DA"/>
    <w:rsid w:val="008C6F91"/>
    <w:rsid w:val="008C7344"/>
    <w:rsid w:val="008D003D"/>
    <w:rsid w:val="008D029E"/>
    <w:rsid w:val="008D05FD"/>
    <w:rsid w:val="008D0D95"/>
    <w:rsid w:val="008D12DF"/>
    <w:rsid w:val="008D151E"/>
    <w:rsid w:val="008D1784"/>
    <w:rsid w:val="008D17C6"/>
    <w:rsid w:val="008D1A1A"/>
    <w:rsid w:val="008D1C3A"/>
    <w:rsid w:val="008D1EBD"/>
    <w:rsid w:val="008D22B9"/>
    <w:rsid w:val="008D25EF"/>
    <w:rsid w:val="008D2625"/>
    <w:rsid w:val="008D27CB"/>
    <w:rsid w:val="008D2AA1"/>
    <w:rsid w:val="008D2BAE"/>
    <w:rsid w:val="008D3024"/>
    <w:rsid w:val="008D363D"/>
    <w:rsid w:val="008D3845"/>
    <w:rsid w:val="008D397E"/>
    <w:rsid w:val="008D3AA4"/>
    <w:rsid w:val="008D4299"/>
    <w:rsid w:val="008D45E5"/>
    <w:rsid w:val="008D48F3"/>
    <w:rsid w:val="008D4EE1"/>
    <w:rsid w:val="008D4FF8"/>
    <w:rsid w:val="008D57E6"/>
    <w:rsid w:val="008D58F4"/>
    <w:rsid w:val="008D65DE"/>
    <w:rsid w:val="008D6639"/>
    <w:rsid w:val="008D67AC"/>
    <w:rsid w:val="008D6953"/>
    <w:rsid w:val="008D6B9C"/>
    <w:rsid w:val="008D7172"/>
    <w:rsid w:val="008D78FB"/>
    <w:rsid w:val="008D7BD4"/>
    <w:rsid w:val="008E02D6"/>
    <w:rsid w:val="008E073B"/>
    <w:rsid w:val="008E0823"/>
    <w:rsid w:val="008E0A83"/>
    <w:rsid w:val="008E0B5F"/>
    <w:rsid w:val="008E0FCA"/>
    <w:rsid w:val="008E1413"/>
    <w:rsid w:val="008E161E"/>
    <w:rsid w:val="008E1ECD"/>
    <w:rsid w:val="008E1F72"/>
    <w:rsid w:val="008E2246"/>
    <w:rsid w:val="008E23D3"/>
    <w:rsid w:val="008E2721"/>
    <w:rsid w:val="008E29A2"/>
    <w:rsid w:val="008E2A14"/>
    <w:rsid w:val="008E2E3E"/>
    <w:rsid w:val="008E3061"/>
    <w:rsid w:val="008E3086"/>
    <w:rsid w:val="008E34DE"/>
    <w:rsid w:val="008E3D4A"/>
    <w:rsid w:val="008E3D4E"/>
    <w:rsid w:val="008E3D79"/>
    <w:rsid w:val="008E3EA5"/>
    <w:rsid w:val="008E404C"/>
    <w:rsid w:val="008E4782"/>
    <w:rsid w:val="008E4E9C"/>
    <w:rsid w:val="008E4EC1"/>
    <w:rsid w:val="008E5178"/>
    <w:rsid w:val="008E51AF"/>
    <w:rsid w:val="008E51E2"/>
    <w:rsid w:val="008E54A6"/>
    <w:rsid w:val="008E5655"/>
    <w:rsid w:val="008E56AF"/>
    <w:rsid w:val="008E5E72"/>
    <w:rsid w:val="008E5F20"/>
    <w:rsid w:val="008E66C4"/>
    <w:rsid w:val="008E67FE"/>
    <w:rsid w:val="008E73DF"/>
    <w:rsid w:val="008E756C"/>
    <w:rsid w:val="008E79DC"/>
    <w:rsid w:val="008E7B06"/>
    <w:rsid w:val="008E7C7A"/>
    <w:rsid w:val="008F01A6"/>
    <w:rsid w:val="008F0518"/>
    <w:rsid w:val="008F05D6"/>
    <w:rsid w:val="008F096C"/>
    <w:rsid w:val="008F1084"/>
    <w:rsid w:val="008F1288"/>
    <w:rsid w:val="008F1AC0"/>
    <w:rsid w:val="008F1C20"/>
    <w:rsid w:val="008F1C8F"/>
    <w:rsid w:val="008F1F2C"/>
    <w:rsid w:val="008F2044"/>
    <w:rsid w:val="008F2239"/>
    <w:rsid w:val="008F2BEF"/>
    <w:rsid w:val="008F2FD9"/>
    <w:rsid w:val="008F3089"/>
    <w:rsid w:val="008F3358"/>
    <w:rsid w:val="008F390C"/>
    <w:rsid w:val="008F443B"/>
    <w:rsid w:val="008F4724"/>
    <w:rsid w:val="008F539B"/>
    <w:rsid w:val="008F56C7"/>
    <w:rsid w:val="008F6040"/>
    <w:rsid w:val="008F6233"/>
    <w:rsid w:val="008F659F"/>
    <w:rsid w:val="008F6B11"/>
    <w:rsid w:val="008F70D6"/>
    <w:rsid w:val="008F73ED"/>
    <w:rsid w:val="008F744E"/>
    <w:rsid w:val="008F77AD"/>
    <w:rsid w:val="008F78B8"/>
    <w:rsid w:val="008F7C5F"/>
    <w:rsid w:val="008F7DAA"/>
    <w:rsid w:val="0090000F"/>
    <w:rsid w:val="00900214"/>
    <w:rsid w:val="00900444"/>
    <w:rsid w:val="009005CD"/>
    <w:rsid w:val="00900809"/>
    <w:rsid w:val="00900A0E"/>
    <w:rsid w:val="0090125B"/>
    <w:rsid w:val="00901A52"/>
    <w:rsid w:val="00901E12"/>
    <w:rsid w:val="00901F0E"/>
    <w:rsid w:val="00902303"/>
    <w:rsid w:val="009026BD"/>
    <w:rsid w:val="009029BE"/>
    <w:rsid w:val="009029EF"/>
    <w:rsid w:val="00903108"/>
    <w:rsid w:val="00903110"/>
    <w:rsid w:val="00903FEF"/>
    <w:rsid w:val="009042A4"/>
    <w:rsid w:val="00904977"/>
    <w:rsid w:val="00904BED"/>
    <w:rsid w:val="00904D5B"/>
    <w:rsid w:val="00904D5E"/>
    <w:rsid w:val="00904D96"/>
    <w:rsid w:val="00904F09"/>
    <w:rsid w:val="00905B06"/>
    <w:rsid w:val="00905BF2"/>
    <w:rsid w:val="00905EE4"/>
    <w:rsid w:val="00905FC7"/>
    <w:rsid w:val="00906643"/>
    <w:rsid w:val="009068C4"/>
    <w:rsid w:val="00906BEB"/>
    <w:rsid w:val="00906D96"/>
    <w:rsid w:val="00906F38"/>
    <w:rsid w:val="009070B5"/>
    <w:rsid w:val="00907132"/>
    <w:rsid w:val="00907270"/>
    <w:rsid w:val="00907549"/>
    <w:rsid w:val="009077D0"/>
    <w:rsid w:val="009078EB"/>
    <w:rsid w:val="00910586"/>
    <w:rsid w:val="00910766"/>
    <w:rsid w:val="00910B22"/>
    <w:rsid w:val="00910EC1"/>
    <w:rsid w:val="00911B23"/>
    <w:rsid w:val="00911E8C"/>
    <w:rsid w:val="00911F98"/>
    <w:rsid w:val="009127D9"/>
    <w:rsid w:val="0091321D"/>
    <w:rsid w:val="00913872"/>
    <w:rsid w:val="009138E7"/>
    <w:rsid w:val="00913942"/>
    <w:rsid w:val="00914310"/>
    <w:rsid w:val="00914839"/>
    <w:rsid w:val="00914FB5"/>
    <w:rsid w:val="009151BA"/>
    <w:rsid w:val="0091585E"/>
    <w:rsid w:val="00915BB9"/>
    <w:rsid w:val="00915C51"/>
    <w:rsid w:val="009166AE"/>
    <w:rsid w:val="00916799"/>
    <w:rsid w:val="009169BE"/>
    <w:rsid w:val="00916AB2"/>
    <w:rsid w:val="00916B88"/>
    <w:rsid w:val="00916EE3"/>
    <w:rsid w:val="0091733B"/>
    <w:rsid w:val="009174AB"/>
    <w:rsid w:val="00917843"/>
    <w:rsid w:val="009178E9"/>
    <w:rsid w:val="00920168"/>
    <w:rsid w:val="0092049C"/>
    <w:rsid w:val="009206A7"/>
    <w:rsid w:val="009209B8"/>
    <w:rsid w:val="00920B68"/>
    <w:rsid w:val="0092118D"/>
    <w:rsid w:val="00921949"/>
    <w:rsid w:val="00921A75"/>
    <w:rsid w:val="00921C8C"/>
    <w:rsid w:val="00921D73"/>
    <w:rsid w:val="009220B0"/>
    <w:rsid w:val="009222F5"/>
    <w:rsid w:val="00922415"/>
    <w:rsid w:val="00922900"/>
    <w:rsid w:val="00922C07"/>
    <w:rsid w:val="00922D16"/>
    <w:rsid w:val="00922DF2"/>
    <w:rsid w:val="0092305E"/>
    <w:rsid w:val="009233C0"/>
    <w:rsid w:val="00923824"/>
    <w:rsid w:val="00923F4A"/>
    <w:rsid w:val="00924739"/>
    <w:rsid w:val="00924803"/>
    <w:rsid w:val="00924C62"/>
    <w:rsid w:val="0092553F"/>
    <w:rsid w:val="00925651"/>
    <w:rsid w:val="00925669"/>
    <w:rsid w:val="009257D5"/>
    <w:rsid w:val="00925E22"/>
    <w:rsid w:val="0092601F"/>
    <w:rsid w:val="00926292"/>
    <w:rsid w:val="00926534"/>
    <w:rsid w:val="009267DB"/>
    <w:rsid w:val="00926BCC"/>
    <w:rsid w:val="00926D93"/>
    <w:rsid w:val="00926DA8"/>
    <w:rsid w:val="00926F77"/>
    <w:rsid w:val="00927069"/>
    <w:rsid w:val="00927727"/>
    <w:rsid w:val="00927AFD"/>
    <w:rsid w:val="00927B4A"/>
    <w:rsid w:val="00927EF6"/>
    <w:rsid w:val="00927F56"/>
    <w:rsid w:val="009301ED"/>
    <w:rsid w:val="00930451"/>
    <w:rsid w:val="00930AAD"/>
    <w:rsid w:val="00930C50"/>
    <w:rsid w:val="00930CFE"/>
    <w:rsid w:val="00931999"/>
    <w:rsid w:val="00931D4C"/>
    <w:rsid w:val="00932592"/>
    <w:rsid w:val="0093274D"/>
    <w:rsid w:val="009328C3"/>
    <w:rsid w:val="009328CD"/>
    <w:rsid w:val="00932AF0"/>
    <w:rsid w:val="00932C72"/>
    <w:rsid w:val="00932D33"/>
    <w:rsid w:val="0093307D"/>
    <w:rsid w:val="009334FF"/>
    <w:rsid w:val="00933532"/>
    <w:rsid w:val="0093363A"/>
    <w:rsid w:val="00933B10"/>
    <w:rsid w:val="00933C83"/>
    <w:rsid w:val="00933E53"/>
    <w:rsid w:val="0093402B"/>
    <w:rsid w:val="00934B13"/>
    <w:rsid w:val="00934D3F"/>
    <w:rsid w:val="00934DB4"/>
    <w:rsid w:val="00934E91"/>
    <w:rsid w:val="00934F4B"/>
    <w:rsid w:val="0093517A"/>
    <w:rsid w:val="009354B9"/>
    <w:rsid w:val="00935BCA"/>
    <w:rsid w:val="009362CE"/>
    <w:rsid w:val="00936334"/>
    <w:rsid w:val="00936440"/>
    <w:rsid w:val="009367F7"/>
    <w:rsid w:val="009368DF"/>
    <w:rsid w:val="009372BA"/>
    <w:rsid w:val="009372F1"/>
    <w:rsid w:val="0093750D"/>
    <w:rsid w:val="0093774A"/>
    <w:rsid w:val="009377D3"/>
    <w:rsid w:val="0093785C"/>
    <w:rsid w:val="00937AAE"/>
    <w:rsid w:val="0094095D"/>
    <w:rsid w:val="00940C82"/>
    <w:rsid w:val="00940CED"/>
    <w:rsid w:val="0094191C"/>
    <w:rsid w:val="00941BD0"/>
    <w:rsid w:val="00941E2D"/>
    <w:rsid w:val="00942012"/>
    <w:rsid w:val="00942049"/>
    <w:rsid w:val="00942793"/>
    <w:rsid w:val="00943345"/>
    <w:rsid w:val="009433D8"/>
    <w:rsid w:val="009433FA"/>
    <w:rsid w:val="00943426"/>
    <w:rsid w:val="009438B7"/>
    <w:rsid w:val="0094426E"/>
    <w:rsid w:val="00944726"/>
    <w:rsid w:val="0094585A"/>
    <w:rsid w:val="00945CE6"/>
    <w:rsid w:val="009461FA"/>
    <w:rsid w:val="0094650A"/>
    <w:rsid w:val="009467B5"/>
    <w:rsid w:val="009469BA"/>
    <w:rsid w:val="00946DBB"/>
    <w:rsid w:val="00946E6D"/>
    <w:rsid w:val="00947023"/>
    <w:rsid w:val="00947207"/>
    <w:rsid w:val="009475D9"/>
    <w:rsid w:val="009479C1"/>
    <w:rsid w:val="00947BF4"/>
    <w:rsid w:val="00947E5B"/>
    <w:rsid w:val="00947F5A"/>
    <w:rsid w:val="00950911"/>
    <w:rsid w:val="00950A3D"/>
    <w:rsid w:val="00950A49"/>
    <w:rsid w:val="00951064"/>
    <w:rsid w:val="00951282"/>
    <w:rsid w:val="00951332"/>
    <w:rsid w:val="009514C9"/>
    <w:rsid w:val="009515EE"/>
    <w:rsid w:val="00951731"/>
    <w:rsid w:val="00951A63"/>
    <w:rsid w:val="00951F8E"/>
    <w:rsid w:val="0095238E"/>
    <w:rsid w:val="009524A9"/>
    <w:rsid w:val="00952874"/>
    <w:rsid w:val="00952EE2"/>
    <w:rsid w:val="00953173"/>
    <w:rsid w:val="009532A5"/>
    <w:rsid w:val="009534B3"/>
    <w:rsid w:val="00953507"/>
    <w:rsid w:val="009536F0"/>
    <w:rsid w:val="009537C1"/>
    <w:rsid w:val="00953D24"/>
    <w:rsid w:val="00953FDD"/>
    <w:rsid w:val="00954072"/>
    <w:rsid w:val="0095465B"/>
    <w:rsid w:val="00954B70"/>
    <w:rsid w:val="00954BE3"/>
    <w:rsid w:val="00954FCE"/>
    <w:rsid w:val="00955289"/>
    <w:rsid w:val="00955552"/>
    <w:rsid w:val="009560AA"/>
    <w:rsid w:val="009560E2"/>
    <w:rsid w:val="00956230"/>
    <w:rsid w:val="00956251"/>
    <w:rsid w:val="009566F8"/>
    <w:rsid w:val="0095670E"/>
    <w:rsid w:val="0095674A"/>
    <w:rsid w:val="00956901"/>
    <w:rsid w:val="009569A6"/>
    <w:rsid w:val="00956DEC"/>
    <w:rsid w:val="009570F0"/>
    <w:rsid w:val="009570F1"/>
    <w:rsid w:val="00957863"/>
    <w:rsid w:val="0095796E"/>
    <w:rsid w:val="0096046C"/>
    <w:rsid w:val="009605D1"/>
    <w:rsid w:val="00960616"/>
    <w:rsid w:val="0096084D"/>
    <w:rsid w:val="00960ED4"/>
    <w:rsid w:val="009617A4"/>
    <w:rsid w:val="00961889"/>
    <w:rsid w:val="009619CD"/>
    <w:rsid w:val="00961C19"/>
    <w:rsid w:val="00961F02"/>
    <w:rsid w:val="00962302"/>
    <w:rsid w:val="00962BCC"/>
    <w:rsid w:val="00962FDF"/>
    <w:rsid w:val="0096328C"/>
    <w:rsid w:val="009636A6"/>
    <w:rsid w:val="00963829"/>
    <w:rsid w:val="00963DDD"/>
    <w:rsid w:val="00963DE5"/>
    <w:rsid w:val="00964190"/>
    <w:rsid w:val="009642C9"/>
    <w:rsid w:val="00964440"/>
    <w:rsid w:val="009644E0"/>
    <w:rsid w:val="009649EF"/>
    <w:rsid w:val="00964FAA"/>
    <w:rsid w:val="009652B0"/>
    <w:rsid w:val="0096548C"/>
    <w:rsid w:val="00965B2B"/>
    <w:rsid w:val="00965DA2"/>
    <w:rsid w:val="00965DB0"/>
    <w:rsid w:val="00965E21"/>
    <w:rsid w:val="00965EF9"/>
    <w:rsid w:val="00966292"/>
    <w:rsid w:val="00966507"/>
    <w:rsid w:val="009665F0"/>
    <w:rsid w:val="00966615"/>
    <w:rsid w:val="00966803"/>
    <w:rsid w:val="00966B47"/>
    <w:rsid w:val="00966D3F"/>
    <w:rsid w:val="00966E92"/>
    <w:rsid w:val="00967144"/>
    <w:rsid w:val="00967462"/>
    <w:rsid w:val="00967514"/>
    <w:rsid w:val="009676E1"/>
    <w:rsid w:val="009677EC"/>
    <w:rsid w:val="00970776"/>
    <w:rsid w:val="009709F9"/>
    <w:rsid w:val="00970CCA"/>
    <w:rsid w:val="00970EA3"/>
    <w:rsid w:val="00970F2E"/>
    <w:rsid w:val="009711EC"/>
    <w:rsid w:val="00971317"/>
    <w:rsid w:val="00971385"/>
    <w:rsid w:val="0097143A"/>
    <w:rsid w:val="009715E5"/>
    <w:rsid w:val="00971B0A"/>
    <w:rsid w:val="00971F9F"/>
    <w:rsid w:val="00972608"/>
    <w:rsid w:val="0097295F"/>
    <w:rsid w:val="00972ACB"/>
    <w:rsid w:val="00972C06"/>
    <w:rsid w:val="00972F0C"/>
    <w:rsid w:val="0097395A"/>
    <w:rsid w:val="009739CF"/>
    <w:rsid w:val="00973B71"/>
    <w:rsid w:val="0097406C"/>
    <w:rsid w:val="009745C3"/>
    <w:rsid w:val="00974C3D"/>
    <w:rsid w:val="00975365"/>
    <w:rsid w:val="009753B8"/>
    <w:rsid w:val="0097540C"/>
    <w:rsid w:val="0097551C"/>
    <w:rsid w:val="0097554C"/>
    <w:rsid w:val="0097558C"/>
    <w:rsid w:val="0097584F"/>
    <w:rsid w:val="00975EFF"/>
    <w:rsid w:val="009760E8"/>
    <w:rsid w:val="00976B4C"/>
    <w:rsid w:val="00977805"/>
    <w:rsid w:val="00977A57"/>
    <w:rsid w:val="00977D28"/>
    <w:rsid w:val="00980064"/>
    <w:rsid w:val="00980226"/>
    <w:rsid w:val="00980AAA"/>
    <w:rsid w:val="00980B83"/>
    <w:rsid w:val="00980D4E"/>
    <w:rsid w:val="00980F12"/>
    <w:rsid w:val="00980F8C"/>
    <w:rsid w:val="00981284"/>
    <w:rsid w:val="00981D30"/>
    <w:rsid w:val="009820E9"/>
    <w:rsid w:val="009821C3"/>
    <w:rsid w:val="00982A47"/>
    <w:rsid w:val="00982A72"/>
    <w:rsid w:val="00982CA5"/>
    <w:rsid w:val="00982CC4"/>
    <w:rsid w:val="00982E65"/>
    <w:rsid w:val="009830F1"/>
    <w:rsid w:val="00983439"/>
    <w:rsid w:val="009835FB"/>
    <w:rsid w:val="00983A85"/>
    <w:rsid w:val="00983D76"/>
    <w:rsid w:val="00984022"/>
    <w:rsid w:val="009841A1"/>
    <w:rsid w:val="009841FA"/>
    <w:rsid w:val="00984913"/>
    <w:rsid w:val="009855C3"/>
    <w:rsid w:val="00985B08"/>
    <w:rsid w:val="009865AC"/>
    <w:rsid w:val="00986AB2"/>
    <w:rsid w:val="00987AE2"/>
    <w:rsid w:val="0099015C"/>
    <w:rsid w:val="00990476"/>
    <w:rsid w:val="009906FD"/>
    <w:rsid w:val="0099073B"/>
    <w:rsid w:val="009908B0"/>
    <w:rsid w:val="00990CA5"/>
    <w:rsid w:val="009915C0"/>
    <w:rsid w:val="00991FBB"/>
    <w:rsid w:val="00992283"/>
    <w:rsid w:val="009925B0"/>
    <w:rsid w:val="00992FD1"/>
    <w:rsid w:val="0099328E"/>
    <w:rsid w:val="00993B9D"/>
    <w:rsid w:val="00993DCF"/>
    <w:rsid w:val="00993EB5"/>
    <w:rsid w:val="00994302"/>
    <w:rsid w:val="009943FB"/>
    <w:rsid w:val="00994C39"/>
    <w:rsid w:val="00994E60"/>
    <w:rsid w:val="00994F11"/>
    <w:rsid w:val="009951D7"/>
    <w:rsid w:val="009963F8"/>
    <w:rsid w:val="009964F2"/>
    <w:rsid w:val="00996875"/>
    <w:rsid w:val="00996990"/>
    <w:rsid w:val="009969E4"/>
    <w:rsid w:val="00996D63"/>
    <w:rsid w:val="009975DD"/>
    <w:rsid w:val="009975E3"/>
    <w:rsid w:val="009979EA"/>
    <w:rsid w:val="009A0446"/>
    <w:rsid w:val="009A06F5"/>
    <w:rsid w:val="009A076C"/>
    <w:rsid w:val="009A084E"/>
    <w:rsid w:val="009A087F"/>
    <w:rsid w:val="009A0F81"/>
    <w:rsid w:val="009A129B"/>
    <w:rsid w:val="009A1594"/>
    <w:rsid w:val="009A1B51"/>
    <w:rsid w:val="009A2009"/>
    <w:rsid w:val="009A21E7"/>
    <w:rsid w:val="009A246B"/>
    <w:rsid w:val="009A2479"/>
    <w:rsid w:val="009A3762"/>
    <w:rsid w:val="009A3C8C"/>
    <w:rsid w:val="009A3DF6"/>
    <w:rsid w:val="009A477A"/>
    <w:rsid w:val="009A54D5"/>
    <w:rsid w:val="009A556C"/>
    <w:rsid w:val="009A55D1"/>
    <w:rsid w:val="009A5653"/>
    <w:rsid w:val="009A577F"/>
    <w:rsid w:val="009A5A64"/>
    <w:rsid w:val="009A6112"/>
    <w:rsid w:val="009A6957"/>
    <w:rsid w:val="009A6BDD"/>
    <w:rsid w:val="009A71AB"/>
    <w:rsid w:val="009A71D6"/>
    <w:rsid w:val="009A7790"/>
    <w:rsid w:val="009A7D0D"/>
    <w:rsid w:val="009B000C"/>
    <w:rsid w:val="009B08AD"/>
    <w:rsid w:val="009B0A01"/>
    <w:rsid w:val="009B0FD6"/>
    <w:rsid w:val="009B15A7"/>
    <w:rsid w:val="009B1728"/>
    <w:rsid w:val="009B1B74"/>
    <w:rsid w:val="009B1BDC"/>
    <w:rsid w:val="009B2358"/>
    <w:rsid w:val="009B2688"/>
    <w:rsid w:val="009B28DF"/>
    <w:rsid w:val="009B2F00"/>
    <w:rsid w:val="009B2FAA"/>
    <w:rsid w:val="009B3784"/>
    <w:rsid w:val="009B3969"/>
    <w:rsid w:val="009B39F1"/>
    <w:rsid w:val="009B3AEE"/>
    <w:rsid w:val="009B3D84"/>
    <w:rsid w:val="009B4EA6"/>
    <w:rsid w:val="009B50DB"/>
    <w:rsid w:val="009B512E"/>
    <w:rsid w:val="009B51BA"/>
    <w:rsid w:val="009B5412"/>
    <w:rsid w:val="009B57BF"/>
    <w:rsid w:val="009B5EDF"/>
    <w:rsid w:val="009B60D4"/>
    <w:rsid w:val="009B634D"/>
    <w:rsid w:val="009B68C7"/>
    <w:rsid w:val="009B7613"/>
    <w:rsid w:val="009B7692"/>
    <w:rsid w:val="009B7941"/>
    <w:rsid w:val="009B7B2A"/>
    <w:rsid w:val="009B7E1A"/>
    <w:rsid w:val="009C0440"/>
    <w:rsid w:val="009C0504"/>
    <w:rsid w:val="009C06DE"/>
    <w:rsid w:val="009C099D"/>
    <w:rsid w:val="009C0D9D"/>
    <w:rsid w:val="009C12D5"/>
    <w:rsid w:val="009C1384"/>
    <w:rsid w:val="009C1B4A"/>
    <w:rsid w:val="009C1C56"/>
    <w:rsid w:val="009C203B"/>
    <w:rsid w:val="009C228C"/>
    <w:rsid w:val="009C23BD"/>
    <w:rsid w:val="009C2805"/>
    <w:rsid w:val="009C283E"/>
    <w:rsid w:val="009C2BBD"/>
    <w:rsid w:val="009C3856"/>
    <w:rsid w:val="009C3B60"/>
    <w:rsid w:val="009C40EA"/>
    <w:rsid w:val="009C45F9"/>
    <w:rsid w:val="009C495F"/>
    <w:rsid w:val="009C5A54"/>
    <w:rsid w:val="009C6084"/>
    <w:rsid w:val="009C61AE"/>
    <w:rsid w:val="009C627F"/>
    <w:rsid w:val="009C65ED"/>
    <w:rsid w:val="009C661C"/>
    <w:rsid w:val="009C6651"/>
    <w:rsid w:val="009C6823"/>
    <w:rsid w:val="009C70D7"/>
    <w:rsid w:val="009C70EB"/>
    <w:rsid w:val="009C71E0"/>
    <w:rsid w:val="009C756D"/>
    <w:rsid w:val="009C7DBC"/>
    <w:rsid w:val="009D00F6"/>
    <w:rsid w:val="009D07DB"/>
    <w:rsid w:val="009D085E"/>
    <w:rsid w:val="009D1783"/>
    <w:rsid w:val="009D188E"/>
    <w:rsid w:val="009D1AE9"/>
    <w:rsid w:val="009D2174"/>
    <w:rsid w:val="009D217A"/>
    <w:rsid w:val="009D238D"/>
    <w:rsid w:val="009D2A2D"/>
    <w:rsid w:val="009D2ED8"/>
    <w:rsid w:val="009D4092"/>
    <w:rsid w:val="009D4271"/>
    <w:rsid w:val="009D4320"/>
    <w:rsid w:val="009D462E"/>
    <w:rsid w:val="009D4767"/>
    <w:rsid w:val="009D4A45"/>
    <w:rsid w:val="009D5001"/>
    <w:rsid w:val="009D51E0"/>
    <w:rsid w:val="009D541B"/>
    <w:rsid w:val="009D547B"/>
    <w:rsid w:val="009D570B"/>
    <w:rsid w:val="009D58F0"/>
    <w:rsid w:val="009D5E12"/>
    <w:rsid w:val="009D63D7"/>
    <w:rsid w:val="009D6BB4"/>
    <w:rsid w:val="009D6BD9"/>
    <w:rsid w:val="009D6DBC"/>
    <w:rsid w:val="009D740F"/>
    <w:rsid w:val="009D796C"/>
    <w:rsid w:val="009D7E1B"/>
    <w:rsid w:val="009E0797"/>
    <w:rsid w:val="009E07B3"/>
    <w:rsid w:val="009E0D84"/>
    <w:rsid w:val="009E179E"/>
    <w:rsid w:val="009E181F"/>
    <w:rsid w:val="009E1B70"/>
    <w:rsid w:val="009E20AD"/>
    <w:rsid w:val="009E3BBC"/>
    <w:rsid w:val="009E3CD2"/>
    <w:rsid w:val="009E40AD"/>
    <w:rsid w:val="009E4187"/>
    <w:rsid w:val="009E4628"/>
    <w:rsid w:val="009E4943"/>
    <w:rsid w:val="009E51AA"/>
    <w:rsid w:val="009E5D69"/>
    <w:rsid w:val="009E5DBC"/>
    <w:rsid w:val="009E5E61"/>
    <w:rsid w:val="009E647F"/>
    <w:rsid w:val="009E738A"/>
    <w:rsid w:val="009E7ADB"/>
    <w:rsid w:val="009F02C4"/>
    <w:rsid w:val="009F0543"/>
    <w:rsid w:val="009F061A"/>
    <w:rsid w:val="009F08CF"/>
    <w:rsid w:val="009F0A4B"/>
    <w:rsid w:val="009F0A7D"/>
    <w:rsid w:val="009F0CBC"/>
    <w:rsid w:val="009F105A"/>
    <w:rsid w:val="009F12A9"/>
    <w:rsid w:val="009F1701"/>
    <w:rsid w:val="009F1F2F"/>
    <w:rsid w:val="009F21C6"/>
    <w:rsid w:val="009F222C"/>
    <w:rsid w:val="009F2466"/>
    <w:rsid w:val="009F2669"/>
    <w:rsid w:val="009F2BCF"/>
    <w:rsid w:val="009F3181"/>
    <w:rsid w:val="009F377E"/>
    <w:rsid w:val="009F391A"/>
    <w:rsid w:val="009F4281"/>
    <w:rsid w:val="009F42FD"/>
    <w:rsid w:val="009F5052"/>
    <w:rsid w:val="009F5F20"/>
    <w:rsid w:val="009F6126"/>
    <w:rsid w:val="009F63B0"/>
    <w:rsid w:val="009F6A8C"/>
    <w:rsid w:val="009F74E4"/>
    <w:rsid w:val="009F7B76"/>
    <w:rsid w:val="009F7E43"/>
    <w:rsid w:val="009F7F73"/>
    <w:rsid w:val="00A0030B"/>
    <w:rsid w:val="00A00708"/>
    <w:rsid w:val="00A008A0"/>
    <w:rsid w:val="00A00968"/>
    <w:rsid w:val="00A00E3D"/>
    <w:rsid w:val="00A00F08"/>
    <w:rsid w:val="00A0157D"/>
    <w:rsid w:val="00A016E6"/>
    <w:rsid w:val="00A01803"/>
    <w:rsid w:val="00A019F8"/>
    <w:rsid w:val="00A024FD"/>
    <w:rsid w:val="00A02D78"/>
    <w:rsid w:val="00A02EC3"/>
    <w:rsid w:val="00A02F83"/>
    <w:rsid w:val="00A02FA0"/>
    <w:rsid w:val="00A03016"/>
    <w:rsid w:val="00A04467"/>
    <w:rsid w:val="00A044A0"/>
    <w:rsid w:val="00A04F68"/>
    <w:rsid w:val="00A050E2"/>
    <w:rsid w:val="00A05298"/>
    <w:rsid w:val="00A052F3"/>
    <w:rsid w:val="00A05A8C"/>
    <w:rsid w:val="00A060E4"/>
    <w:rsid w:val="00A06248"/>
    <w:rsid w:val="00A066DD"/>
    <w:rsid w:val="00A06989"/>
    <w:rsid w:val="00A06A8A"/>
    <w:rsid w:val="00A06AA6"/>
    <w:rsid w:val="00A073A6"/>
    <w:rsid w:val="00A10081"/>
    <w:rsid w:val="00A10BF3"/>
    <w:rsid w:val="00A10CDB"/>
    <w:rsid w:val="00A1146C"/>
    <w:rsid w:val="00A11B1E"/>
    <w:rsid w:val="00A11B50"/>
    <w:rsid w:val="00A11E2D"/>
    <w:rsid w:val="00A11EF5"/>
    <w:rsid w:val="00A125A7"/>
    <w:rsid w:val="00A125B0"/>
    <w:rsid w:val="00A1280B"/>
    <w:rsid w:val="00A1285F"/>
    <w:rsid w:val="00A128C6"/>
    <w:rsid w:val="00A12B09"/>
    <w:rsid w:val="00A12BAF"/>
    <w:rsid w:val="00A13535"/>
    <w:rsid w:val="00A13F44"/>
    <w:rsid w:val="00A142C7"/>
    <w:rsid w:val="00A145CF"/>
    <w:rsid w:val="00A148CA"/>
    <w:rsid w:val="00A14907"/>
    <w:rsid w:val="00A149AA"/>
    <w:rsid w:val="00A15370"/>
    <w:rsid w:val="00A1576E"/>
    <w:rsid w:val="00A1590D"/>
    <w:rsid w:val="00A15C98"/>
    <w:rsid w:val="00A15E4F"/>
    <w:rsid w:val="00A16360"/>
    <w:rsid w:val="00A16966"/>
    <w:rsid w:val="00A1698F"/>
    <w:rsid w:val="00A16D5A"/>
    <w:rsid w:val="00A16F35"/>
    <w:rsid w:val="00A17226"/>
    <w:rsid w:val="00A174BA"/>
    <w:rsid w:val="00A1775E"/>
    <w:rsid w:val="00A17874"/>
    <w:rsid w:val="00A17AAB"/>
    <w:rsid w:val="00A17C40"/>
    <w:rsid w:val="00A17FD8"/>
    <w:rsid w:val="00A203A0"/>
    <w:rsid w:val="00A20533"/>
    <w:rsid w:val="00A2068D"/>
    <w:rsid w:val="00A20A70"/>
    <w:rsid w:val="00A20ACB"/>
    <w:rsid w:val="00A20E5D"/>
    <w:rsid w:val="00A217E4"/>
    <w:rsid w:val="00A21803"/>
    <w:rsid w:val="00A22085"/>
    <w:rsid w:val="00A2221A"/>
    <w:rsid w:val="00A22411"/>
    <w:rsid w:val="00A22423"/>
    <w:rsid w:val="00A2243F"/>
    <w:rsid w:val="00A22509"/>
    <w:rsid w:val="00A22A1C"/>
    <w:rsid w:val="00A22ACF"/>
    <w:rsid w:val="00A22C87"/>
    <w:rsid w:val="00A22CF4"/>
    <w:rsid w:val="00A22E0A"/>
    <w:rsid w:val="00A23966"/>
    <w:rsid w:val="00A245B8"/>
    <w:rsid w:val="00A248D2"/>
    <w:rsid w:val="00A2498A"/>
    <w:rsid w:val="00A24B62"/>
    <w:rsid w:val="00A24C3B"/>
    <w:rsid w:val="00A24F94"/>
    <w:rsid w:val="00A25413"/>
    <w:rsid w:val="00A25549"/>
    <w:rsid w:val="00A2560F"/>
    <w:rsid w:val="00A25BE9"/>
    <w:rsid w:val="00A25EA3"/>
    <w:rsid w:val="00A27132"/>
    <w:rsid w:val="00A27558"/>
    <w:rsid w:val="00A276CD"/>
    <w:rsid w:val="00A27B6C"/>
    <w:rsid w:val="00A27B98"/>
    <w:rsid w:val="00A27B9A"/>
    <w:rsid w:val="00A27E98"/>
    <w:rsid w:val="00A30105"/>
    <w:rsid w:val="00A30114"/>
    <w:rsid w:val="00A30143"/>
    <w:rsid w:val="00A3020E"/>
    <w:rsid w:val="00A302B7"/>
    <w:rsid w:val="00A30860"/>
    <w:rsid w:val="00A3127E"/>
    <w:rsid w:val="00A31280"/>
    <w:rsid w:val="00A31418"/>
    <w:rsid w:val="00A3201F"/>
    <w:rsid w:val="00A321E0"/>
    <w:rsid w:val="00A3261E"/>
    <w:rsid w:val="00A328A5"/>
    <w:rsid w:val="00A32C5C"/>
    <w:rsid w:val="00A333CB"/>
    <w:rsid w:val="00A348DB"/>
    <w:rsid w:val="00A348FD"/>
    <w:rsid w:val="00A349C0"/>
    <w:rsid w:val="00A34E46"/>
    <w:rsid w:val="00A3504F"/>
    <w:rsid w:val="00A35A69"/>
    <w:rsid w:val="00A35B04"/>
    <w:rsid w:val="00A35B2C"/>
    <w:rsid w:val="00A35FB5"/>
    <w:rsid w:val="00A361EB"/>
    <w:rsid w:val="00A362CF"/>
    <w:rsid w:val="00A36386"/>
    <w:rsid w:val="00A36403"/>
    <w:rsid w:val="00A366B1"/>
    <w:rsid w:val="00A366B5"/>
    <w:rsid w:val="00A366DE"/>
    <w:rsid w:val="00A367D5"/>
    <w:rsid w:val="00A36E58"/>
    <w:rsid w:val="00A36FEB"/>
    <w:rsid w:val="00A3709E"/>
    <w:rsid w:val="00A373E4"/>
    <w:rsid w:val="00A37416"/>
    <w:rsid w:val="00A37BE0"/>
    <w:rsid w:val="00A37C01"/>
    <w:rsid w:val="00A37E19"/>
    <w:rsid w:val="00A40251"/>
    <w:rsid w:val="00A4051B"/>
    <w:rsid w:val="00A406A7"/>
    <w:rsid w:val="00A40A69"/>
    <w:rsid w:val="00A40C62"/>
    <w:rsid w:val="00A411F2"/>
    <w:rsid w:val="00A41634"/>
    <w:rsid w:val="00A416B0"/>
    <w:rsid w:val="00A41727"/>
    <w:rsid w:val="00A42CA8"/>
    <w:rsid w:val="00A43194"/>
    <w:rsid w:val="00A43326"/>
    <w:rsid w:val="00A43542"/>
    <w:rsid w:val="00A43704"/>
    <w:rsid w:val="00A43794"/>
    <w:rsid w:val="00A442B6"/>
    <w:rsid w:val="00A448CF"/>
    <w:rsid w:val="00A44A65"/>
    <w:rsid w:val="00A45004"/>
    <w:rsid w:val="00A454BE"/>
    <w:rsid w:val="00A454E8"/>
    <w:rsid w:val="00A458D6"/>
    <w:rsid w:val="00A45B95"/>
    <w:rsid w:val="00A45BF5"/>
    <w:rsid w:val="00A46755"/>
    <w:rsid w:val="00A46F6F"/>
    <w:rsid w:val="00A47127"/>
    <w:rsid w:val="00A4796B"/>
    <w:rsid w:val="00A47BD5"/>
    <w:rsid w:val="00A50570"/>
    <w:rsid w:val="00A50AB5"/>
    <w:rsid w:val="00A50FD5"/>
    <w:rsid w:val="00A51075"/>
    <w:rsid w:val="00A5127A"/>
    <w:rsid w:val="00A51B37"/>
    <w:rsid w:val="00A51CF9"/>
    <w:rsid w:val="00A5261A"/>
    <w:rsid w:val="00A527BC"/>
    <w:rsid w:val="00A529DB"/>
    <w:rsid w:val="00A52A1C"/>
    <w:rsid w:val="00A52CC9"/>
    <w:rsid w:val="00A535E4"/>
    <w:rsid w:val="00A538E4"/>
    <w:rsid w:val="00A539A9"/>
    <w:rsid w:val="00A54901"/>
    <w:rsid w:val="00A5557A"/>
    <w:rsid w:val="00A5573F"/>
    <w:rsid w:val="00A55BD2"/>
    <w:rsid w:val="00A55DAD"/>
    <w:rsid w:val="00A55F1A"/>
    <w:rsid w:val="00A560E1"/>
    <w:rsid w:val="00A562B8"/>
    <w:rsid w:val="00A5640A"/>
    <w:rsid w:val="00A568AD"/>
    <w:rsid w:val="00A56A4C"/>
    <w:rsid w:val="00A56B1A"/>
    <w:rsid w:val="00A5738D"/>
    <w:rsid w:val="00A57C17"/>
    <w:rsid w:val="00A57C54"/>
    <w:rsid w:val="00A57CB4"/>
    <w:rsid w:val="00A57E8A"/>
    <w:rsid w:val="00A60502"/>
    <w:rsid w:val="00A60B0D"/>
    <w:rsid w:val="00A60D2D"/>
    <w:rsid w:val="00A60E18"/>
    <w:rsid w:val="00A60E95"/>
    <w:rsid w:val="00A60F17"/>
    <w:rsid w:val="00A60FC9"/>
    <w:rsid w:val="00A61152"/>
    <w:rsid w:val="00A61237"/>
    <w:rsid w:val="00A612BF"/>
    <w:rsid w:val="00A6177F"/>
    <w:rsid w:val="00A618B9"/>
    <w:rsid w:val="00A61E9B"/>
    <w:rsid w:val="00A623A3"/>
    <w:rsid w:val="00A626B6"/>
    <w:rsid w:val="00A629E4"/>
    <w:rsid w:val="00A62B5A"/>
    <w:rsid w:val="00A62C15"/>
    <w:rsid w:val="00A62EE2"/>
    <w:rsid w:val="00A63025"/>
    <w:rsid w:val="00A633BA"/>
    <w:rsid w:val="00A6347E"/>
    <w:rsid w:val="00A6407A"/>
    <w:rsid w:val="00A64086"/>
    <w:rsid w:val="00A6495B"/>
    <w:rsid w:val="00A64A72"/>
    <w:rsid w:val="00A64F2A"/>
    <w:rsid w:val="00A65750"/>
    <w:rsid w:val="00A65A41"/>
    <w:rsid w:val="00A65A68"/>
    <w:rsid w:val="00A67148"/>
    <w:rsid w:val="00A6737A"/>
    <w:rsid w:val="00A67498"/>
    <w:rsid w:val="00A679C5"/>
    <w:rsid w:val="00A70162"/>
    <w:rsid w:val="00A7069E"/>
    <w:rsid w:val="00A706BD"/>
    <w:rsid w:val="00A70A31"/>
    <w:rsid w:val="00A70B86"/>
    <w:rsid w:val="00A714D2"/>
    <w:rsid w:val="00A71532"/>
    <w:rsid w:val="00A7195D"/>
    <w:rsid w:val="00A71D1D"/>
    <w:rsid w:val="00A72092"/>
    <w:rsid w:val="00A722D7"/>
    <w:rsid w:val="00A732C4"/>
    <w:rsid w:val="00A73531"/>
    <w:rsid w:val="00A739CC"/>
    <w:rsid w:val="00A73EA7"/>
    <w:rsid w:val="00A74454"/>
    <w:rsid w:val="00A74661"/>
    <w:rsid w:val="00A74871"/>
    <w:rsid w:val="00A748A8"/>
    <w:rsid w:val="00A7497B"/>
    <w:rsid w:val="00A74C10"/>
    <w:rsid w:val="00A758F6"/>
    <w:rsid w:val="00A75A26"/>
    <w:rsid w:val="00A7634B"/>
    <w:rsid w:val="00A765DA"/>
    <w:rsid w:val="00A76816"/>
    <w:rsid w:val="00A7682F"/>
    <w:rsid w:val="00A76A01"/>
    <w:rsid w:val="00A76DA8"/>
    <w:rsid w:val="00A76F8E"/>
    <w:rsid w:val="00A771DA"/>
    <w:rsid w:val="00A77885"/>
    <w:rsid w:val="00A77996"/>
    <w:rsid w:val="00A779FC"/>
    <w:rsid w:val="00A77DBD"/>
    <w:rsid w:val="00A8015E"/>
    <w:rsid w:val="00A802BD"/>
    <w:rsid w:val="00A80387"/>
    <w:rsid w:val="00A80D7D"/>
    <w:rsid w:val="00A810FE"/>
    <w:rsid w:val="00A8123A"/>
    <w:rsid w:val="00A8124F"/>
    <w:rsid w:val="00A81CEC"/>
    <w:rsid w:val="00A81D25"/>
    <w:rsid w:val="00A82080"/>
    <w:rsid w:val="00A8252D"/>
    <w:rsid w:val="00A82B6D"/>
    <w:rsid w:val="00A82CE1"/>
    <w:rsid w:val="00A835E6"/>
    <w:rsid w:val="00A83649"/>
    <w:rsid w:val="00A836EF"/>
    <w:rsid w:val="00A83728"/>
    <w:rsid w:val="00A83888"/>
    <w:rsid w:val="00A8405B"/>
    <w:rsid w:val="00A8443F"/>
    <w:rsid w:val="00A84E71"/>
    <w:rsid w:val="00A85193"/>
    <w:rsid w:val="00A8551F"/>
    <w:rsid w:val="00A85868"/>
    <w:rsid w:val="00A85C8C"/>
    <w:rsid w:val="00A867DF"/>
    <w:rsid w:val="00A86A3F"/>
    <w:rsid w:val="00A86CD2"/>
    <w:rsid w:val="00A86F22"/>
    <w:rsid w:val="00A870B3"/>
    <w:rsid w:val="00A8759F"/>
    <w:rsid w:val="00A87706"/>
    <w:rsid w:val="00A8770E"/>
    <w:rsid w:val="00A87951"/>
    <w:rsid w:val="00A87AFA"/>
    <w:rsid w:val="00A87FE0"/>
    <w:rsid w:val="00A90829"/>
    <w:rsid w:val="00A90834"/>
    <w:rsid w:val="00A90983"/>
    <w:rsid w:val="00A90A1E"/>
    <w:rsid w:val="00A916D8"/>
    <w:rsid w:val="00A91832"/>
    <w:rsid w:val="00A91E3D"/>
    <w:rsid w:val="00A9207A"/>
    <w:rsid w:val="00A92612"/>
    <w:rsid w:val="00A92C22"/>
    <w:rsid w:val="00A92C84"/>
    <w:rsid w:val="00A92F18"/>
    <w:rsid w:val="00A93289"/>
    <w:rsid w:val="00A93A9F"/>
    <w:rsid w:val="00A93EC0"/>
    <w:rsid w:val="00A941A1"/>
    <w:rsid w:val="00A941EC"/>
    <w:rsid w:val="00A94721"/>
    <w:rsid w:val="00A95300"/>
    <w:rsid w:val="00A95A43"/>
    <w:rsid w:val="00A95C1A"/>
    <w:rsid w:val="00A967EC"/>
    <w:rsid w:val="00A968C0"/>
    <w:rsid w:val="00A96FEC"/>
    <w:rsid w:val="00A972EF"/>
    <w:rsid w:val="00A9751A"/>
    <w:rsid w:val="00A97B19"/>
    <w:rsid w:val="00AA07ED"/>
    <w:rsid w:val="00AA0F99"/>
    <w:rsid w:val="00AA12B5"/>
    <w:rsid w:val="00AA1AEB"/>
    <w:rsid w:val="00AA24AC"/>
    <w:rsid w:val="00AA253A"/>
    <w:rsid w:val="00AA295F"/>
    <w:rsid w:val="00AA2B30"/>
    <w:rsid w:val="00AA2C1C"/>
    <w:rsid w:val="00AA30E3"/>
    <w:rsid w:val="00AA30FA"/>
    <w:rsid w:val="00AA3145"/>
    <w:rsid w:val="00AA3198"/>
    <w:rsid w:val="00AA32C5"/>
    <w:rsid w:val="00AA3899"/>
    <w:rsid w:val="00AA3C60"/>
    <w:rsid w:val="00AA3FEA"/>
    <w:rsid w:val="00AA4503"/>
    <w:rsid w:val="00AA4625"/>
    <w:rsid w:val="00AA48D0"/>
    <w:rsid w:val="00AA490B"/>
    <w:rsid w:val="00AA4959"/>
    <w:rsid w:val="00AA4A88"/>
    <w:rsid w:val="00AA5005"/>
    <w:rsid w:val="00AA58A0"/>
    <w:rsid w:val="00AA5DB9"/>
    <w:rsid w:val="00AA611D"/>
    <w:rsid w:val="00AA6549"/>
    <w:rsid w:val="00AA6C66"/>
    <w:rsid w:val="00AA7054"/>
    <w:rsid w:val="00AA7108"/>
    <w:rsid w:val="00AA7400"/>
    <w:rsid w:val="00AA7CBE"/>
    <w:rsid w:val="00AA7FD6"/>
    <w:rsid w:val="00AB0203"/>
    <w:rsid w:val="00AB0BAF"/>
    <w:rsid w:val="00AB18AF"/>
    <w:rsid w:val="00AB1AA0"/>
    <w:rsid w:val="00AB1E03"/>
    <w:rsid w:val="00AB2E53"/>
    <w:rsid w:val="00AB3361"/>
    <w:rsid w:val="00AB36BB"/>
    <w:rsid w:val="00AB3C40"/>
    <w:rsid w:val="00AB3CB3"/>
    <w:rsid w:val="00AB4487"/>
    <w:rsid w:val="00AB44D2"/>
    <w:rsid w:val="00AB5600"/>
    <w:rsid w:val="00AB5647"/>
    <w:rsid w:val="00AB589B"/>
    <w:rsid w:val="00AB5C6F"/>
    <w:rsid w:val="00AB5D28"/>
    <w:rsid w:val="00AB5E12"/>
    <w:rsid w:val="00AB62AB"/>
    <w:rsid w:val="00AB67D1"/>
    <w:rsid w:val="00AB6B61"/>
    <w:rsid w:val="00AB6BCC"/>
    <w:rsid w:val="00AB722B"/>
    <w:rsid w:val="00AB76B9"/>
    <w:rsid w:val="00AB7763"/>
    <w:rsid w:val="00AB78AE"/>
    <w:rsid w:val="00AB7F0F"/>
    <w:rsid w:val="00AB7FC6"/>
    <w:rsid w:val="00AC074A"/>
    <w:rsid w:val="00AC0A36"/>
    <w:rsid w:val="00AC0BDB"/>
    <w:rsid w:val="00AC1245"/>
    <w:rsid w:val="00AC1333"/>
    <w:rsid w:val="00AC140D"/>
    <w:rsid w:val="00AC154C"/>
    <w:rsid w:val="00AC15D2"/>
    <w:rsid w:val="00AC1D71"/>
    <w:rsid w:val="00AC27E3"/>
    <w:rsid w:val="00AC2A25"/>
    <w:rsid w:val="00AC2A7E"/>
    <w:rsid w:val="00AC324F"/>
    <w:rsid w:val="00AC35CF"/>
    <w:rsid w:val="00AC3741"/>
    <w:rsid w:val="00AC3D2C"/>
    <w:rsid w:val="00AC3F52"/>
    <w:rsid w:val="00AC4398"/>
    <w:rsid w:val="00AC4594"/>
    <w:rsid w:val="00AC4B99"/>
    <w:rsid w:val="00AC4DEB"/>
    <w:rsid w:val="00AC4FCA"/>
    <w:rsid w:val="00AC5913"/>
    <w:rsid w:val="00AC5ACA"/>
    <w:rsid w:val="00AC5FE1"/>
    <w:rsid w:val="00AC6171"/>
    <w:rsid w:val="00AC6210"/>
    <w:rsid w:val="00AC62AC"/>
    <w:rsid w:val="00AC65EB"/>
    <w:rsid w:val="00AC6727"/>
    <w:rsid w:val="00AC679B"/>
    <w:rsid w:val="00AC722E"/>
    <w:rsid w:val="00AC7894"/>
    <w:rsid w:val="00AC7B21"/>
    <w:rsid w:val="00AC7B97"/>
    <w:rsid w:val="00AD013D"/>
    <w:rsid w:val="00AD026F"/>
    <w:rsid w:val="00AD07C3"/>
    <w:rsid w:val="00AD105C"/>
    <w:rsid w:val="00AD153B"/>
    <w:rsid w:val="00AD1762"/>
    <w:rsid w:val="00AD19CE"/>
    <w:rsid w:val="00AD1B48"/>
    <w:rsid w:val="00AD2441"/>
    <w:rsid w:val="00AD28FF"/>
    <w:rsid w:val="00AD2A44"/>
    <w:rsid w:val="00AD2ACF"/>
    <w:rsid w:val="00AD2DD7"/>
    <w:rsid w:val="00AD34CB"/>
    <w:rsid w:val="00AD3CF4"/>
    <w:rsid w:val="00AD3DC9"/>
    <w:rsid w:val="00AD4271"/>
    <w:rsid w:val="00AD4800"/>
    <w:rsid w:val="00AD48C3"/>
    <w:rsid w:val="00AD4965"/>
    <w:rsid w:val="00AD4D8D"/>
    <w:rsid w:val="00AD4FAB"/>
    <w:rsid w:val="00AD5E76"/>
    <w:rsid w:val="00AD608F"/>
    <w:rsid w:val="00AD60EE"/>
    <w:rsid w:val="00AD6421"/>
    <w:rsid w:val="00AD6566"/>
    <w:rsid w:val="00AD65CD"/>
    <w:rsid w:val="00AD65DD"/>
    <w:rsid w:val="00AD66A7"/>
    <w:rsid w:val="00AD67FB"/>
    <w:rsid w:val="00AD6B9A"/>
    <w:rsid w:val="00AD7C09"/>
    <w:rsid w:val="00AE0667"/>
    <w:rsid w:val="00AE0A3F"/>
    <w:rsid w:val="00AE0C49"/>
    <w:rsid w:val="00AE10C1"/>
    <w:rsid w:val="00AE1130"/>
    <w:rsid w:val="00AE1296"/>
    <w:rsid w:val="00AE12CB"/>
    <w:rsid w:val="00AE1AE0"/>
    <w:rsid w:val="00AE1DBC"/>
    <w:rsid w:val="00AE206A"/>
    <w:rsid w:val="00AE21F4"/>
    <w:rsid w:val="00AE2268"/>
    <w:rsid w:val="00AE23B4"/>
    <w:rsid w:val="00AE2A71"/>
    <w:rsid w:val="00AE3161"/>
    <w:rsid w:val="00AE466A"/>
    <w:rsid w:val="00AE4726"/>
    <w:rsid w:val="00AE4DB4"/>
    <w:rsid w:val="00AE4E30"/>
    <w:rsid w:val="00AE547B"/>
    <w:rsid w:val="00AE5520"/>
    <w:rsid w:val="00AE5793"/>
    <w:rsid w:val="00AE58B6"/>
    <w:rsid w:val="00AE5A89"/>
    <w:rsid w:val="00AE61D5"/>
    <w:rsid w:val="00AE62CA"/>
    <w:rsid w:val="00AE69C9"/>
    <w:rsid w:val="00AE6E18"/>
    <w:rsid w:val="00AE72AB"/>
    <w:rsid w:val="00AE7720"/>
    <w:rsid w:val="00AF0005"/>
    <w:rsid w:val="00AF05A0"/>
    <w:rsid w:val="00AF083F"/>
    <w:rsid w:val="00AF0856"/>
    <w:rsid w:val="00AF093D"/>
    <w:rsid w:val="00AF0C33"/>
    <w:rsid w:val="00AF1574"/>
    <w:rsid w:val="00AF16C5"/>
    <w:rsid w:val="00AF18E8"/>
    <w:rsid w:val="00AF21B5"/>
    <w:rsid w:val="00AF2482"/>
    <w:rsid w:val="00AF26B4"/>
    <w:rsid w:val="00AF2748"/>
    <w:rsid w:val="00AF296A"/>
    <w:rsid w:val="00AF2AAC"/>
    <w:rsid w:val="00AF2DF7"/>
    <w:rsid w:val="00AF3494"/>
    <w:rsid w:val="00AF3551"/>
    <w:rsid w:val="00AF3A4F"/>
    <w:rsid w:val="00AF4009"/>
    <w:rsid w:val="00AF4313"/>
    <w:rsid w:val="00AF49D7"/>
    <w:rsid w:val="00AF52DC"/>
    <w:rsid w:val="00AF56B5"/>
    <w:rsid w:val="00AF57C0"/>
    <w:rsid w:val="00AF5B03"/>
    <w:rsid w:val="00AF688A"/>
    <w:rsid w:val="00AF6B43"/>
    <w:rsid w:val="00AF6D28"/>
    <w:rsid w:val="00AF7416"/>
    <w:rsid w:val="00AF74C9"/>
    <w:rsid w:val="00AF777E"/>
    <w:rsid w:val="00AF7BEC"/>
    <w:rsid w:val="00AF7DC8"/>
    <w:rsid w:val="00AF7E00"/>
    <w:rsid w:val="00AF7E9E"/>
    <w:rsid w:val="00B00789"/>
    <w:rsid w:val="00B008BB"/>
    <w:rsid w:val="00B00D2B"/>
    <w:rsid w:val="00B00E06"/>
    <w:rsid w:val="00B00E0D"/>
    <w:rsid w:val="00B00E2A"/>
    <w:rsid w:val="00B013AF"/>
    <w:rsid w:val="00B01F3D"/>
    <w:rsid w:val="00B020F5"/>
    <w:rsid w:val="00B022E2"/>
    <w:rsid w:val="00B0244E"/>
    <w:rsid w:val="00B02697"/>
    <w:rsid w:val="00B02BE0"/>
    <w:rsid w:val="00B02BE2"/>
    <w:rsid w:val="00B02E85"/>
    <w:rsid w:val="00B032EB"/>
    <w:rsid w:val="00B03B21"/>
    <w:rsid w:val="00B03C34"/>
    <w:rsid w:val="00B03CC1"/>
    <w:rsid w:val="00B03F08"/>
    <w:rsid w:val="00B04BFB"/>
    <w:rsid w:val="00B04D66"/>
    <w:rsid w:val="00B04EAF"/>
    <w:rsid w:val="00B05044"/>
    <w:rsid w:val="00B05281"/>
    <w:rsid w:val="00B0545D"/>
    <w:rsid w:val="00B055B5"/>
    <w:rsid w:val="00B0571D"/>
    <w:rsid w:val="00B05FAC"/>
    <w:rsid w:val="00B06643"/>
    <w:rsid w:val="00B07712"/>
    <w:rsid w:val="00B0776A"/>
    <w:rsid w:val="00B077D6"/>
    <w:rsid w:val="00B07917"/>
    <w:rsid w:val="00B10015"/>
    <w:rsid w:val="00B10020"/>
    <w:rsid w:val="00B10368"/>
    <w:rsid w:val="00B10374"/>
    <w:rsid w:val="00B10392"/>
    <w:rsid w:val="00B10478"/>
    <w:rsid w:val="00B107C9"/>
    <w:rsid w:val="00B10B09"/>
    <w:rsid w:val="00B10E2D"/>
    <w:rsid w:val="00B114DB"/>
    <w:rsid w:val="00B1169E"/>
    <w:rsid w:val="00B116A7"/>
    <w:rsid w:val="00B11863"/>
    <w:rsid w:val="00B1187A"/>
    <w:rsid w:val="00B11C74"/>
    <w:rsid w:val="00B11CBF"/>
    <w:rsid w:val="00B12409"/>
    <w:rsid w:val="00B12C4C"/>
    <w:rsid w:val="00B12C80"/>
    <w:rsid w:val="00B13489"/>
    <w:rsid w:val="00B134A7"/>
    <w:rsid w:val="00B137D2"/>
    <w:rsid w:val="00B13AD4"/>
    <w:rsid w:val="00B13C24"/>
    <w:rsid w:val="00B13EA0"/>
    <w:rsid w:val="00B146EF"/>
    <w:rsid w:val="00B14A05"/>
    <w:rsid w:val="00B14F3D"/>
    <w:rsid w:val="00B1520A"/>
    <w:rsid w:val="00B1551C"/>
    <w:rsid w:val="00B15523"/>
    <w:rsid w:val="00B15A9B"/>
    <w:rsid w:val="00B16270"/>
    <w:rsid w:val="00B16656"/>
    <w:rsid w:val="00B16CBB"/>
    <w:rsid w:val="00B16CF6"/>
    <w:rsid w:val="00B17375"/>
    <w:rsid w:val="00B1791C"/>
    <w:rsid w:val="00B17BE5"/>
    <w:rsid w:val="00B17EDE"/>
    <w:rsid w:val="00B200DB"/>
    <w:rsid w:val="00B202C5"/>
    <w:rsid w:val="00B20510"/>
    <w:rsid w:val="00B20546"/>
    <w:rsid w:val="00B20B41"/>
    <w:rsid w:val="00B20D7C"/>
    <w:rsid w:val="00B20E6A"/>
    <w:rsid w:val="00B210AA"/>
    <w:rsid w:val="00B210FD"/>
    <w:rsid w:val="00B2124D"/>
    <w:rsid w:val="00B2184A"/>
    <w:rsid w:val="00B22012"/>
    <w:rsid w:val="00B22173"/>
    <w:rsid w:val="00B222DB"/>
    <w:rsid w:val="00B22A5D"/>
    <w:rsid w:val="00B22BEB"/>
    <w:rsid w:val="00B22E3C"/>
    <w:rsid w:val="00B22F3B"/>
    <w:rsid w:val="00B233FC"/>
    <w:rsid w:val="00B234A5"/>
    <w:rsid w:val="00B239F9"/>
    <w:rsid w:val="00B23A38"/>
    <w:rsid w:val="00B23A9A"/>
    <w:rsid w:val="00B23B59"/>
    <w:rsid w:val="00B23F68"/>
    <w:rsid w:val="00B2439C"/>
    <w:rsid w:val="00B24451"/>
    <w:rsid w:val="00B248EF"/>
    <w:rsid w:val="00B249B4"/>
    <w:rsid w:val="00B25636"/>
    <w:rsid w:val="00B259DD"/>
    <w:rsid w:val="00B25A78"/>
    <w:rsid w:val="00B2625A"/>
    <w:rsid w:val="00B266B9"/>
    <w:rsid w:val="00B26763"/>
    <w:rsid w:val="00B26AB1"/>
    <w:rsid w:val="00B274FB"/>
    <w:rsid w:val="00B27525"/>
    <w:rsid w:val="00B27585"/>
    <w:rsid w:val="00B27B38"/>
    <w:rsid w:val="00B27C85"/>
    <w:rsid w:val="00B27CC6"/>
    <w:rsid w:val="00B27F8A"/>
    <w:rsid w:val="00B30055"/>
    <w:rsid w:val="00B3005D"/>
    <w:rsid w:val="00B3038A"/>
    <w:rsid w:val="00B306FF"/>
    <w:rsid w:val="00B30843"/>
    <w:rsid w:val="00B30854"/>
    <w:rsid w:val="00B31B43"/>
    <w:rsid w:val="00B32908"/>
    <w:rsid w:val="00B32D6C"/>
    <w:rsid w:val="00B3310D"/>
    <w:rsid w:val="00B337AA"/>
    <w:rsid w:val="00B337AD"/>
    <w:rsid w:val="00B337DA"/>
    <w:rsid w:val="00B338B3"/>
    <w:rsid w:val="00B33DC6"/>
    <w:rsid w:val="00B33EAF"/>
    <w:rsid w:val="00B34A27"/>
    <w:rsid w:val="00B3508A"/>
    <w:rsid w:val="00B351B0"/>
    <w:rsid w:val="00B35891"/>
    <w:rsid w:val="00B35A64"/>
    <w:rsid w:val="00B35A82"/>
    <w:rsid w:val="00B35CCE"/>
    <w:rsid w:val="00B36388"/>
    <w:rsid w:val="00B36639"/>
    <w:rsid w:val="00B36647"/>
    <w:rsid w:val="00B36A55"/>
    <w:rsid w:val="00B36AC4"/>
    <w:rsid w:val="00B36B51"/>
    <w:rsid w:val="00B36E92"/>
    <w:rsid w:val="00B37071"/>
    <w:rsid w:val="00B37137"/>
    <w:rsid w:val="00B37274"/>
    <w:rsid w:val="00B3730F"/>
    <w:rsid w:val="00B37851"/>
    <w:rsid w:val="00B3788C"/>
    <w:rsid w:val="00B37EA9"/>
    <w:rsid w:val="00B4034B"/>
    <w:rsid w:val="00B4045C"/>
    <w:rsid w:val="00B408B1"/>
    <w:rsid w:val="00B40A97"/>
    <w:rsid w:val="00B40B55"/>
    <w:rsid w:val="00B413E6"/>
    <w:rsid w:val="00B41879"/>
    <w:rsid w:val="00B41946"/>
    <w:rsid w:val="00B41B76"/>
    <w:rsid w:val="00B41E0C"/>
    <w:rsid w:val="00B4203E"/>
    <w:rsid w:val="00B42E93"/>
    <w:rsid w:val="00B42F90"/>
    <w:rsid w:val="00B43675"/>
    <w:rsid w:val="00B436A7"/>
    <w:rsid w:val="00B43873"/>
    <w:rsid w:val="00B44272"/>
    <w:rsid w:val="00B44CDD"/>
    <w:rsid w:val="00B44EF2"/>
    <w:rsid w:val="00B46397"/>
    <w:rsid w:val="00B468DB"/>
    <w:rsid w:val="00B46AAF"/>
    <w:rsid w:val="00B47030"/>
    <w:rsid w:val="00B4709F"/>
    <w:rsid w:val="00B4761D"/>
    <w:rsid w:val="00B4765B"/>
    <w:rsid w:val="00B5024B"/>
    <w:rsid w:val="00B50B38"/>
    <w:rsid w:val="00B50D99"/>
    <w:rsid w:val="00B50F3C"/>
    <w:rsid w:val="00B51404"/>
    <w:rsid w:val="00B51A5E"/>
    <w:rsid w:val="00B51B84"/>
    <w:rsid w:val="00B51FBA"/>
    <w:rsid w:val="00B5225C"/>
    <w:rsid w:val="00B52284"/>
    <w:rsid w:val="00B5231B"/>
    <w:rsid w:val="00B524F0"/>
    <w:rsid w:val="00B52830"/>
    <w:rsid w:val="00B53182"/>
    <w:rsid w:val="00B53950"/>
    <w:rsid w:val="00B53D4A"/>
    <w:rsid w:val="00B5418D"/>
    <w:rsid w:val="00B54B6E"/>
    <w:rsid w:val="00B54F45"/>
    <w:rsid w:val="00B54F60"/>
    <w:rsid w:val="00B55649"/>
    <w:rsid w:val="00B55A01"/>
    <w:rsid w:val="00B56044"/>
    <w:rsid w:val="00B56782"/>
    <w:rsid w:val="00B56BEF"/>
    <w:rsid w:val="00B57237"/>
    <w:rsid w:val="00B573A6"/>
    <w:rsid w:val="00B5762D"/>
    <w:rsid w:val="00B5764D"/>
    <w:rsid w:val="00B57971"/>
    <w:rsid w:val="00B5799D"/>
    <w:rsid w:val="00B57A77"/>
    <w:rsid w:val="00B603F8"/>
    <w:rsid w:val="00B6045F"/>
    <w:rsid w:val="00B60603"/>
    <w:rsid w:val="00B6096A"/>
    <w:rsid w:val="00B60B17"/>
    <w:rsid w:val="00B61003"/>
    <w:rsid w:val="00B6102F"/>
    <w:rsid w:val="00B612D1"/>
    <w:rsid w:val="00B61E84"/>
    <w:rsid w:val="00B6276E"/>
    <w:rsid w:val="00B62C59"/>
    <w:rsid w:val="00B63620"/>
    <w:rsid w:val="00B63B3B"/>
    <w:rsid w:val="00B642DE"/>
    <w:rsid w:val="00B649E6"/>
    <w:rsid w:val="00B64F23"/>
    <w:rsid w:val="00B6518C"/>
    <w:rsid w:val="00B65671"/>
    <w:rsid w:val="00B656A2"/>
    <w:rsid w:val="00B65A46"/>
    <w:rsid w:val="00B65E8F"/>
    <w:rsid w:val="00B6608A"/>
    <w:rsid w:val="00B6646F"/>
    <w:rsid w:val="00B6655C"/>
    <w:rsid w:val="00B66578"/>
    <w:rsid w:val="00B66B87"/>
    <w:rsid w:val="00B67068"/>
    <w:rsid w:val="00B670BF"/>
    <w:rsid w:val="00B67355"/>
    <w:rsid w:val="00B6735B"/>
    <w:rsid w:val="00B6763F"/>
    <w:rsid w:val="00B6787C"/>
    <w:rsid w:val="00B67AB2"/>
    <w:rsid w:val="00B705EB"/>
    <w:rsid w:val="00B70775"/>
    <w:rsid w:val="00B708F9"/>
    <w:rsid w:val="00B7104B"/>
    <w:rsid w:val="00B7166E"/>
    <w:rsid w:val="00B71702"/>
    <w:rsid w:val="00B717B3"/>
    <w:rsid w:val="00B72262"/>
    <w:rsid w:val="00B7292E"/>
    <w:rsid w:val="00B729D6"/>
    <w:rsid w:val="00B72BA6"/>
    <w:rsid w:val="00B730B3"/>
    <w:rsid w:val="00B733E5"/>
    <w:rsid w:val="00B73562"/>
    <w:rsid w:val="00B735D3"/>
    <w:rsid w:val="00B73694"/>
    <w:rsid w:val="00B737DD"/>
    <w:rsid w:val="00B741D5"/>
    <w:rsid w:val="00B74757"/>
    <w:rsid w:val="00B748AC"/>
    <w:rsid w:val="00B748D7"/>
    <w:rsid w:val="00B7490B"/>
    <w:rsid w:val="00B74950"/>
    <w:rsid w:val="00B749AE"/>
    <w:rsid w:val="00B74C85"/>
    <w:rsid w:val="00B754C9"/>
    <w:rsid w:val="00B757B8"/>
    <w:rsid w:val="00B75A97"/>
    <w:rsid w:val="00B75CD4"/>
    <w:rsid w:val="00B7725E"/>
    <w:rsid w:val="00B7729E"/>
    <w:rsid w:val="00B7755F"/>
    <w:rsid w:val="00B77758"/>
    <w:rsid w:val="00B77BC3"/>
    <w:rsid w:val="00B77CAD"/>
    <w:rsid w:val="00B77F56"/>
    <w:rsid w:val="00B800DA"/>
    <w:rsid w:val="00B8017D"/>
    <w:rsid w:val="00B801AD"/>
    <w:rsid w:val="00B808FD"/>
    <w:rsid w:val="00B80F1D"/>
    <w:rsid w:val="00B80F6A"/>
    <w:rsid w:val="00B80FC5"/>
    <w:rsid w:val="00B8128B"/>
    <w:rsid w:val="00B812EB"/>
    <w:rsid w:val="00B812FB"/>
    <w:rsid w:val="00B816BC"/>
    <w:rsid w:val="00B81C0A"/>
    <w:rsid w:val="00B81C28"/>
    <w:rsid w:val="00B8205F"/>
    <w:rsid w:val="00B820A5"/>
    <w:rsid w:val="00B821F7"/>
    <w:rsid w:val="00B82A18"/>
    <w:rsid w:val="00B834CC"/>
    <w:rsid w:val="00B83D08"/>
    <w:rsid w:val="00B8400D"/>
    <w:rsid w:val="00B84779"/>
    <w:rsid w:val="00B84825"/>
    <w:rsid w:val="00B853F0"/>
    <w:rsid w:val="00B85C5A"/>
    <w:rsid w:val="00B85DF3"/>
    <w:rsid w:val="00B85E9D"/>
    <w:rsid w:val="00B86251"/>
    <w:rsid w:val="00B862A9"/>
    <w:rsid w:val="00B862F2"/>
    <w:rsid w:val="00B86383"/>
    <w:rsid w:val="00B877DE"/>
    <w:rsid w:val="00B87800"/>
    <w:rsid w:val="00B87804"/>
    <w:rsid w:val="00B87863"/>
    <w:rsid w:val="00B87FBD"/>
    <w:rsid w:val="00B9016C"/>
    <w:rsid w:val="00B906C6"/>
    <w:rsid w:val="00B90B07"/>
    <w:rsid w:val="00B90B4D"/>
    <w:rsid w:val="00B90C17"/>
    <w:rsid w:val="00B90CA0"/>
    <w:rsid w:val="00B90D4B"/>
    <w:rsid w:val="00B90E6B"/>
    <w:rsid w:val="00B911E3"/>
    <w:rsid w:val="00B9125D"/>
    <w:rsid w:val="00B9170F"/>
    <w:rsid w:val="00B917E1"/>
    <w:rsid w:val="00B91A3B"/>
    <w:rsid w:val="00B91B65"/>
    <w:rsid w:val="00B91B93"/>
    <w:rsid w:val="00B927B7"/>
    <w:rsid w:val="00B92B23"/>
    <w:rsid w:val="00B930A3"/>
    <w:rsid w:val="00B933EF"/>
    <w:rsid w:val="00B93980"/>
    <w:rsid w:val="00B93A43"/>
    <w:rsid w:val="00B93DCF"/>
    <w:rsid w:val="00B93E03"/>
    <w:rsid w:val="00B93E73"/>
    <w:rsid w:val="00B94958"/>
    <w:rsid w:val="00B953AE"/>
    <w:rsid w:val="00B95850"/>
    <w:rsid w:val="00B95FF7"/>
    <w:rsid w:val="00B96745"/>
    <w:rsid w:val="00B96802"/>
    <w:rsid w:val="00B97FC7"/>
    <w:rsid w:val="00BA0268"/>
    <w:rsid w:val="00BA048B"/>
    <w:rsid w:val="00BA0B9E"/>
    <w:rsid w:val="00BA0F5C"/>
    <w:rsid w:val="00BA1139"/>
    <w:rsid w:val="00BA12FA"/>
    <w:rsid w:val="00BA16DD"/>
    <w:rsid w:val="00BA1F5F"/>
    <w:rsid w:val="00BA1FFD"/>
    <w:rsid w:val="00BA2347"/>
    <w:rsid w:val="00BA24A5"/>
    <w:rsid w:val="00BA2578"/>
    <w:rsid w:val="00BA2707"/>
    <w:rsid w:val="00BA33CD"/>
    <w:rsid w:val="00BA3670"/>
    <w:rsid w:val="00BA38DB"/>
    <w:rsid w:val="00BA38E9"/>
    <w:rsid w:val="00BA396E"/>
    <w:rsid w:val="00BA3F8A"/>
    <w:rsid w:val="00BA4041"/>
    <w:rsid w:val="00BA41E6"/>
    <w:rsid w:val="00BA45E2"/>
    <w:rsid w:val="00BA5931"/>
    <w:rsid w:val="00BA6068"/>
    <w:rsid w:val="00BA6388"/>
    <w:rsid w:val="00BA6B4E"/>
    <w:rsid w:val="00BA6E00"/>
    <w:rsid w:val="00BA6E13"/>
    <w:rsid w:val="00BA71A1"/>
    <w:rsid w:val="00BA7621"/>
    <w:rsid w:val="00BA7A23"/>
    <w:rsid w:val="00BB0A2E"/>
    <w:rsid w:val="00BB0D03"/>
    <w:rsid w:val="00BB0E51"/>
    <w:rsid w:val="00BB0E60"/>
    <w:rsid w:val="00BB133F"/>
    <w:rsid w:val="00BB15FB"/>
    <w:rsid w:val="00BB17DE"/>
    <w:rsid w:val="00BB1D9C"/>
    <w:rsid w:val="00BB1DDE"/>
    <w:rsid w:val="00BB20CB"/>
    <w:rsid w:val="00BB2113"/>
    <w:rsid w:val="00BB2400"/>
    <w:rsid w:val="00BB25E2"/>
    <w:rsid w:val="00BB261B"/>
    <w:rsid w:val="00BB2811"/>
    <w:rsid w:val="00BB29A9"/>
    <w:rsid w:val="00BB29E1"/>
    <w:rsid w:val="00BB2FC1"/>
    <w:rsid w:val="00BB30D5"/>
    <w:rsid w:val="00BB30F9"/>
    <w:rsid w:val="00BB3161"/>
    <w:rsid w:val="00BB318F"/>
    <w:rsid w:val="00BB39B4"/>
    <w:rsid w:val="00BB3AA9"/>
    <w:rsid w:val="00BB3E9D"/>
    <w:rsid w:val="00BB3F5C"/>
    <w:rsid w:val="00BB3FAE"/>
    <w:rsid w:val="00BB4624"/>
    <w:rsid w:val="00BB48D1"/>
    <w:rsid w:val="00BB49F2"/>
    <w:rsid w:val="00BB4E72"/>
    <w:rsid w:val="00BB51C2"/>
    <w:rsid w:val="00BB5206"/>
    <w:rsid w:val="00BB5407"/>
    <w:rsid w:val="00BB55A2"/>
    <w:rsid w:val="00BB5602"/>
    <w:rsid w:val="00BB65EB"/>
    <w:rsid w:val="00BB6C33"/>
    <w:rsid w:val="00BB6E03"/>
    <w:rsid w:val="00BB6E81"/>
    <w:rsid w:val="00BC1B85"/>
    <w:rsid w:val="00BC23B1"/>
    <w:rsid w:val="00BC2690"/>
    <w:rsid w:val="00BC2818"/>
    <w:rsid w:val="00BC2A90"/>
    <w:rsid w:val="00BC2E45"/>
    <w:rsid w:val="00BC31A0"/>
    <w:rsid w:val="00BC3396"/>
    <w:rsid w:val="00BC35F4"/>
    <w:rsid w:val="00BC3CA0"/>
    <w:rsid w:val="00BC3D95"/>
    <w:rsid w:val="00BC421C"/>
    <w:rsid w:val="00BC42D8"/>
    <w:rsid w:val="00BC4841"/>
    <w:rsid w:val="00BC5575"/>
    <w:rsid w:val="00BC57A4"/>
    <w:rsid w:val="00BC5D5C"/>
    <w:rsid w:val="00BC6015"/>
    <w:rsid w:val="00BC6049"/>
    <w:rsid w:val="00BC6591"/>
    <w:rsid w:val="00BC67BE"/>
    <w:rsid w:val="00BC6A76"/>
    <w:rsid w:val="00BC7476"/>
    <w:rsid w:val="00BC7485"/>
    <w:rsid w:val="00BC7AAE"/>
    <w:rsid w:val="00BC7C29"/>
    <w:rsid w:val="00BC7E65"/>
    <w:rsid w:val="00BD040F"/>
    <w:rsid w:val="00BD0463"/>
    <w:rsid w:val="00BD067A"/>
    <w:rsid w:val="00BD0824"/>
    <w:rsid w:val="00BD0ADE"/>
    <w:rsid w:val="00BD1380"/>
    <w:rsid w:val="00BD1568"/>
    <w:rsid w:val="00BD1A06"/>
    <w:rsid w:val="00BD1B3F"/>
    <w:rsid w:val="00BD1B7D"/>
    <w:rsid w:val="00BD2357"/>
    <w:rsid w:val="00BD2470"/>
    <w:rsid w:val="00BD2514"/>
    <w:rsid w:val="00BD25A2"/>
    <w:rsid w:val="00BD28B1"/>
    <w:rsid w:val="00BD2934"/>
    <w:rsid w:val="00BD2FB9"/>
    <w:rsid w:val="00BD325C"/>
    <w:rsid w:val="00BD3338"/>
    <w:rsid w:val="00BD3584"/>
    <w:rsid w:val="00BD3634"/>
    <w:rsid w:val="00BD3A85"/>
    <w:rsid w:val="00BD3C16"/>
    <w:rsid w:val="00BD3D54"/>
    <w:rsid w:val="00BD3D9F"/>
    <w:rsid w:val="00BD3DC3"/>
    <w:rsid w:val="00BD4400"/>
    <w:rsid w:val="00BD46A4"/>
    <w:rsid w:val="00BD48B6"/>
    <w:rsid w:val="00BD4C92"/>
    <w:rsid w:val="00BD54ED"/>
    <w:rsid w:val="00BD55C3"/>
    <w:rsid w:val="00BD5B77"/>
    <w:rsid w:val="00BD5F92"/>
    <w:rsid w:val="00BD61E3"/>
    <w:rsid w:val="00BD627F"/>
    <w:rsid w:val="00BD6331"/>
    <w:rsid w:val="00BD6CCC"/>
    <w:rsid w:val="00BD7331"/>
    <w:rsid w:val="00BD73C3"/>
    <w:rsid w:val="00BD772C"/>
    <w:rsid w:val="00BD79E7"/>
    <w:rsid w:val="00BE0004"/>
    <w:rsid w:val="00BE00AB"/>
    <w:rsid w:val="00BE0142"/>
    <w:rsid w:val="00BE0370"/>
    <w:rsid w:val="00BE0541"/>
    <w:rsid w:val="00BE0542"/>
    <w:rsid w:val="00BE05DB"/>
    <w:rsid w:val="00BE0678"/>
    <w:rsid w:val="00BE0D5B"/>
    <w:rsid w:val="00BE0F33"/>
    <w:rsid w:val="00BE0F8B"/>
    <w:rsid w:val="00BE10F0"/>
    <w:rsid w:val="00BE12CE"/>
    <w:rsid w:val="00BE17BC"/>
    <w:rsid w:val="00BE1B40"/>
    <w:rsid w:val="00BE1CFD"/>
    <w:rsid w:val="00BE289A"/>
    <w:rsid w:val="00BE28EB"/>
    <w:rsid w:val="00BE3074"/>
    <w:rsid w:val="00BE34B9"/>
    <w:rsid w:val="00BE35DF"/>
    <w:rsid w:val="00BE38C1"/>
    <w:rsid w:val="00BE399E"/>
    <w:rsid w:val="00BE3A38"/>
    <w:rsid w:val="00BE3CE7"/>
    <w:rsid w:val="00BE4831"/>
    <w:rsid w:val="00BE50D2"/>
    <w:rsid w:val="00BE515E"/>
    <w:rsid w:val="00BE54E7"/>
    <w:rsid w:val="00BE5650"/>
    <w:rsid w:val="00BE56E1"/>
    <w:rsid w:val="00BE583F"/>
    <w:rsid w:val="00BE5B4F"/>
    <w:rsid w:val="00BE5FE6"/>
    <w:rsid w:val="00BE623E"/>
    <w:rsid w:val="00BE6572"/>
    <w:rsid w:val="00BE69C3"/>
    <w:rsid w:val="00BE6B11"/>
    <w:rsid w:val="00BE6D38"/>
    <w:rsid w:val="00BE6FF6"/>
    <w:rsid w:val="00BE742D"/>
    <w:rsid w:val="00BE7ADC"/>
    <w:rsid w:val="00BF0574"/>
    <w:rsid w:val="00BF07B7"/>
    <w:rsid w:val="00BF0A54"/>
    <w:rsid w:val="00BF0E3D"/>
    <w:rsid w:val="00BF0F8A"/>
    <w:rsid w:val="00BF103E"/>
    <w:rsid w:val="00BF1796"/>
    <w:rsid w:val="00BF1E7A"/>
    <w:rsid w:val="00BF23EA"/>
    <w:rsid w:val="00BF26F1"/>
    <w:rsid w:val="00BF290D"/>
    <w:rsid w:val="00BF2B12"/>
    <w:rsid w:val="00BF3C27"/>
    <w:rsid w:val="00BF3F04"/>
    <w:rsid w:val="00BF44B8"/>
    <w:rsid w:val="00BF48A1"/>
    <w:rsid w:val="00BF4DE8"/>
    <w:rsid w:val="00BF5514"/>
    <w:rsid w:val="00BF5672"/>
    <w:rsid w:val="00BF5960"/>
    <w:rsid w:val="00BF5F59"/>
    <w:rsid w:val="00BF6028"/>
    <w:rsid w:val="00BF65FE"/>
    <w:rsid w:val="00BF6876"/>
    <w:rsid w:val="00BF6AFE"/>
    <w:rsid w:val="00BF6C6D"/>
    <w:rsid w:val="00BF7120"/>
    <w:rsid w:val="00BF7BC3"/>
    <w:rsid w:val="00BF7D20"/>
    <w:rsid w:val="00BF7DC6"/>
    <w:rsid w:val="00BF7F3D"/>
    <w:rsid w:val="00BF7FB7"/>
    <w:rsid w:val="00C0019E"/>
    <w:rsid w:val="00C00838"/>
    <w:rsid w:val="00C00B62"/>
    <w:rsid w:val="00C00F13"/>
    <w:rsid w:val="00C019BB"/>
    <w:rsid w:val="00C01F2F"/>
    <w:rsid w:val="00C02069"/>
    <w:rsid w:val="00C02239"/>
    <w:rsid w:val="00C025A7"/>
    <w:rsid w:val="00C02F52"/>
    <w:rsid w:val="00C03552"/>
    <w:rsid w:val="00C03C55"/>
    <w:rsid w:val="00C03CD7"/>
    <w:rsid w:val="00C0412B"/>
    <w:rsid w:val="00C047C6"/>
    <w:rsid w:val="00C04ADD"/>
    <w:rsid w:val="00C0524C"/>
    <w:rsid w:val="00C053E0"/>
    <w:rsid w:val="00C05454"/>
    <w:rsid w:val="00C05499"/>
    <w:rsid w:val="00C054EE"/>
    <w:rsid w:val="00C057E1"/>
    <w:rsid w:val="00C06A8E"/>
    <w:rsid w:val="00C06ADB"/>
    <w:rsid w:val="00C06B5B"/>
    <w:rsid w:val="00C070C7"/>
    <w:rsid w:val="00C07201"/>
    <w:rsid w:val="00C072CC"/>
    <w:rsid w:val="00C0739B"/>
    <w:rsid w:val="00C075E3"/>
    <w:rsid w:val="00C10039"/>
    <w:rsid w:val="00C101DB"/>
    <w:rsid w:val="00C106A5"/>
    <w:rsid w:val="00C111B6"/>
    <w:rsid w:val="00C11254"/>
    <w:rsid w:val="00C1171A"/>
    <w:rsid w:val="00C11908"/>
    <w:rsid w:val="00C11F83"/>
    <w:rsid w:val="00C1204D"/>
    <w:rsid w:val="00C12432"/>
    <w:rsid w:val="00C125EA"/>
    <w:rsid w:val="00C12AB7"/>
    <w:rsid w:val="00C12E8B"/>
    <w:rsid w:val="00C12F61"/>
    <w:rsid w:val="00C1322A"/>
    <w:rsid w:val="00C135DB"/>
    <w:rsid w:val="00C138A1"/>
    <w:rsid w:val="00C13CED"/>
    <w:rsid w:val="00C1420E"/>
    <w:rsid w:val="00C1438D"/>
    <w:rsid w:val="00C1477D"/>
    <w:rsid w:val="00C149EB"/>
    <w:rsid w:val="00C15D9F"/>
    <w:rsid w:val="00C15E2D"/>
    <w:rsid w:val="00C1651E"/>
    <w:rsid w:val="00C16763"/>
    <w:rsid w:val="00C16A63"/>
    <w:rsid w:val="00C16CBD"/>
    <w:rsid w:val="00C171AB"/>
    <w:rsid w:val="00C173D1"/>
    <w:rsid w:val="00C20DBD"/>
    <w:rsid w:val="00C20DBE"/>
    <w:rsid w:val="00C210B1"/>
    <w:rsid w:val="00C2145D"/>
    <w:rsid w:val="00C215AF"/>
    <w:rsid w:val="00C21997"/>
    <w:rsid w:val="00C2224F"/>
    <w:rsid w:val="00C2247F"/>
    <w:rsid w:val="00C227AA"/>
    <w:rsid w:val="00C229C6"/>
    <w:rsid w:val="00C233E4"/>
    <w:rsid w:val="00C2372D"/>
    <w:rsid w:val="00C23AE5"/>
    <w:rsid w:val="00C23DBF"/>
    <w:rsid w:val="00C2404B"/>
    <w:rsid w:val="00C248DE"/>
    <w:rsid w:val="00C24E67"/>
    <w:rsid w:val="00C24EC9"/>
    <w:rsid w:val="00C24FA4"/>
    <w:rsid w:val="00C251E1"/>
    <w:rsid w:val="00C25E33"/>
    <w:rsid w:val="00C2617B"/>
    <w:rsid w:val="00C268AD"/>
    <w:rsid w:val="00C268CC"/>
    <w:rsid w:val="00C26AD6"/>
    <w:rsid w:val="00C27191"/>
    <w:rsid w:val="00C27FDA"/>
    <w:rsid w:val="00C3024C"/>
    <w:rsid w:val="00C30F6B"/>
    <w:rsid w:val="00C30FA0"/>
    <w:rsid w:val="00C31329"/>
    <w:rsid w:val="00C31478"/>
    <w:rsid w:val="00C31527"/>
    <w:rsid w:val="00C322D2"/>
    <w:rsid w:val="00C3294D"/>
    <w:rsid w:val="00C3298E"/>
    <w:rsid w:val="00C333A6"/>
    <w:rsid w:val="00C336F6"/>
    <w:rsid w:val="00C3374D"/>
    <w:rsid w:val="00C33761"/>
    <w:rsid w:val="00C33D01"/>
    <w:rsid w:val="00C33F68"/>
    <w:rsid w:val="00C344FA"/>
    <w:rsid w:val="00C34DD2"/>
    <w:rsid w:val="00C35557"/>
    <w:rsid w:val="00C35D12"/>
    <w:rsid w:val="00C35D43"/>
    <w:rsid w:val="00C3613A"/>
    <w:rsid w:val="00C3630C"/>
    <w:rsid w:val="00C36842"/>
    <w:rsid w:val="00C368F7"/>
    <w:rsid w:val="00C3696C"/>
    <w:rsid w:val="00C36AB8"/>
    <w:rsid w:val="00C36AFD"/>
    <w:rsid w:val="00C36F5A"/>
    <w:rsid w:val="00C372DA"/>
    <w:rsid w:val="00C3730E"/>
    <w:rsid w:val="00C3732A"/>
    <w:rsid w:val="00C37BDE"/>
    <w:rsid w:val="00C37CC3"/>
    <w:rsid w:val="00C4020C"/>
    <w:rsid w:val="00C40A46"/>
    <w:rsid w:val="00C40D36"/>
    <w:rsid w:val="00C4166E"/>
    <w:rsid w:val="00C41817"/>
    <w:rsid w:val="00C418A3"/>
    <w:rsid w:val="00C424A4"/>
    <w:rsid w:val="00C425F2"/>
    <w:rsid w:val="00C42637"/>
    <w:rsid w:val="00C43279"/>
    <w:rsid w:val="00C435BE"/>
    <w:rsid w:val="00C436BA"/>
    <w:rsid w:val="00C44779"/>
    <w:rsid w:val="00C44CB3"/>
    <w:rsid w:val="00C44DC8"/>
    <w:rsid w:val="00C45383"/>
    <w:rsid w:val="00C45F90"/>
    <w:rsid w:val="00C462A5"/>
    <w:rsid w:val="00C462B4"/>
    <w:rsid w:val="00C4642B"/>
    <w:rsid w:val="00C464C6"/>
    <w:rsid w:val="00C465F7"/>
    <w:rsid w:val="00C46A2E"/>
    <w:rsid w:val="00C46A8B"/>
    <w:rsid w:val="00C473D6"/>
    <w:rsid w:val="00C474DD"/>
    <w:rsid w:val="00C475D1"/>
    <w:rsid w:val="00C47C2D"/>
    <w:rsid w:val="00C47CDE"/>
    <w:rsid w:val="00C47E92"/>
    <w:rsid w:val="00C50187"/>
    <w:rsid w:val="00C50327"/>
    <w:rsid w:val="00C50377"/>
    <w:rsid w:val="00C50980"/>
    <w:rsid w:val="00C50BC3"/>
    <w:rsid w:val="00C5131E"/>
    <w:rsid w:val="00C51412"/>
    <w:rsid w:val="00C51498"/>
    <w:rsid w:val="00C517C0"/>
    <w:rsid w:val="00C51859"/>
    <w:rsid w:val="00C51910"/>
    <w:rsid w:val="00C52796"/>
    <w:rsid w:val="00C528A9"/>
    <w:rsid w:val="00C52904"/>
    <w:rsid w:val="00C52970"/>
    <w:rsid w:val="00C52B58"/>
    <w:rsid w:val="00C52C66"/>
    <w:rsid w:val="00C53783"/>
    <w:rsid w:val="00C53F9D"/>
    <w:rsid w:val="00C5424F"/>
    <w:rsid w:val="00C54443"/>
    <w:rsid w:val="00C54445"/>
    <w:rsid w:val="00C5454A"/>
    <w:rsid w:val="00C54573"/>
    <w:rsid w:val="00C54642"/>
    <w:rsid w:val="00C554F6"/>
    <w:rsid w:val="00C55CF6"/>
    <w:rsid w:val="00C56227"/>
    <w:rsid w:val="00C562B6"/>
    <w:rsid w:val="00C565D2"/>
    <w:rsid w:val="00C56C44"/>
    <w:rsid w:val="00C56DFC"/>
    <w:rsid w:val="00C572A1"/>
    <w:rsid w:val="00C57979"/>
    <w:rsid w:val="00C60106"/>
    <w:rsid w:val="00C60164"/>
    <w:rsid w:val="00C60166"/>
    <w:rsid w:val="00C60453"/>
    <w:rsid w:val="00C6086E"/>
    <w:rsid w:val="00C60B14"/>
    <w:rsid w:val="00C61534"/>
    <w:rsid w:val="00C617E3"/>
    <w:rsid w:val="00C61B85"/>
    <w:rsid w:val="00C61DD3"/>
    <w:rsid w:val="00C6208A"/>
    <w:rsid w:val="00C62CB2"/>
    <w:rsid w:val="00C62DD7"/>
    <w:rsid w:val="00C633CE"/>
    <w:rsid w:val="00C63706"/>
    <w:rsid w:val="00C638C6"/>
    <w:rsid w:val="00C63A8C"/>
    <w:rsid w:val="00C63BD1"/>
    <w:rsid w:val="00C63CDF"/>
    <w:rsid w:val="00C64692"/>
    <w:rsid w:val="00C646FE"/>
    <w:rsid w:val="00C6482B"/>
    <w:rsid w:val="00C65F8A"/>
    <w:rsid w:val="00C660E2"/>
    <w:rsid w:val="00C6611F"/>
    <w:rsid w:val="00C6625E"/>
    <w:rsid w:val="00C66400"/>
    <w:rsid w:val="00C669E8"/>
    <w:rsid w:val="00C66C2C"/>
    <w:rsid w:val="00C66EA8"/>
    <w:rsid w:val="00C66EB2"/>
    <w:rsid w:val="00C6741D"/>
    <w:rsid w:val="00C674BE"/>
    <w:rsid w:val="00C67873"/>
    <w:rsid w:val="00C67CD7"/>
    <w:rsid w:val="00C67FD0"/>
    <w:rsid w:val="00C70093"/>
    <w:rsid w:val="00C70A21"/>
    <w:rsid w:val="00C70B80"/>
    <w:rsid w:val="00C70E19"/>
    <w:rsid w:val="00C710F8"/>
    <w:rsid w:val="00C71340"/>
    <w:rsid w:val="00C71757"/>
    <w:rsid w:val="00C718FF"/>
    <w:rsid w:val="00C71D92"/>
    <w:rsid w:val="00C726AB"/>
    <w:rsid w:val="00C72D4A"/>
    <w:rsid w:val="00C730B4"/>
    <w:rsid w:val="00C73126"/>
    <w:rsid w:val="00C73BA6"/>
    <w:rsid w:val="00C742B1"/>
    <w:rsid w:val="00C74AD7"/>
    <w:rsid w:val="00C74B5B"/>
    <w:rsid w:val="00C750A8"/>
    <w:rsid w:val="00C7537C"/>
    <w:rsid w:val="00C753C5"/>
    <w:rsid w:val="00C7615C"/>
    <w:rsid w:val="00C762E5"/>
    <w:rsid w:val="00C76DB4"/>
    <w:rsid w:val="00C775A2"/>
    <w:rsid w:val="00C775C1"/>
    <w:rsid w:val="00C775E1"/>
    <w:rsid w:val="00C77B20"/>
    <w:rsid w:val="00C77E2D"/>
    <w:rsid w:val="00C77FB8"/>
    <w:rsid w:val="00C80321"/>
    <w:rsid w:val="00C80480"/>
    <w:rsid w:val="00C812BE"/>
    <w:rsid w:val="00C813A1"/>
    <w:rsid w:val="00C813C1"/>
    <w:rsid w:val="00C81508"/>
    <w:rsid w:val="00C815B2"/>
    <w:rsid w:val="00C818D4"/>
    <w:rsid w:val="00C81C96"/>
    <w:rsid w:val="00C82207"/>
    <w:rsid w:val="00C822B8"/>
    <w:rsid w:val="00C82C19"/>
    <w:rsid w:val="00C83081"/>
    <w:rsid w:val="00C8380A"/>
    <w:rsid w:val="00C83BED"/>
    <w:rsid w:val="00C83E6E"/>
    <w:rsid w:val="00C84595"/>
    <w:rsid w:val="00C84993"/>
    <w:rsid w:val="00C84AF1"/>
    <w:rsid w:val="00C84F09"/>
    <w:rsid w:val="00C84F6D"/>
    <w:rsid w:val="00C85DC4"/>
    <w:rsid w:val="00C8607D"/>
    <w:rsid w:val="00C860EA"/>
    <w:rsid w:val="00C862EC"/>
    <w:rsid w:val="00C8674B"/>
    <w:rsid w:val="00C86B42"/>
    <w:rsid w:val="00C86EDF"/>
    <w:rsid w:val="00C86FC6"/>
    <w:rsid w:val="00C87194"/>
    <w:rsid w:val="00C874CC"/>
    <w:rsid w:val="00C906F5"/>
    <w:rsid w:val="00C912AD"/>
    <w:rsid w:val="00C91CCB"/>
    <w:rsid w:val="00C91E0C"/>
    <w:rsid w:val="00C92A64"/>
    <w:rsid w:val="00C92CC3"/>
    <w:rsid w:val="00C9317D"/>
    <w:rsid w:val="00C931E9"/>
    <w:rsid w:val="00C933DD"/>
    <w:rsid w:val="00C93461"/>
    <w:rsid w:val="00C93764"/>
    <w:rsid w:val="00C9398D"/>
    <w:rsid w:val="00C94700"/>
    <w:rsid w:val="00C94D4D"/>
    <w:rsid w:val="00C94DE0"/>
    <w:rsid w:val="00C94FFE"/>
    <w:rsid w:val="00C954C2"/>
    <w:rsid w:val="00C963BC"/>
    <w:rsid w:val="00C964C6"/>
    <w:rsid w:val="00C965CA"/>
    <w:rsid w:val="00C968DA"/>
    <w:rsid w:val="00C968F0"/>
    <w:rsid w:val="00C969C5"/>
    <w:rsid w:val="00C96A18"/>
    <w:rsid w:val="00C96BA1"/>
    <w:rsid w:val="00C96E99"/>
    <w:rsid w:val="00C96FD6"/>
    <w:rsid w:val="00C97130"/>
    <w:rsid w:val="00C97214"/>
    <w:rsid w:val="00C97353"/>
    <w:rsid w:val="00C97ADC"/>
    <w:rsid w:val="00C97EC4"/>
    <w:rsid w:val="00CA0371"/>
    <w:rsid w:val="00CA06FB"/>
    <w:rsid w:val="00CA078F"/>
    <w:rsid w:val="00CA0898"/>
    <w:rsid w:val="00CA08B0"/>
    <w:rsid w:val="00CA0A86"/>
    <w:rsid w:val="00CA0AF0"/>
    <w:rsid w:val="00CA116C"/>
    <w:rsid w:val="00CA11D0"/>
    <w:rsid w:val="00CA12F0"/>
    <w:rsid w:val="00CA1662"/>
    <w:rsid w:val="00CA18BF"/>
    <w:rsid w:val="00CA1A7C"/>
    <w:rsid w:val="00CA1BBA"/>
    <w:rsid w:val="00CA1FF1"/>
    <w:rsid w:val="00CA20DE"/>
    <w:rsid w:val="00CA21C6"/>
    <w:rsid w:val="00CA26C4"/>
    <w:rsid w:val="00CA2936"/>
    <w:rsid w:val="00CA2E8D"/>
    <w:rsid w:val="00CA2F28"/>
    <w:rsid w:val="00CA2F4B"/>
    <w:rsid w:val="00CA37AB"/>
    <w:rsid w:val="00CA3826"/>
    <w:rsid w:val="00CA38A7"/>
    <w:rsid w:val="00CA4563"/>
    <w:rsid w:val="00CA485B"/>
    <w:rsid w:val="00CA4A40"/>
    <w:rsid w:val="00CA4B1E"/>
    <w:rsid w:val="00CA4B2C"/>
    <w:rsid w:val="00CA4CAE"/>
    <w:rsid w:val="00CA4D2A"/>
    <w:rsid w:val="00CA4E8D"/>
    <w:rsid w:val="00CA5521"/>
    <w:rsid w:val="00CA5B2B"/>
    <w:rsid w:val="00CA5FFB"/>
    <w:rsid w:val="00CA64E1"/>
    <w:rsid w:val="00CA668F"/>
    <w:rsid w:val="00CA6739"/>
    <w:rsid w:val="00CA7088"/>
    <w:rsid w:val="00CA75ED"/>
    <w:rsid w:val="00CA78D7"/>
    <w:rsid w:val="00CA794F"/>
    <w:rsid w:val="00CA7B60"/>
    <w:rsid w:val="00CA7C6D"/>
    <w:rsid w:val="00CA7FC9"/>
    <w:rsid w:val="00CB056B"/>
    <w:rsid w:val="00CB07E8"/>
    <w:rsid w:val="00CB0AD6"/>
    <w:rsid w:val="00CB2023"/>
    <w:rsid w:val="00CB2B98"/>
    <w:rsid w:val="00CB3083"/>
    <w:rsid w:val="00CB3887"/>
    <w:rsid w:val="00CB3930"/>
    <w:rsid w:val="00CB3ADC"/>
    <w:rsid w:val="00CB3DAD"/>
    <w:rsid w:val="00CB41C7"/>
    <w:rsid w:val="00CB4259"/>
    <w:rsid w:val="00CB4525"/>
    <w:rsid w:val="00CB461D"/>
    <w:rsid w:val="00CB5E23"/>
    <w:rsid w:val="00CB6685"/>
    <w:rsid w:val="00CB6D10"/>
    <w:rsid w:val="00CB6E40"/>
    <w:rsid w:val="00CB70E1"/>
    <w:rsid w:val="00CB73D9"/>
    <w:rsid w:val="00CB7C87"/>
    <w:rsid w:val="00CB7E12"/>
    <w:rsid w:val="00CC03D4"/>
    <w:rsid w:val="00CC0C8C"/>
    <w:rsid w:val="00CC0E3F"/>
    <w:rsid w:val="00CC0E73"/>
    <w:rsid w:val="00CC11B3"/>
    <w:rsid w:val="00CC1A4E"/>
    <w:rsid w:val="00CC1EA0"/>
    <w:rsid w:val="00CC2377"/>
    <w:rsid w:val="00CC33C8"/>
    <w:rsid w:val="00CC3F3C"/>
    <w:rsid w:val="00CC40EB"/>
    <w:rsid w:val="00CC44B3"/>
    <w:rsid w:val="00CC4885"/>
    <w:rsid w:val="00CC4BB2"/>
    <w:rsid w:val="00CC585E"/>
    <w:rsid w:val="00CC5AB8"/>
    <w:rsid w:val="00CC6205"/>
    <w:rsid w:val="00CC68B8"/>
    <w:rsid w:val="00CC68F0"/>
    <w:rsid w:val="00CC6C6F"/>
    <w:rsid w:val="00CC6F6D"/>
    <w:rsid w:val="00CC716B"/>
    <w:rsid w:val="00CC764E"/>
    <w:rsid w:val="00CC7671"/>
    <w:rsid w:val="00CD086C"/>
    <w:rsid w:val="00CD12DE"/>
    <w:rsid w:val="00CD13EE"/>
    <w:rsid w:val="00CD17FD"/>
    <w:rsid w:val="00CD19D7"/>
    <w:rsid w:val="00CD2226"/>
    <w:rsid w:val="00CD240D"/>
    <w:rsid w:val="00CD2777"/>
    <w:rsid w:val="00CD32B9"/>
    <w:rsid w:val="00CD3878"/>
    <w:rsid w:val="00CD4753"/>
    <w:rsid w:val="00CD4895"/>
    <w:rsid w:val="00CD4910"/>
    <w:rsid w:val="00CD4D0B"/>
    <w:rsid w:val="00CD4F99"/>
    <w:rsid w:val="00CD5628"/>
    <w:rsid w:val="00CD57AB"/>
    <w:rsid w:val="00CD57C7"/>
    <w:rsid w:val="00CD5EE5"/>
    <w:rsid w:val="00CD5F62"/>
    <w:rsid w:val="00CD600D"/>
    <w:rsid w:val="00CD611E"/>
    <w:rsid w:val="00CD6206"/>
    <w:rsid w:val="00CD6627"/>
    <w:rsid w:val="00CD6B12"/>
    <w:rsid w:val="00CD6BF3"/>
    <w:rsid w:val="00CD7113"/>
    <w:rsid w:val="00CD72DB"/>
    <w:rsid w:val="00CD76F7"/>
    <w:rsid w:val="00CD7803"/>
    <w:rsid w:val="00CD7A41"/>
    <w:rsid w:val="00CD7A99"/>
    <w:rsid w:val="00CD7D42"/>
    <w:rsid w:val="00CD7DDB"/>
    <w:rsid w:val="00CE01C3"/>
    <w:rsid w:val="00CE04AF"/>
    <w:rsid w:val="00CE0C26"/>
    <w:rsid w:val="00CE0CDE"/>
    <w:rsid w:val="00CE13A8"/>
    <w:rsid w:val="00CE13D8"/>
    <w:rsid w:val="00CE1A1A"/>
    <w:rsid w:val="00CE1D14"/>
    <w:rsid w:val="00CE1F29"/>
    <w:rsid w:val="00CE21CA"/>
    <w:rsid w:val="00CE280E"/>
    <w:rsid w:val="00CE2BE2"/>
    <w:rsid w:val="00CE2CD3"/>
    <w:rsid w:val="00CE3218"/>
    <w:rsid w:val="00CE41CF"/>
    <w:rsid w:val="00CE43E5"/>
    <w:rsid w:val="00CE47B9"/>
    <w:rsid w:val="00CE4A51"/>
    <w:rsid w:val="00CE4A69"/>
    <w:rsid w:val="00CE4C8A"/>
    <w:rsid w:val="00CE4D6D"/>
    <w:rsid w:val="00CE526B"/>
    <w:rsid w:val="00CE5376"/>
    <w:rsid w:val="00CE600B"/>
    <w:rsid w:val="00CE627E"/>
    <w:rsid w:val="00CE6321"/>
    <w:rsid w:val="00CE637D"/>
    <w:rsid w:val="00CE694C"/>
    <w:rsid w:val="00CE71E3"/>
    <w:rsid w:val="00CE7507"/>
    <w:rsid w:val="00CE7601"/>
    <w:rsid w:val="00CE7645"/>
    <w:rsid w:val="00CE783F"/>
    <w:rsid w:val="00CE7A9B"/>
    <w:rsid w:val="00CF049E"/>
    <w:rsid w:val="00CF05FF"/>
    <w:rsid w:val="00CF06C5"/>
    <w:rsid w:val="00CF0A74"/>
    <w:rsid w:val="00CF1063"/>
    <w:rsid w:val="00CF14AD"/>
    <w:rsid w:val="00CF172B"/>
    <w:rsid w:val="00CF1B7D"/>
    <w:rsid w:val="00CF1D85"/>
    <w:rsid w:val="00CF1F01"/>
    <w:rsid w:val="00CF1F6A"/>
    <w:rsid w:val="00CF247C"/>
    <w:rsid w:val="00CF2485"/>
    <w:rsid w:val="00CF249E"/>
    <w:rsid w:val="00CF26AF"/>
    <w:rsid w:val="00CF2A09"/>
    <w:rsid w:val="00CF2AF9"/>
    <w:rsid w:val="00CF2C71"/>
    <w:rsid w:val="00CF2CDC"/>
    <w:rsid w:val="00CF2DEA"/>
    <w:rsid w:val="00CF2E63"/>
    <w:rsid w:val="00CF3165"/>
    <w:rsid w:val="00CF32BD"/>
    <w:rsid w:val="00CF342D"/>
    <w:rsid w:val="00CF36FE"/>
    <w:rsid w:val="00CF37C2"/>
    <w:rsid w:val="00CF3DAC"/>
    <w:rsid w:val="00CF461D"/>
    <w:rsid w:val="00CF4D85"/>
    <w:rsid w:val="00CF4F9A"/>
    <w:rsid w:val="00CF51EA"/>
    <w:rsid w:val="00CF5435"/>
    <w:rsid w:val="00CF5677"/>
    <w:rsid w:val="00CF5BCC"/>
    <w:rsid w:val="00CF6447"/>
    <w:rsid w:val="00CF665F"/>
    <w:rsid w:val="00CF6F0E"/>
    <w:rsid w:val="00CF706A"/>
    <w:rsid w:val="00CF70EB"/>
    <w:rsid w:val="00CF776E"/>
    <w:rsid w:val="00CF77CD"/>
    <w:rsid w:val="00CF77E6"/>
    <w:rsid w:val="00CF7A7F"/>
    <w:rsid w:val="00D00344"/>
    <w:rsid w:val="00D00768"/>
    <w:rsid w:val="00D009EC"/>
    <w:rsid w:val="00D00B0A"/>
    <w:rsid w:val="00D00BD0"/>
    <w:rsid w:val="00D00C8F"/>
    <w:rsid w:val="00D00D70"/>
    <w:rsid w:val="00D00ECE"/>
    <w:rsid w:val="00D01B80"/>
    <w:rsid w:val="00D01FF0"/>
    <w:rsid w:val="00D022FA"/>
    <w:rsid w:val="00D0260A"/>
    <w:rsid w:val="00D02689"/>
    <w:rsid w:val="00D028E9"/>
    <w:rsid w:val="00D02D4A"/>
    <w:rsid w:val="00D02DE9"/>
    <w:rsid w:val="00D03320"/>
    <w:rsid w:val="00D03502"/>
    <w:rsid w:val="00D03791"/>
    <w:rsid w:val="00D0400E"/>
    <w:rsid w:val="00D040D2"/>
    <w:rsid w:val="00D0415D"/>
    <w:rsid w:val="00D04987"/>
    <w:rsid w:val="00D04E78"/>
    <w:rsid w:val="00D05618"/>
    <w:rsid w:val="00D05D97"/>
    <w:rsid w:val="00D05EA8"/>
    <w:rsid w:val="00D05FE7"/>
    <w:rsid w:val="00D0665F"/>
    <w:rsid w:val="00D06695"/>
    <w:rsid w:val="00D06DC7"/>
    <w:rsid w:val="00D06F0E"/>
    <w:rsid w:val="00D071B0"/>
    <w:rsid w:val="00D07F58"/>
    <w:rsid w:val="00D10309"/>
    <w:rsid w:val="00D1078C"/>
    <w:rsid w:val="00D107C0"/>
    <w:rsid w:val="00D10CA0"/>
    <w:rsid w:val="00D1112B"/>
    <w:rsid w:val="00D117BD"/>
    <w:rsid w:val="00D118C5"/>
    <w:rsid w:val="00D11F95"/>
    <w:rsid w:val="00D12290"/>
    <w:rsid w:val="00D12798"/>
    <w:rsid w:val="00D133B4"/>
    <w:rsid w:val="00D134F4"/>
    <w:rsid w:val="00D13543"/>
    <w:rsid w:val="00D135A0"/>
    <w:rsid w:val="00D13FE3"/>
    <w:rsid w:val="00D140CE"/>
    <w:rsid w:val="00D1437C"/>
    <w:rsid w:val="00D144EB"/>
    <w:rsid w:val="00D1495F"/>
    <w:rsid w:val="00D14F84"/>
    <w:rsid w:val="00D1507E"/>
    <w:rsid w:val="00D15153"/>
    <w:rsid w:val="00D1546C"/>
    <w:rsid w:val="00D15C3D"/>
    <w:rsid w:val="00D161F1"/>
    <w:rsid w:val="00D162B1"/>
    <w:rsid w:val="00D1659B"/>
    <w:rsid w:val="00D16C34"/>
    <w:rsid w:val="00D1735E"/>
    <w:rsid w:val="00D176B3"/>
    <w:rsid w:val="00D17EFF"/>
    <w:rsid w:val="00D20688"/>
    <w:rsid w:val="00D20AE4"/>
    <w:rsid w:val="00D20C6E"/>
    <w:rsid w:val="00D20EA9"/>
    <w:rsid w:val="00D2153A"/>
    <w:rsid w:val="00D2167D"/>
    <w:rsid w:val="00D219C9"/>
    <w:rsid w:val="00D22022"/>
    <w:rsid w:val="00D222AA"/>
    <w:rsid w:val="00D2241F"/>
    <w:rsid w:val="00D2256A"/>
    <w:rsid w:val="00D22687"/>
    <w:rsid w:val="00D22B58"/>
    <w:rsid w:val="00D22C2E"/>
    <w:rsid w:val="00D22C32"/>
    <w:rsid w:val="00D22FBC"/>
    <w:rsid w:val="00D234A5"/>
    <w:rsid w:val="00D23B33"/>
    <w:rsid w:val="00D24E77"/>
    <w:rsid w:val="00D25775"/>
    <w:rsid w:val="00D259E4"/>
    <w:rsid w:val="00D26100"/>
    <w:rsid w:val="00D266FD"/>
    <w:rsid w:val="00D26EA9"/>
    <w:rsid w:val="00D27364"/>
    <w:rsid w:val="00D273A3"/>
    <w:rsid w:val="00D278A1"/>
    <w:rsid w:val="00D27FD3"/>
    <w:rsid w:val="00D30842"/>
    <w:rsid w:val="00D30C85"/>
    <w:rsid w:val="00D30DA7"/>
    <w:rsid w:val="00D31146"/>
    <w:rsid w:val="00D311C0"/>
    <w:rsid w:val="00D319AB"/>
    <w:rsid w:val="00D31A16"/>
    <w:rsid w:val="00D31A44"/>
    <w:rsid w:val="00D31E97"/>
    <w:rsid w:val="00D3202A"/>
    <w:rsid w:val="00D320A0"/>
    <w:rsid w:val="00D320EB"/>
    <w:rsid w:val="00D32700"/>
    <w:rsid w:val="00D32ADD"/>
    <w:rsid w:val="00D32CBA"/>
    <w:rsid w:val="00D32D18"/>
    <w:rsid w:val="00D333C5"/>
    <w:rsid w:val="00D335A9"/>
    <w:rsid w:val="00D339D6"/>
    <w:rsid w:val="00D34439"/>
    <w:rsid w:val="00D3492C"/>
    <w:rsid w:val="00D34BB5"/>
    <w:rsid w:val="00D34C43"/>
    <w:rsid w:val="00D34C6E"/>
    <w:rsid w:val="00D34D34"/>
    <w:rsid w:val="00D34FDB"/>
    <w:rsid w:val="00D354D4"/>
    <w:rsid w:val="00D36245"/>
    <w:rsid w:val="00D36DC6"/>
    <w:rsid w:val="00D36E15"/>
    <w:rsid w:val="00D3717D"/>
    <w:rsid w:val="00D37205"/>
    <w:rsid w:val="00D372DB"/>
    <w:rsid w:val="00D37DBD"/>
    <w:rsid w:val="00D40054"/>
    <w:rsid w:val="00D40D8D"/>
    <w:rsid w:val="00D40E6F"/>
    <w:rsid w:val="00D41132"/>
    <w:rsid w:val="00D41B63"/>
    <w:rsid w:val="00D41B9D"/>
    <w:rsid w:val="00D42128"/>
    <w:rsid w:val="00D42330"/>
    <w:rsid w:val="00D424C0"/>
    <w:rsid w:val="00D424DD"/>
    <w:rsid w:val="00D4266B"/>
    <w:rsid w:val="00D42917"/>
    <w:rsid w:val="00D42DC4"/>
    <w:rsid w:val="00D42F09"/>
    <w:rsid w:val="00D4320D"/>
    <w:rsid w:val="00D43C1C"/>
    <w:rsid w:val="00D44176"/>
    <w:rsid w:val="00D44418"/>
    <w:rsid w:val="00D44732"/>
    <w:rsid w:val="00D44B92"/>
    <w:rsid w:val="00D4523C"/>
    <w:rsid w:val="00D452E2"/>
    <w:rsid w:val="00D454BA"/>
    <w:rsid w:val="00D46532"/>
    <w:rsid w:val="00D467AB"/>
    <w:rsid w:val="00D46DD6"/>
    <w:rsid w:val="00D475D5"/>
    <w:rsid w:val="00D478D7"/>
    <w:rsid w:val="00D50418"/>
    <w:rsid w:val="00D504BE"/>
    <w:rsid w:val="00D50755"/>
    <w:rsid w:val="00D50985"/>
    <w:rsid w:val="00D50A4B"/>
    <w:rsid w:val="00D50D40"/>
    <w:rsid w:val="00D50E23"/>
    <w:rsid w:val="00D5121D"/>
    <w:rsid w:val="00D51267"/>
    <w:rsid w:val="00D51277"/>
    <w:rsid w:val="00D512FE"/>
    <w:rsid w:val="00D5201E"/>
    <w:rsid w:val="00D52725"/>
    <w:rsid w:val="00D5279D"/>
    <w:rsid w:val="00D53208"/>
    <w:rsid w:val="00D53329"/>
    <w:rsid w:val="00D5338C"/>
    <w:rsid w:val="00D53786"/>
    <w:rsid w:val="00D5431A"/>
    <w:rsid w:val="00D54462"/>
    <w:rsid w:val="00D54838"/>
    <w:rsid w:val="00D5502A"/>
    <w:rsid w:val="00D55680"/>
    <w:rsid w:val="00D55A63"/>
    <w:rsid w:val="00D5608A"/>
    <w:rsid w:val="00D56434"/>
    <w:rsid w:val="00D568F2"/>
    <w:rsid w:val="00D571A5"/>
    <w:rsid w:val="00D57257"/>
    <w:rsid w:val="00D5725B"/>
    <w:rsid w:val="00D5740A"/>
    <w:rsid w:val="00D579D1"/>
    <w:rsid w:val="00D57D0B"/>
    <w:rsid w:val="00D60228"/>
    <w:rsid w:val="00D60490"/>
    <w:rsid w:val="00D6083A"/>
    <w:rsid w:val="00D60E9B"/>
    <w:rsid w:val="00D60F86"/>
    <w:rsid w:val="00D616F4"/>
    <w:rsid w:val="00D61737"/>
    <w:rsid w:val="00D61885"/>
    <w:rsid w:val="00D61AE2"/>
    <w:rsid w:val="00D61BBF"/>
    <w:rsid w:val="00D6209E"/>
    <w:rsid w:val="00D623B5"/>
    <w:rsid w:val="00D623F7"/>
    <w:rsid w:val="00D6244F"/>
    <w:rsid w:val="00D62D61"/>
    <w:rsid w:val="00D633BD"/>
    <w:rsid w:val="00D639FE"/>
    <w:rsid w:val="00D6415E"/>
    <w:rsid w:val="00D644DD"/>
    <w:rsid w:val="00D647B0"/>
    <w:rsid w:val="00D64C2C"/>
    <w:rsid w:val="00D653BE"/>
    <w:rsid w:val="00D656E2"/>
    <w:rsid w:val="00D657CE"/>
    <w:rsid w:val="00D657F1"/>
    <w:rsid w:val="00D658EB"/>
    <w:rsid w:val="00D65AEA"/>
    <w:rsid w:val="00D65C55"/>
    <w:rsid w:val="00D65D29"/>
    <w:rsid w:val="00D6628F"/>
    <w:rsid w:val="00D66CB4"/>
    <w:rsid w:val="00D66E7B"/>
    <w:rsid w:val="00D66F16"/>
    <w:rsid w:val="00D66FB6"/>
    <w:rsid w:val="00D6727D"/>
    <w:rsid w:val="00D672F7"/>
    <w:rsid w:val="00D67B99"/>
    <w:rsid w:val="00D67C7C"/>
    <w:rsid w:val="00D706B6"/>
    <w:rsid w:val="00D70811"/>
    <w:rsid w:val="00D70932"/>
    <w:rsid w:val="00D70F40"/>
    <w:rsid w:val="00D71165"/>
    <w:rsid w:val="00D7121C"/>
    <w:rsid w:val="00D712B3"/>
    <w:rsid w:val="00D71AE3"/>
    <w:rsid w:val="00D72383"/>
    <w:rsid w:val="00D7246C"/>
    <w:rsid w:val="00D72723"/>
    <w:rsid w:val="00D72AB1"/>
    <w:rsid w:val="00D730E6"/>
    <w:rsid w:val="00D73255"/>
    <w:rsid w:val="00D73482"/>
    <w:rsid w:val="00D73516"/>
    <w:rsid w:val="00D73645"/>
    <w:rsid w:val="00D74100"/>
    <w:rsid w:val="00D744D6"/>
    <w:rsid w:val="00D74A8F"/>
    <w:rsid w:val="00D74B05"/>
    <w:rsid w:val="00D74BD9"/>
    <w:rsid w:val="00D75310"/>
    <w:rsid w:val="00D75742"/>
    <w:rsid w:val="00D75B8D"/>
    <w:rsid w:val="00D75C7B"/>
    <w:rsid w:val="00D75F51"/>
    <w:rsid w:val="00D761BE"/>
    <w:rsid w:val="00D7635C"/>
    <w:rsid w:val="00D763CF"/>
    <w:rsid w:val="00D765BC"/>
    <w:rsid w:val="00D76BEA"/>
    <w:rsid w:val="00D76CB5"/>
    <w:rsid w:val="00D76F70"/>
    <w:rsid w:val="00D77021"/>
    <w:rsid w:val="00D77106"/>
    <w:rsid w:val="00D77694"/>
    <w:rsid w:val="00D77BC5"/>
    <w:rsid w:val="00D77C6F"/>
    <w:rsid w:val="00D801C7"/>
    <w:rsid w:val="00D8037A"/>
    <w:rsid w:val="00D80973"/>
    <w:rsid w:val="00D80A78"/>
    <w:rsid w:val="00D81635"/>
    <w:rsid w:val="00D816E2"/>
    <w:rsid w:val="00D81846"/>
    <w:rsid w:val="00D81A32"/>
    <w:rsid w:val="00D81A6B"/>
    <w:rsid w:val="00D81A7A"/>
    <w:rsid w:val="00D81E54"/>
    <w:rsid w:val="00D81F71"/>
    <w:rsid w:val="00D822A1"/>
    <w:rsid w:val="00D8277B"/>
    <w:rsid w:val="00D82901"/>
    <w:rsid w:val="00D82CFB"/>
    <w:rsid w:val="00D82D12"/>
    <w:rsid w:val="00D82D8D"/>
    <w:rsid w:val="00D838B4"/>
    <w:rsid w:val="00D83B12"/>
    <w:rsid w:val="00D83D7B"/>
    <w:rsid w:val="00D8481B"/>
    <w:rsid w:val="00D84891"/>
    <w:rsid w:val="00D84C0E"/>
    <w:rsid w:val="00D84CED"/>
    <w:rsid w:val="00D84EB9"/>
    <w:rsid w:val="00D8583C"/>
    <w:rsid w:val="00D85B1B"/>
    <w:rsid w:val="00D85E3E"/>
    <w:rsid w:val="00D85F3C"/>
    <w:rsid w:val="00D86B7E"/>
    <w:rsid w:val="00D870ED"/>
    <w:rsid w:val="00D87376"/>
    <w:rsid w:val="00D873F9"/>
    <w:rsid w:val="00D874E0"/>
    <w:rsid w:val="00D876B9"/>
    <w:rsid w:val="00D90959"/>
    <w:rsid w:val="00D9111B"/>
    <w:rsid w:val="00D912C2"/>
    <w:rsid w:val="00D9148D"/>
    <w:rsid w:val="00D916BB"/>
    <w:rsid w:val="00D91859"/>
    <w:rsid w:val="00D936E7"/>
    <w:rsid w:val="00D93FA3"/>
    <w:rsid w:val="00D944E3"/>
    <w:rsid w:val="00D94567"/>
    <w:rsid w:val="00D94B14"/>
    <w:rsid w:val="00D94D10"/>
    <w:rsid w:val="00D94D6A"/>
    <w:rsid w:val="00D9520B"/>
    <w:rsid w:val="00D95749"/>
    <w:rsid w:val="00D961B0"/>
    <w:rsid w:val="00D96337"/>
    <w:rsid w:val="00D970B5"/>
    <w:rsid w:val="00D97855"/>
    <w:rsid w:val="00D9798D"/>
    <w:rsid w:val="00D97F8D"/>
    <w:rsid w:val="00D97F9D"/>
    <w:rsid w:val="00DA009B"/>
    <w:rsid w:val="00DA02E9"/>
    <w:rsid w:val="00DA06B8"/>
    <w:rsid w:val="00DA0718"/>
    <w:rsid w:val="00DA078C"/>
    <w:rsid w:val="00DA086E"/>
    <w:rsid w:val="00DA1093"/>
    <w:rsid w:val="00DA11DA"/>
    <w:rsid w:val="00DA17CE"/>
    <w:rsid w:val="00DA17E4"/>
    <w:rsid w:val="00DA1A7F"/>
    <w:rsid w:val="00DA1D77"/>
    <w:rsid w:val="00DA2542"/>
    <w:rsid w:val="00DA2F04"/>
    <w:rsid w:val="00DA31BF"/>
    <w:rsid w:val="00DA3752"/>
    <w:rsid w:val="00DA37F3"/>
    <w:rsid w:val="00DA3AAC"/>
    <w:rsid w:val="00DA465B"/>
    <w:rsid w:val="00DA49B3"/>
    <w:rsid w:val="00DA5017"/>
    <w:rsid w:val="00DA5766"/>
    <w:rsid w:val="00DA591D"/>
    <w:rsid w:val="00DA5ADB"/>
    <w:rsid w:val="00DA603D"/>
    <w:rsid w:val="00DA60E5"/>
    <w:rsid w:val="00DA6C04"/>
    <w:rsid w:val="00DA6D9B"/>
    <w:rsid w:val="00DA6DED"/>
    <w:rsid w:val="00DA71E9"/>
    <w:rsid w:val="00DA7975"/>
    <w:rsid w:val="00DA799A"/>
    <w:rsid w:val="00DA7A5A"/>
    <w:rsid w:val="00DA7C2D"/>
    <w:rsid w:val="00DA7C4E"/>
    <w:rsid w:val="00DA7C82"/>
    <w:rsid w:val="00DA7F89"/>
    <w:rsid w:val="00DB05F0"/>
    <w:rsid w:val="00DB06C8"/>
    <w:rsid w:val="00DB09A8"/>
    <w:rsid w:val="00DB0B90"/>
    <w:rsid w:val="00DB0BAF"/>
    <w:rsid w:val="00DB0DD8"/>
    <w:rsid w:val="00DB0EF0"/>
    <w:rsid w:val="00DB12A7"/>
    <w:rsid w:val="00DB1B98"/>
    <w:rsid w:val="00DB1CF0"/>
    <w:rsid w:val="00DB20FB"/>
    <w:rsid w:val="00DB21EE"/>
    <w:rsid w:val="00DB226E"/>
    <w:rsid w:val="00DB22FE"/>
    <w:rsid w:val="00DB2494"/>
    <w:rsid w:val="00DB269D"/>
    <w:rsid w:val="00DB26A3"/>
    <w:rsid w:val="00DB2C0A"/>
    <w:rsid w:val="00DB2DA7"/>
    <w:rsid w:val="00DB31B8"/>
    <w:rsid w:val="00DB351D"/>
    <w:rsid w:val="00DB387A"/>
    <w:rsid w:val="00DB3CEC"/>
    <w:rsid w:val="00DB3F97"/>
    <w:rsid w:val="00DB4643"/>
    <w:rsid w:val="00DB47DB"/>
    <w:rsid w:val="00DB47DC"/>
    <w:rsid w:val="00DB48D3"/>
    <w:rsid w:val="00DB4A1E"/>
    <w:rsid w:val="00DB4E20"/>
    <w:rsid w:val="00DB514B"/>
    <w:rsid w:val="00DB544B"/>
    <w:rsid w:val="00DB57FB"/>
    <w:rsid w:val="00DB5AAB"/>
    <w:rsid w:val="00DB5CB9"/>
    <w:rsid w:val="00DB611E"/>
    <w:rsid w:val="00DB62CA"/>
    <w:rsid w:val="00DB6426"/>
    <w:rsid w:val="00DB659B"/>
    <w:rsid w:val="00DB669F"/>
    <w:rsid w:val="00DB6A99"/>
    <w:rsid w:val="00DB6B02"/>
    <w:rsid w:val="00DB6BCF"/>
    <w:rsid w:val="00DB6ECC"/>
    <w:rsid w:val="00DB6F8A"/>
    <w:rsid w:val="00DB7275"/>
    <w:rsid w:val="00DB7380"/>
    <w:rsid w:val="00DB75A3"/>
    <w:rsid w:val="00DB78A6"/>
    <w:rsid w:val="00DB7B27"/>
    <w:rsid w:val="00DB7E23"/>
    <w:rsid w:val="00DB7EA0"/>
    <w:rsid w:val="00DB7F06"/>
    <w:rsid w:val="00DC0686"/>
    <w:rsid w:val="00DC0AA8"/>
    <w:rsid w:val="00DC0C34"/>
    <w:rsid w:val="00DC0E0B"/>
    <w:rsid w:val="00DC102A"/>
    <w:rsid w:val="00DC103A"/>
    <w:rsid w:val="00DC1141"/>
    <w:rsid w:val="00DC1864"/>
    <w:rsid w:val="00DC1B76"/>
    <w:rsid w:val="00DC1EDA"/>
    <w:rsid w:val="00DC2058"/>
    <w:rsid w:val="00DC226D"/>
    <w:rsid w:val="00DC242C"/>
    <w:rsid w:val="00DC25FD"/>
    <w:rsid w:val="00DC2665"/>
    <w:rsid w:val="00DC2681"/>
    <w:rsid w:val="00DC2754"/>
    <w:rsid w:val="00DC28BE"/>
    <w:rsid w:val="00DC2A76"/>
    <w:rsid w:val="00DC2CE5"/>
    <w:rsid w:val="00DC2FF8"/>
    <w:rsid w:val="00DC32FB"/>
    <w:rsid w:val="00DC34F5"/>
    <w:rsid w:val="00DC38EF"/>
    <w:rsid w:val="00DC3AAD"/>
    <w:rsid w:val="00DC3FDE"/>
    <w:rsid w:val="00DC42A1"/>
    <w:rsid w:val="00DC43DD"/>
    <w:rsid w:val="00DC557A"/>
    <w:rsid w:val="00DC595A"/>
    <w:rsid w:val="00DC5F24"/>
    <w:rsid w:val="00DC61E4"/>
    <w:rsid w:val="00DC6246"/>
    <w:rsid w:val="00DC6994"/>
    <w:rsid w:val="00DC6E94"/>
    <w:rsid w:val="00DC710A"/>
    <w:rsid w:val="00DC7431"/>
    <w:rsid w:val="00DC7B92"/>
    <w:rsid w:val="00DC7D5B"/>
    <w:rsid w:val="00DD0046"/>
    <w:rsid w:val="00DD0A20"/>
    <w:rsid w:val="00DD0A9D"/>
    <w:rsid w:val="00DD0BDD"/>
    <w:rsid w:val="00DD0CAA"/>
    <w:rsid w:val="00DD0F20"/>
    <w:rsid w:val="00DD1C51"/>
    <w:rsid w:val="00DD20F6"/>
    <w:rsid w:val="00DD269F"/>
    <w:rsid w:val="00DD28BF"/>
    <w:rsid w:val="00DD34F8"/>
    <w:rsid w:val="00DD3A2C"/>
    <w:rsid w:val="00DD3CB2"/>
    <w:rsid w:val="00DD42CD"/>
    <w:rsid w:val="00DD434F"/>
    <w:rsid w:val="00DD4393"/>
    <w:rsid w:val="00DD468F"/>
    <w:rsid w:val="00DD4DBF"/>
    <w:rsid w:val="00DD4F80"/>
    <w:rsid w:val="00DD53C5"/>
    <w:rsid w:val="00DD59F2"/>
    <w:rsid w:val="00DD5C27"/>
    <w:rsid w:val="00DD5F80"/>
    <w:rsid w:val="00DD635A"/>
    <w:rsid w:val="00DD6398"/>
    <w:rsid w:val="00DD64C1"/>
    <w:rsid w:val="00DD656A"/>
    <w:rsid w:val="00DD6746"/>
    <w:rsid w:val="00DD6FA1"/>
    <w:rsid w:val="00DD7118"/>
    <w:rsid w:val="00DD71CD"/>
    <w:rsid w:val="00DD772A"/>
    <w:rsid w:val="00DD784D"/>
    <w:rsid w:val="00DD79E2"/>
    <w:rsid w:val="00DD7E70"/>
    <w:rsid w:val="00DE09D5"/>
    <w:rsid w:val="00DE1581"/>
    <w:rsid w:val="00DE2151"/>
    <w:rsid w:val="00DE2252"/>
    <w:rsid w:val="00DE2AA5"/>
    <w:rsid w:val="00DE2E17"/>
    <w:rsid w:val="00DE2F29"/>
    <w:rsid w:val="00DE3232"/>
    <w:rsid w:val="00DE34B5"/>
    <w:rsid w:val="00DE34B8"/>
    <w:rsid w:val="00DE3E05"/>
    <w:rsid w:val="00DE4307"/>
    <w:rsid w:val="00DE439B"/>
    <w:rsid w:val="00DE45BD"/>
    <w:rsid w:val="00DE595F"/>
    <w:rsid w:val="00DE617E"/>
    <w:rsid w:val="00DE65F9"/>
    <w:rsid w:val="00DE65FA"/>
    <w:rsid w:val="00DE66EF"/>
    <w:rsid w:val="00DE70A9"/>
    <w:rsid w:val="00DE71E2"/>
    <w:rsid w:val="00DE7213"/>
    <w:rsid w:val="00DE758C"/>
    <w:rsid w:val="00DE75CA"/>
    <w:rsid w:val="00DF18DE"/>
    <w:rsid w:val="00DF1BD0"/>
    <w:rsid w:val="00DF1C93"/>
    <w:rsid w:val="00DF227A"/>
    <w:rsid w:val="00DF2352"/>
    <w:rsid w:val="00DF264B"/>
    <w:rsid w:val="00DF273E"/>
    <w:rsid w:val="00DF2986"/>
    <w:rsid w:val="00DF2BFE"/>
    <w:rsid w:val="00DF32DF"/>
    <w:rsid w:val="00DF3647"/>
    <w:rsid w:val="00DF378D"/>
    <w:rsid w:val="00DF380D"/>
    <w:rsid w:val="00DF3841"/>
    <w:rsid w:val="00DF397A"/>
    <w:rsid w:val="00DF3A2F"/>
    <w:rsid w:val="00DF3AB6"/>
    <w:rsid w:val="00DF3D7D"/>
    <w:rsid w:val="00DF3F79"/>
    <w:rsid w:val="00DF408F"/>
    <w:rsid w:val="00DF4A31"/>
    <w:rsid w:val="00DF4ADE"/>
    <w:rsid w:val="00DF5616"/>
    <w:rsid w:val="00DF5E3A"/>
    <w:rsid w:val="00DF5F24"/>
    <w:rsid w:val="00DF6036"/>
    <w:rsid w:val="00DF6059"/>
    <w:rsid w:val="00DF703C"/>
    <w:rsid w:val="00DF7710"/>
    <w:rsid w:val="00DF7CF1"/>
    <w:rsid w:val="00DF7E30"/>
    <w:rsid w:val="00E00658"/>
    <w:rsid w:val="00E008C9"/>
    <w:rsid w:val="00E01316"/>
    <w:rsid w:val="00E01853"/>
    <w:rsid w:val="00E019FB"/>
    <w:rsid w:val="00E01A48"/>
    <w:rsid w:val="00E02581"/>
    <w:rsid w:val="00E026A7"/>
    <w:rsid w:val="00E02E07"/>
    <w:rsid w:val="00E0303B"/>
    <w:rsid w:val="00E038CD"/>
    <w:rsid w:val="00E03D2D"/>
    <w:rsid w:val="00E0424E"/>
    <w:rsid w:val="00E0443E"/>
    <w:rsid w:val="00E044EF"/>
    <w:rsid w:val="00E04DF1"/>
    <w:rsid w:val="00E04F47"/>
    <w:rsid w:val="00E05095"/>
    <w:rsid w:val="00E05558"/>
    <w:rsid w:val="00E05577"/>
    <w:rsid w:val="00E05C73"/>
    <w:rsid w:val="00E05CAB"/>
    <w:rsid w:val="00E060D2"/>
    <w:rsid w:val="00E06116"/>
    <w:rsid w:val="00E061B1"/>
    <w:rsid w:val="00E06445"/>
    <w:rsid w:val="00E07332"/>
    <w:rsid w:val="00E07541"/>
    <w:rsid w:val="00E07989"/>
    <w:rsid w:val="00E07CB1"/>
    <w:rsid w:val="00E07DC0"/>
    <w:rsid w:val="00E07E3B"/>
    <w:rsid w:val="00E10038"/>
    <w:rsid w:val="00E1030B"/>
    <w:rsid w:val="00E10DB3"/>
    <w:rsid w:val="00E11477"/>
    <w:rsid w:val="00E1147E"/>
    <w:rsid w:val="00E11B28"/>
    <w:rsid w:val="00E11DBE"/>
    <w:rsid w:val="00E11E1C"/>
    <w:rsid w:val="00E120A3"/>
    <w:rsid w:val="00E12134"/>
    <w:rsid w:val="00E1223E"/>
    <w:rsid w:val="00E1228B"/>
    <w:rsid w:val="00E1230F"/>
    <w:rsid w:val="00E12743"/>
    <w:rsid w:val="00E12A34"/>
    <w:rsid w:val="00E12DB4"/>
    <w:rsid w:val="00E13500"/>
    <w:rsid w:val="00E13A26"/>
    <w:rsid w:val="00E13D49"/>
    <w:rsid w:val="00E1424D"/>
    <w:rsid w:val="00E14322"/>
    <w:rsid w:val="00E14401"/>
    <w:rsid w:val="00E14411"/>
    <w:rsid w:val="00E14910"/>
    <w:rsid w:val="00E153D0"/>
    <w:rsid w:val="00E1599D"/>
    <w:rsid w:val="00E16004"/>
    <w:rsid w:val="00E1679C"/>
    <w:rsid w:val="00E16DA4"/>
    <w:rsid w:val="00E16EBD"/>
    <w:rsid w:val="00E16F26"/>
    <w:rsid w:val="00E173A0"/>
    <w:rsid w:val="00E2011C"/>
    <w:rsid w:val="00E20143"/>
    <w:rsid w:val="00E20367"/>
    <w:rsid w:val="00E203D6"/>
    <w:rsid w:val="00E2052A"/>
    <w:rsid w:val="00E2063C"/>
    <w:rsid w:val="00E20FCD"/>
    <w:rsid w:val="00E217CC"/>
    <w:rsid w:val="00E2185C"/>
    <w:rsid w:val="00E21888"/>
    <w:rsid w:val="00E21ACB"/>
    <w:rsid w:val="00E22140"/>
    <w:rsid w:val="00E222D1"/>
    <w:rsid w:val="00E2252E"/>
    <w:rsid w:val="00E22D8E"/>
    <w:rsid w:val="00E23100"/>
    <w:rsid w:val="00E235E8"/>
    <w:rsid w:val="00E23EEF"/>
    <w:rsid w:val="00E2417A"/>
    <w:rsid w:val="00E24950"/>
    <w:rsid w:val="00E24BCB"/>
    <w:rsid w:val="00E2544C"/>
    <w:rsid w:val="00E255DA"/>
    <w:rsid w:val="00E25886"/>
    <w:rsid w:val="00E25D04"/>
    <w:rsid w:val="00E262C2"/>
    <w:rsid w:val="00E278BE"/>
    <w:rsid w:val="00E304D4"/>
    <w:rsid w:val="00E311DE"/>
    <w:rsid w:val="00E323A6"/>
    <w:rsid w:val="00E33188"/>
    <w:rsid w:val="00E332BE"/>
    <w:rsid w:val="00E3359C"/>
    <w:rsid w:val="00E336BD"/>
    <w:rsid w:val="00E33A1C"/>
    <w:rsid w:val="00E3419D"/>
    <w:rsid w:val="00E3451D"/>
    <w:rsid w:val="00E35B07"/>
    <w:rsid w:val="00E35DC1"/>
    <w:rsid w:val="00E35F25"/>
    <w:rsid w:val="00E36D8E"/>
    <w:rsid w:val="00E37C59"/>
    <w:rsid w:val="00E37C9D"/>
    <w:rsid w:val="00E406A6"/>
    <w:rsid w:val="00E407CA"/>
    <w:rsid w:val="00E40BA4"/>
    <w:rsid w:val="00E40FD4"/>
    <w:rsid w:val="00E41148"/>
    <w:rsid w:val="00E4132F"/>
    <w:rsid w:val="00E41775"/>
    <w:rsid w:val="00E4199B"/>
    <w:rsid w:val="00E4232C"/>
    <w:rsid w:val="00E429B7"/>
    <w:rsid w:val="00E42ED1"/>
    <w:rsid w:val="00E43784"/>
    <w:rsid w:val="00E43CDE"/>
    <w:rsid w:val="00E44399"/>
    <w:rsid w:val="00E446AC"/>
    <w:rsid w:val="00E44C19"/>
    <w:rsid w:val="00E44FDE"/>
    <w:rsid w:val="00E4505C"/>
    <w:rsid w:val="00E452B5"/>
    <w:rsid w:val="00E45558"/>
    <w:rsid w:val="00E456C8"/>
    <w:rsid w:val="00E45A34"/>
    <w:rsid w:val="00E45A73"/>
    <w:rsid w:val="00E45A7D"/>
    <w:rsid w:val="00E45DF1"/>
    <w:rsid w:val="00E4630B"/>
    <w:rsid w:val="00E464C3"/>
    <w:rsid w:val="00E46C42"/>
    <w:rsid w:val="00E46FEE"/>
    <w:rsid w:val="00E47845"/>
    <w:rsid w:val="00E47AEE"/>
    <w:rsid w:val="00E5024C"/>
    <w:rsid w:val="00E503EC"/>
    <w:rsid w:val="00E50932"/>
    <w:rsid w:val="00E50B8A"/>
    <w:rsid w:val="00E50CC3"/>
    <w:rsid w:val="00E510E2"/>
    <w:rsid w:val="00E51ACA"/>
    <w:rsid w:val="00E51C2F"/>
    <w:rsid w:val="00E51D02"/>
    <w:rsid w:val="00E521DA"/>
    <w:rsid w:val="00E521EE"/>
    <w:rsid w:val="00E527A9"/>
    <w:rsid w:val="00E52BC7"/>
    <w:rsid w:val="00E52E5E"/>
    <w:rsid w:val="00E52FF9"/>
    <w:rsid w:val="00E5410C"/>
    <w:rsid w:val="00E54189"/>
    <w:rsid w:val="00E543AC"/>
    <w:rsid w:val="00E547AC"/>
    <w:rsid w:val="00E549B0"/>
    <w:rsid w:val="00E5571B"/>
    <w:rsid w:val="00E5599B"/>
    <w:rsid w:val="00E55A0E"/>
    <w:rsid w:val="00E55B34"/>
    <w:rsid w:val="00E55BCA"/>
    <w:rsid w:val="00E55D22"/>
    <w:rsid w:val="00E55E47"/>
    <w:rsid w:val="00E5669B"/>
    <w:rsid w:val="00E56B82"/>
    <w:rsid w:val="00E56C1E"/>
    <w:rsid w:val="00E56D10"/>
    <w:rsid w:val="00E56EF0"/>
    <w:rsid w:val="00E56FE1"/>
    <w:rsid w:val="00E576EF"/>
    <w:rsid w:val="00E57921"/>
    <w:rsid w:val="00E579E9"/>
    <w:rsid w:val="00E57A25"/>
    <w:rsid w:val="00E57B6C"/>
    <w:rsid w:val="00E57DE8"/>
    <w:rsid w:val="00E604F2"/>
    <w:rsid w:val="00E60AE1"/>
    <w:rsid w:val="00E611D9"/>
    <w:rsid w:val="00E614EC"/>
    <w:rsid w:val="00E614FD"/>
    <w:rsid w:val="00E61899"/>
    <w:rsid w:val="00E62207"/>
    <w:rsid w:val="00E6233A"/>
    <w:rsid w:val="00E626F1"/>
    <w:rsid w:val="00E62F00"/>
    <w:rsid w:val="00E63520"/>
    <w:rsid w:val="00E63B6C"/>
    <w:rsid w:val="00E63C95"/>
    <w:rsid w:val="00E63D1F"/>
    <w:rsid w:val="00E63DE7"/>
    <w:rsid w:val="00E63EC2"/>
    <w:rsid w:val="00E63FE4"/>
    <w:rsid w:val="00E6414C"/>
    <w:rsid w:val="00E642A6"/>
    <w:rsid w:val="00E642E2"/>
    <w:rsid w:val="00E64640"/>
    <w:rsid w:val="00E64AB2"/>
    <w:rsid w:val="00E64D04"/>
    <w:rsid w:val="00E64E15"/>
    <w:rsid w:val="00E650A6"/>
    <w:rsid w:val="00E6527B"/>
    <w:rsid w:val="00E6537D"/>
    <w:rsid w:val="00E654AB"/>
    <w:rsid w:val="00E65850"/>
    <w:rsid w:val="00E658CA"/>
    <w:rsid w:val="00E6596A"/>
    <w:rsid w:val="00E65991"/>
    <w:rsid w:val="00E65B75"/>
    <w:rsid w:val="00E65F3A"/>
    <w:rsid w:val="00E665B6"/>
    <w:rsid w:val="00E6692E"/>
    <w:rsid w:val="00E66BA5"/>
    <w:rsid w:val="00E66C63"/>
    <w:rsid w:val="00E66CB9"/>
    <w:rsid w:val="00E6713D"/>
    <w:rsid w:val="00E67A5F"/>
    <w:rsid w:val="00E67BD7"/>
    <w:rsid w:val="00E67F4B"/>
    <w:rsid w:val="00E7093F"/>
    <w:rsid w:val="00E70A6B"/>
    <w:rsid w:val="00E70E1C"/>
    <w:rsid w:val="00E71730"/>
    <w:rsid w:val="00E71754"/>
    <w:rsid w:val="00E71C30"/>
    <w:rsid w:val="00E71D0F"/>
    <w:rsid w:val="00E71DEF"/>
    <w:rsid w:val="00E71E79"/>
    <w:rsid w:val="00E71F3F"/>
    <w:rsid w:val="00E72AC5"/>
    <w:rsid w:val="00E72B39"/>
    <w:rsid w:val="00E72B42"/>
    <w:rsid w:val="00E72D4A"/>
    <w:rsid w:val="00E72EE4"/>
    <w:rsid w:val="00E73110"/>
    <w:rsid w:val="00E73520"/>
    <w:rsid w:val="00E73679"/>
    <w:rsid w:val="00E738C5"/>
    <w:rsid w:val="00E74428"/>
    <w:rsid w:val="00E746E5"/>
    <w:rsid w:val="00E748A8"/>
    <w:rsid w:val="00E74B56"/>
    <w:rsid w:val="00E74C86"/>
    <w:rsid w:val="00E74D77"/>
    <w:rsid w:val="00E750B6"/>
    <w:rsid w:val="00E753FA"/>
    <w:rsid w:val="00E7578E"/>
    <w:rsid w:val="00E75E43"/>
    <w:rsid w:val="00E763AE"/>
    <w:rsid w:val="00E7643E"/>
    <w:rsid w:val="00E7676F"/>
    <w:rsid w:val="00E76CC6"/>
    <w:rsid w:val="00E77075"/>
    <w:rsid w:val="00E7715D"/>
    <w:rsid w:val="00E775DC"/>
    <w:rsid w:val="00E775F4"/>
    <w:rsid w:val="00E7792E"/>
    <w:rsid w:val="00E77AE0"/>
    <w:rsid w:val="00E80534"/>
    <w:rsid w:val="00E8054A"/>
    <w:rsid w:val="00E80786"/>
    <w:rsid w:val="00E80AF6"/>
    <w:rsid w:val="00E80C81"/>
    <w:rsid w:val="00E80CB7"/>
    <w:rsid w:val="00E80F07"/>
    <w:rsid w:val="00E81087"/>
    <w:rsid w:val="00E81AEE"/>
    <w:rsid w:val="00E81E27"/>
    <w:rsid w:val="00E8277F"/>
    <w:rsid w:val="00E828CF"/>
    <w:rsid w:val="00E83338"/>
    <w:rsid w:val="00E8339A"/>
    <w:rsid w:val="00E83523"/>
    <w:rsid w:val="00E835A3"/>
    <w:rsid w:val="00E83863"/>
    <w:rsid w:val="00E83F5F"/>
    <w:rsid w:val="00E842D5"/>
    <w:rsid w:val="00E84358"/>
    <w:rsid w:val="00E84600"/>
    <w:rsid w:val="00E84920"/>
    <w:rsid w:val="00E84B45"/>
    <w:rsid w:val="00E84CF5"/>
    <w:rsid w:val="00E84E79"/>
    <w:rsid w:val="00E84ED3"/>
    <w:rsid w:val="00E8587C"/>
    <w:rsid w:val="00E85D20"/>
    <w:rsid w:val="00E862E3"/>
    <w:rsid w:val="00E8632F"/>
    <w:rsid w:val="00E8666F"/>
    <w:rsid w:val="00E8673C"/>
    <w:rsid w:val="00E8674D"/>
    <w:rsid w:val="00E869C2"/>
    <w:rsid w:val="00E86B24"/>
    <w:rsid w:val="00E86C3D"/>
    <w:rsid w:val="00E876CB"/>
    <w:rsid w:val="00E87A18"/>
    <w:rsid w:val="00E87A4C"/>
    <w:rsid w:val="00E87C09"/>
    <w:rsid w:val="00E90166"/>
    <w:rsid w:val="00E90203"/>
    <w:rsid w:val="00E90654"/>
    <w:rsid w:val="00E90F4F"/>
    <w:rsid w:val="00E91155"/>
    <w:rsid w:val="00E914F4"/>
    <w:rsid w:val="00E915D0"/>
    <w:rsid w:val="00E91C88"/>
    <w:rsid w:val="00E91E57"/>
    <w:rsid w:val="00E91EF2"/>
    <w:rsid w:val="00E92098"/>
    <w:rsid w:val="00E9270E"/>
    <w:rsid w:val="00E92772"/>
    <w:rsid w:val="00E92E72"/>
    <w:rsid w:val="00E93141"/>
    <w:rsid w:val="00E936D1"/>
    <w:rsid w:val="00E93B38"/>
    <w:rsid w:val="00E94543"/>
    <w:rsid w:val="00E94AE0"/>
    <w:rsid w:val="00E94F13"/>
    <w:rsid w:val="00E950A1"/>
    <w:rsid w:val="00E95ACA"/>
    <w:rsid w:val="00E95DFB"/>
    <w:rsid w:val="00E960AE"/>
    <w:rsid w:val="00E96438"/>
    <w:rsid w:val="00E967AE"/>
    <w:rsid w:val="00E968EC"/>
    <w:rsid w:val="00E96B13"/>
    <w:rsid w:val="00E96E05"/>
    <w:rsid w:val="00E97058"/>
    <w:rsid w:val="00E97CCD"/>
    <w:rsid w:val="00EA0676"/>
    <w:rsid w:val="00EA072D"/>
    <w:rsid w:val="00EA0BBA"/>
    <w:rsid w:val="00EA0C6E"/>
    <w:rsid w:val="00EA0F15"/>
    <w:rsid w:val="00EA1B8A"/>
    <w:rsid w:val="00EA2962"/>
    <w:rsid w:val="00EA3022"/>
    <w:rsid w:val="00EA3307"/>
    <w:rsid w:val="00EA33D2"/>
    <w:rsid w:val="00EA372E"/>
    <w:rsid w:val="00EA3905"/>
    <w:rsid w:val="00EA3917"/>
    <w:rsid w:val="00EA3990"/>
    <w:rsid w:val="00EA3EC4"/>
    <w:rsid w:val="00EA4391"/>
    <w:rsid w:val="00EA48EA"/>
    <w:rsid w:val="00EA4AE3"/>
    <w:rsid w:val="00EA5A1C"/>
    <w:rsid w:val="00EA5E5A"/>
    <w:rsid w:val="00EA610B"/>
    <w:rsid w:val="00EA6124"/>
    <w:rsid w:val="00EA6235"/>
    <w:rsid w:val="00EA6CB0"/>
    <w:rsid w:val="00EA6DAC"/>
    <w:rsid w:val="00EA6ED9"/>
    <w:rsid w:val="00EA6F9B"/>
    <w:rsid w:val="00EA6F9D"/>
    <w:rsid w:val="00EA785A"/>
    <w:rsid w:val="00EB006B"/>
    <w:rsid w:val="00EB0319"/>
    <w:rsid w:val="00EB0540"/>
    <w:rsid w:val="00EB0B81"/>
    <w:rsid w:val="00EB0B8C"/>
    <w:rsid w:val="00EB11BB"/>
    <w:rsid w:val="00EB152E"/>
    <w:rsid w:val="00EB16FB"/>
    <w:rsid w:val="00EB1DCC"/>
    <w:rsid w:val="00EB1F5D"/>
    <w:rsid w:val="00EB2298"/>
    <w:rsid w:val="00EB2806"/>
    <w:rsid w:val="00EB2946"/>
    <w:rsid w:val="00EB2D9D"/>
    <w:rsid w:val="00EB2F79"/>
    <w:rsid w:val="00EB32EA"/>
    <w:rsid w:val="00EB360C"/>
    <w:rsid w:val="00EB3BD5"/>
    <w:rsid w:val="00EB486B"/>
    <w:rsid w:val="00EB4BA4"/>
    <w:rsid w:val="00EB4E84"/>
    <w:rsid w:val="00EB51EE"/>
    <w:rsid w:val="00EB529A"/>
    <w:rsid w:val="00EB5326"/>
    <w:rsid w:val="00EB534C"/>
    <w:rsid w:val="00EB5989"/>
    <w:rsid w:val="00EB5D52"/>
    <w:rsid w:val="00EB5DC3"/>
    <w:rsid w:val="00EB6A0B"/>
    <w:rsid w:val="00EB7276"/>
    <w:rsid w:val="00EB77CE"/>
    <w:rsid w:val="00EB77F6"/>
    <w:rsid w:val="00EB7ACE"/>
    <w:rsid w:val="00EB7EA5"/>
    <w:rsid w:val="00EC061C"/>
    <w:rsid w:val="00EC0B69"/>
    <w:rsid w:val="00EC1415"/>
    <w:rsid w:val="00EC16F3"/>
    <w:rsid w:val="00EC2469"/>
    <w:rsid w:val="00EC285C"/>
    <w:rsid w:val="00EC2889"/>
    <w:rsid w:val="00EC2E06"/>
    <w:rsid w:val="00EC378A"/>
    <w:rsid w:val="00EC39E9"/>
    <w:rsid w:val="00EC3AB1"/>
    <w:rsid w:val="00EC459A"/>
    <w:rsid w:val="00EC4A06"/>
    <w:rsid w:val="00EC4A56"/>
    <w:rsid w:val="00EC4B8E"/>
    <w:rsid w:val="00EC4EC4"/>
    <w:rsid w:val="00EC51D7"/>
    <w:rsid w:val="00EC5358"/>
    <w:rsid w:val="00EC5612"/>
    <w:rsid w:val="00EC597C"/>
    <w:rsid w:val="00EC59F1"/>
    <w:rsid w:val="00EC5A54"/>
    <w:rsid w:val="00EC5FDF"/>
    <w:rsid w:val="00EC62BB"/>
    <w:rsid w:val="00EC64FB"/>
    <w:rsid w:val="00EC67BF"/>
    <w:rsid w:val="00EC6E08"/>
    <w:rsid w:val="00EC71A8"/>
    <w:rsid w:val="00EC729A"/>
    <w:rsid w:val="00EC778A"/>
    <w:rsid w:val="00EC7D15"/>
    <w:rsid w:val="00ED02DD"/>
    <w:rsid w:val="00ED03A9"/>
    <w:rsid w:val="00ED05B4"/>
    <w:rsid w:val="00ED063E"/>
    <w:rsid w:val="00ED07B9"/>
    <w:rsid w:val="00ED07F3"/>
    <w:rsid w:val="00ED0AED"/>
    <w:rsid w:val="00ED0B23"/>
    <w:rsid w:val="00ED0DCC"/>
    <w:rsid w:val="00ED1207"/>
    <w:rsid w:val="00ED1509"/>
    <w:rsid w:val="00ED1562"/>
    <w:rsid w:val="00ED16AB"/>
    <w:rsid w:val="00ED1EE7"/>
    <w:rsid w:val="00ED204A"/>
    <w:rsid w:val="00ED2C02"/>
    <w:rsid w:val="00ED2D73"/>
    <w:rsid w:val="00ED2E7A"/>
    <w:rsid w:val="00ED312C"/>
    <w:rsid w:val="00ED3270"/>
    <w:rsid w:val="00ED4497"/>
    <w:rsid w:val="00ED4539"/>
    <w:rsid w:val="00ED4BBC"/>
    <w:rsid w:val="00ED4C61"/>
    <w:rsid w:val="00ED55BB"/>
    <w:rsid w:val="00ED5987"/>
    <w:rsid w:val="00ED62CD"/>
    <w:rsid w:val="00ED7923"/>
    <w:rsid w:val="00ED7A8D"/>
    <w:rsid w:val="00EE0C4A"/>
    <w:rsid w:val="00EE0C55"/>
    <w:rsid w:val="00EE0D46"/>
    <w:rsid w:val="00EE16B3"/>
    <w:rsid w:val="00EE1B66"/>
    <w:rsid w:val="00EE1D6A"/>
    <w:rsid w:val="00EE1F0D"/>
    <w:rsid w:val="00EE2786"/>
    <w:rsid w:val="00EE28BA"/>
    <w:rsid w:val="00EE2B15"/>
    <w:rsid w:val="00EE2B5F"/>
    <w:rsid w:val="00EE31E2"/>
    <w:rsid w:val="00EE365E"/>
    <w:rsid w:val="00EE3D5B"/>
    <w:rsid w:val="00EE3D6D"/>
    <w:rsid w:val="00EE3EB9"/>
    <w:rsid w:val="00EE3EF8"/>
    <w:rsid w:val="00EE4518"/>
    <w:rsid w:val="00EE456C"/>
    <w:rsid w:val="00EE487D"/>
    <w:rsid w:val="00EE4930"/>
    <w:rsid w:val="00EE4FBC"/>
    <w:rsid w:val="00EE57C8"/>
    <w:rsid w:val="00EE617A"/>
    <w:rsid w:val="00EE627E"/>
    <w:rsid w:val="00EE6383"/>
    <w:rsid w:val="00EE675A"/>
    <w:rsid w:val="00EE6F03"/>
    <w:rsid w:val="00EE738E"/>
    <w:rsid w:val="00EE7AD0"/>
    <w:rsid w:val="00EF0266"/>
    <w:rsid w:val="00EF067F"/>
    <w:rsid w:val="00EF06D6"/>
    <w:rsid w:val="00EF0852"/>
    <w:rsid w:val="00EF0ACB"/>
    <w:rsid w:val="00EF0B64"/>
    <w:rsid w:val="00EF0D5A"/>
    <w:rsid w:val="00EF1428"/>
    <w:rsid w:val="00EF1807"/>
    <w:rsid w:val="00EF1E9B"/>
    <w:rsid w:val="00EF1FF5"/>
    <w:rsid w:val="00EF2835"/>
    <w:rsid w:val="00EF29D0"/>
    <w:rsid w:val="00EF2A67"/>
    <w:rsid w:val="00EF2FE1"/>
    <w:rsid w:val="00EF32B5"/>
    <w:rsid w:val="00EF386E"/>
    <w:rsid w:val="00EF3C0F"/>
    <w:rsid w:val="00EF3E57"/>
    <w:rsid w:val="00EF40D3"/>
    <w:rsid w:val="00EF46C2"/>
    <w:rsid w:val="00EF4C13"/>
    <w:rsid w:val="00EF4E2E"/>
    <w:rsid w:val="00EF4E90"/>
    <w:rsid w:val="00EF53AE"/>
    <w:rsid w:val="00EF54FC"/>
    <w:rsid w:val="00EF5A1E"/>
    <w:rsid w:val="00EF5B6E"/>
    <w:rsid w:val="00EF5CEA"/>
    <w:rsid w:val="00EF638A"/>
    <w:rsid w:val="00EF63C8"/>
    <w:rsid w:val="00EF63FB"/>
    <w:rsid w:val="00EF67E8"/>
    <w:rsid w:val="00EF69AC"/>
    <w:rsid w:val="00EF6BAD"/>
    <w:rsid w:val="00EF6BB4"/>
    <w:rsid w:val="00EF6C81"/>
    <w:rsid w:val="00EF72FB"/>
    <w:rsid w:val="00EF7609"/>
    <w:rsid w:val="00EF7678"/>
    <w:rsid w:val="00EF7883"/>
    <w:rsid w:val="00EF7980"/>
    <w:rsid w:val="00EF7AA0"/>
    <w:rsid w:val="00EF7FE6"/>
    <w:rsid w:val="00F0022C"/>
    <w:rsid w:val="00F00286"/>
    <w:rsid w:val="00F008EF"/>
    <w:rsid w:val="00F009F0"/>
    <w:rsid w:val="00F00BCE"/>
    <w:rsid w:val="00F0110C"/>
    <w:rsid w:val="00F013F6"/>
    <w:rsid w:val="00F014AF"/>
    <w:rsid w:val="00F01991"/>
    <w:rsid w:val="00F01B3D"/>
    <w:rsid w:val="00F01C19"/>
    <w:rsid w:val="00F02DF6"/>
    <w:rsid w:val="00F0321C"/>
    <w:rsid w:val="00F03B9F"/>
    <w:rsid w:val="00F03D22"/>
    <w:rsid w:val="00F03EF8"/>
    <w:rsid w:val="00F03F4D"/>
    <w:rsid w:val="00F045F7"/>
    <w:rsid w:val="00F0481D"/>
    <w:rsid w:val="00F04939"/>
    <w:rsid w:val="00F04CC0"/>
    <w:rsid w:val="00F04E91"/>
    <w:rsid w:val="00F05D87"/>
    <w:rsid w:val="00F05FFA"/>
    <w:rsid w:val="00F06249"/>
    <w:rsid w:val="00F0644B"/>
    <w:rsid w:val="00F0685C"/>
    <w:rsid w:val="00F06A0C"/>
    <w:rsid w:val="00F06BBE"/>
    <w:rsid w:val="00F073D1"/>
    <w:rsid w:val="00F07CB0"/>
    <w:rsid w:val="00F07CB4"/>
    <w:rsid w:val="00F07ED6"/>
    <w:rsid w:val="00F10282"/>
    <w:rsid w:val="00F103C6"/>
    <w:rsid w:val="00F10A5D"/>
    <w:rsid w:val="00F111F2"/>
    <w:rsid w:val="00F1126F"/>
    <w:rsid w:val="00F11BED"/>
    <w:rsid w:val="00F11C06"/>
    <w:rsid w:val="00F11DDB"/>
    <w:rsid w:val="00F11EA3"/>
    <w:rsid w:val="00F12028"/>
    <w:rsid w:val="00F123C1"/>
    <w:rsid w:val="00F123DB"/>
    <w:rsid w:val="00F12438"/>
    <w:rsid w:val="00F12924"/>
    <w:rsid w:val="00F12C7E"/>
    <w:rsid w:val="00F13E8F"/>
    <w:rsid w:val="00F13F78"/>
    <w:rsid w:val="00F148CF"/>
    <w:rsid w:val="00F154F7"/>
    <w:rsid w:val="00F155CC"/>
    <w:rsid w:val="00F156AB"/>
    <w:rsid w:val="00F15B62"/>
    <w:rsid w:val="00F16249"/>
    <w:rsid w:val="00F1714E"/>
    <w:rsid w:val="00F17316"/>
    <w:rsid w:val="00F17AFA"/>
    <w:rsid w:val="00F17B16"/>
    <w:rsid w:val="00F2076A"/>
    <w:rsid w:val="00F2093C"/>
    <w:rsid w:val="00F20ACF"/>
    <w:rsid w:val="00F20BE5"/>
    <w:rsid w:val="00F20CF8"/>
    <w:rsid w:val="00F21A51"/>
    <w:rsid w:val="00F220B9"/>
    <w:rsid w:val="00F22163"/>
    <w:rsid w:val="00F22265"/>
    <w:rsid w:val="00F222D0"/>
    <w:rsid w:val="00F22700"/>
    <w:rsid w:val="00F2288E"/>
    <w:rsid w:val="00F233AD"/>
    <w:rsid w:val="00F23596"/>
    <w:rsid w:val="00F239B3"/>
    <w:rsid w:val="00F23EDA"/>
    <w:rsid w:val="00F242EE"/>
    <w:rsid w:val="00F24C01"/>
    <w:rsid w:val="00F24D37"/>
    <w:rsid w:val="00F24E18"/>
    <w:rsid w:val="00F2523B"/>
    <w:rsid w:val="00F25719"/>
    <w:rsid w:val="00F258C5"/>
    <w:rsid w:val="00F258F6"/>
    <w:rsid w:val="00F25C0E"/>
    <w:rsid w:val="00F25D34"/>
    <w:rsid w:val="00F25DC6"/>
    <w:rsid w:val="00F26063"/>
    <w:rsid w:val="00F260D3"/>
    <w:rsid w:val="00F2666C"/>
    <w:rsid w:val="00F26744"/>
    <w:rsid w:val="00F269C4"/>
    <w:rsid w:val="00F271E8"/>
    <w:rsid w:val="00F27271"/>
    <w:rsid w:val="00F27275"/>
    <w:rsid w:val="00F275A3"/>
    <w:rsid w:val="00F279E8"/>
    <w:rsid w:val="00F279EE"/>
    <w:rsid w:val="00F27B14"/>
    <w:rsid w:val="00F301A9"/>
    <w:rsid w:val="00F3084D"/>
    <w:rsid w:val="00F3088B"/>
    <w:rsid w:val="00F308BA"/>
    <w:rsid w:val="00F30C86"/>
    <w:rsid w:val="00F31304"/>
    <w:rsid w:val="00F3148D"/>
    <w:rsid w:val="00F31898"/>
    <w:rsid w:val="00F31C8C"/>
    <w:rsid w:val="00F32143"/>
    <w:rsid w:val="00F32212"/>
    <w:rsid w:val="00F32236"/>
    <w:rsid w:val="00F324FF"/>
    <w:rsid w:val="00F32636"/>
    <w:rsid w:val="00F32977"/>
    <w:rsid w:val="00F329AF"/>
    <w:rsid w:val="00F33228"/>
    <w:rsid w:val="00F33ABE"/>
    <w:rsid w:val="00F33C2D"/>
    <w:rsid w:val="00F33E14"/>
    <w:rsid w:val="00F3420C"/>
    <w:rsid w:val="00F344A0"/>
    <w:rsid w:val="00F346F7"/>
    <w:rsid w:val="00F34D4C"/>
    <w:rsid w:val="00F34FBE"/>
    <w:rsid w:val="00F34FD6"/>
    <w:rsid w:val="00F3503D"/>
    <w:rsid w:val="00F35124"/>
    <w:rsid w:val="00F3529D"/>
    <w:rsid w:val="00F35C10"/>
    <w:rsid w:val="00F35D50"/>
    <w:rsid w:val="00F3667A"/>
    <w:rsid w:val="00F36ACA"/>
    <w:rsid w:val="00F36C84"/>
    <w:rsid w:val="00F37269"/>
    <w:rsid w:val="00F37332"/>
    <w:rsid w:val="00F373C8"/>
    <w:rsid w:val="00F37426"/>
    <w:rsid w:val="00F37606"/>
    <w:rsid w:val="00F378BC"/>
    <w:rsid w:val="00F403FF"/>
    <w:rsid w:val="00F4041A"/>
    <w:rsid w:val="00F409C5"/>
    <w:rsid w:val="00F40FAC"/>
    <w:rsid w:val="00F4109F"/>
    <w:rsid w:val="00F4153D"/>
    <w:rsid w:val="00F415CD"/>
    <w:rsid w:val="00F41B6E"/>
    <w:rsid w:val="00F41F44"/>
    <w:rsid w:val="00F42623"/>
    <w:rsid w:val="00F426EB"/>
    <w:rsid w:val="00F427D5"/>
    <w:rsid w:val="00F42BF9"/>
    <w:rsid w:val="00F42CD1"/>
    <w:rsid w:val="00F42CF6"/>
    <w:rsid w:val="00F42FF1"/>
    <w:rsid w:val="00F437A2"/>
    <w:rsid w:val="00F4386F"/>
    <w:rsid w:val="00F438A6"/>
    <w:rsid w:val="00F43A62"/>
    <w:rsid w:val="00F43A63"/>
    <w:rsid w:val="00F441C1"/>
    <w:rsid w:val="00F444FD"/>
    <w:rsid w:val="00F445C9"/>
    <w:rsid w:val="00F44615"/>
    <w:rsid w:val="00F44916"/>
    <w:rsid w:val="00F4542D"/>
    <w:rsid w:val="00F45733"/>
    <w:rsid w:val="00F464A1"/>
    <w:rsid w:val="00F464FB"/>
    <w:rsid w:val="00F46A8E"/>
    <w:rsid w:val="00F50233"/>
    <w:rsid w:val="00F5073C"/>
    <w:rsid w:val="00F508F2"/>
    <w:rsid w:val="00F50C88"/>
    <w:rsid w:val="00F50D12"/>
    <w:rsid w:val="00F50F3A"/>
    <w:rsid w:val="00F511ED"/>
    <w:rsid w:val="00F514D2"/>
    <w:rsid w:val="00F517E3"/>
    <w:rsid w:val="00F52948"/>
    <w:rsid w:val="00F52A8B"/>
    <w:rsid w:val="00F52D3C"/>
    <w:rsid w:val="00F53466"/>
    <w:rsid w:val="00F53893"/>
    <w:rsid w:val="00F538CE"/>
    <w:rsid w:val="00F53EF7"/>
    <w:rsid w:val="00F5448B"/>
    <w:rsid w:val="00F54624"/>
    <w:rsid w:val="00F54775"/>
    <w:rsid w:val="00F54940"/>
    <w:rsid w:val="00F54949"/>
    <w:rsid w:val="00F54BF9"/>
    <w:rsid w:val="00F54F45"/>
    <w:rsid w:val="00F55177"/>
    <w:rsid w:val="00F553E3"/>
    <w:rsid w:val="00F55452"/>
    <w:rsid w:val="00F555A2"/>
    <w:rsid w:val="00F555EA"/>
    <w:rsid w:val="00F56131"/>
    <w:rsid w:val="00F56629"/>
    <w:rsid w:val="00F568AF"/>
    <w:rsid w:val="00F56F70"/>
    <w:rsid w:val="00F575E4"/>
    <w:rsid w:val="00F5775C"/>
    <w:rsid w:val="00F57D1D"/>
    <w:rsid w:val="00F601AD"/>
    <w:rsid w:val="00F6091E"/>
    <w:rsid w:val="00F6112C"/>
    <w:rsid w:val="00F612F8"/>
    <w:rsid w:val="00F617A2"/>
    <w:rsid w:val="00F6186A"/>
    <w:rsid w:val="00F624A3"/>
    <w:rsid w:val="00F62A6D"/>
    <w:rsid w:val="00F62FCC"/>
    <w:rsid w:val="00F63234"/>
    <w:rsid w:val="00F6323D"/>
    <w:rsid w:val="00F636AE"/>
    <w:rsid w:val="00F63B0B"/>
    <w:rsid w:val="00F6490A"/>
    <w:rsid w:val="00F65759"/>
    <w:rsid w:val="00F657A4"/>
    <w:rsid w:val="00F65EC6"/>
    <w:rsid w:val="00F65ED0"/>
    <w:rsid w:val="00F6610D"/>
    <w:rsid w:val="00F665AC"/>
    <w:rsid w:val="00F66A1F"/>
    <w:rsid w:val="00F66EF3"/>
    <w:rsid w:val="00F67B40"/>
    <w:rsid w:val="00F67B68"/>
    <w:rsid w:val="00F67E20"/>
    <w:rsid w:val="00F67FEA"/>
    <w:rsid w:val="00F70249"/>
    <w:rsid w:val="00F703B1"/>
    <w:rsid w:val="00F706F3"/>
    <w:rsid w:val="00F70716"/>
    <w:rsid w:val="00F70AF1"/>
    <w:rsid w:val="00F7105E"/>
    <w:rsid w:val="00F711BB"/>
    <w:rsid w:val="00F712ED"/>
    <w:rsid w:val="00F714B6"/>
    <w:rsid w:val="00F71715"/>
    <w:rsid w:val="00F71C5B"/>
    <w:rsid w:val="00F71F01"/>
    <w:rsid w:val="00F7258A"/>
    <w:rsid w:val="00F725EF"/>
    <w:rsid w:val="00F72BA8"/>
    <w:rsid w:val="00F72D2F"/>
    <w:rsid w:val="00F7341C"/>
    <w:rsid w:val="00F73794"/>
    <w:rsid w:val="00F738A4"/>
    <w:rsid w:val="00F73E6A"/>
    <w:rsid w:val="00F7428C"/>
    <w:rsid w:val="00F745AA"/>
    <w:rsid w:val="00F749E6"/>
    <w:rsid w:val="00F7581E"/>
    <w:rsid w:val="00F75E8E"/>
    <w:rsid w:val="00F75EF2"/>
    <w:rsid w:val="00F76112"/>
    <w:rsid w:val="00F76409"/>
    <w:rsid w:val="00F76CCC"/>
    <w:rsid w:val="00F76EEF"/>
    <w:rsid w:val="00F76F7B"/>
    <w:rsid w:val="00F7702C"/>
    <w:rsid w:val="00F77090"/>
    <w:rsid w:val="00F772AF"/>
    <w:rsid w:val="00F7747A"/>
    <w:rsid w:val="00F774F8"/>
    <w:rsid w:val="00F77754"/>
    <w:rsid w:val="00F7784B"/>
    <w:rsid w:val="00F7792E"/>
    <w:rsid w:val="00F779B0"/>
    <w:rsid w:val="00F77B9A"/>
    <w:rsid w:val="00F77E6C"/>
    <w:rsid w:val="00F77F47"/>
    <w:rsid w:val="00F80163"/>
    <w:rsid w:val="00F80191"/>
    <w:rsid w:val="00F802BD"/>
    <w:rsid w:val="00F802D8"/>
    <w:rsid w:val="00F80522"/>
    <w:rsid w:val="00F8088F"/>
    <w:rsid w:val="00F80B41"/>
    <w:rsid w:val="00F80D74"/>
    <w:rsid w:val="00F8156D"/>
    <w:rsid w:val="00F81853"/>
    <w:rsid w:val="00F818E0"/>
    <w:rsid w:val="00F82F5A"/>
    <w:rsid w:val="00F83359"/>
    <w:rsid w:val="00F8355C"/>
    <w:rsid w:val="00F83BA0"/>
    <w:rsid w:val="00F83D9F"/>
    <w:rsid w:val="00F84532"/>
    <w:rsid w:val="00F84B60"/>
    <w:rsid w:val="00F85189"/>
    <w:rsid w:val="00F85446"/>
    <w:rsid w:val="00F854C1"/>
    <w:rsid w:val="00F855DB"/>
    <w:rsid w:val="00F85659"/>
    <w:rsid w:val="00F86191"/>
    <w:rsid w:val="00F8630E"/>
    <w:rsid w:val="00F8649D"/>
    <w:rsid w:val="00F868B3"/>
    <w:rsid w:val="00F86CA5"/>
    <w:rsid w:val="00F87034"/>
    <w:rsid w:val="00F8726F"/>
    <w:rsid w:val="00F87307"/>
    <w:rsid w:val="00F875E5"/>
    <w:rsid w:val="00F87ABF"/>
    <w:rsid w:val="00F87D93"/>
    <w:rsid w:val="00F87E5E"/>
    <w:rsid w:val="00F87FE0"/>
    <w:rsid w:val="00F901EB"/>
    <w:rsid w:val="00F9049E"/>
    <w:rsid w:val="00F9050D"/>
    <w:rsid w:val="00F90B09"/>
    <w:rsid w:val="00F910EC"/>
    <w:rsid w:val="00F91AEB"/>
    <w:rsid w:val="00F91CE7"/>
    <w:rsid w:val="00F92245"/>
    <w:rsid w:val="00F9250E"/>
    <w:rsid w:val="00F925C8"/>
    <w:rsid w:val="00F926B3"/>
    <w:rsid w:val="00F928F7"/>
    <w:rsid w:val="00F929D1"/>
    <w:rsid w:val="00F92B5B"/>
    <w:rsid w:val="00F92D09"/>
    <w:rsid w:val="00F92D31"/>
    <w:rsid w:val="00F9313C"/>
    <w:rsid w:val="00F93560"/>
    <w:rsid w:val="00F935A5"/>
    <w:rsid w:val="00F93AEC"/>
    <w:rsid w:val="00F93FAE"/>
    <w:rsid w:val="00F94423"/>
    <w:rsid w:val="00F949C8"/>
    <w:rsid w:val="00F94CB5"/>
    <w:rsid w:val="00F95AFB"/>
    <w:rsid w:val="00F95E57"/>
    <w:rsid w:val="00F9650B"/>
    <w:rsid w:val="00F96E10"/>
    <w:rsid w:val="00F97390"/>
    <w:rsid w:val="00F97522"/>
    <w:rsid w:val="00F9770C"/>
    <w:rsid w:val="00F977B1"/>
    <w:rsid w:val="00F9790F"/>
    <w:rsid w:val="00F97B16"/>
    <w:rsid w:val="00F97C84"/>
    <w:rsid w:val="00F97CAC"/>
    <w:rsid w:val="00F97D1B"/>
    <w:rsid w:val="00FA0007"/>
    <w:rsid w:val="00FA00B3"/>
    <w:rsid w:val="00FA062E"/>
    <w:rsid w:val="00FA1299"/>
    <w:rsid w:val="00FA1764"/>
    <w:rsid w:val="00FA1930"/>
    <w:rsid w:val="00FA1C81"/>
    <w:rsid w:val="00FA23CF"/>
    <w:rsid w:val="00FA241C"/>
    <w:rsid w:val="00FA267F"/>
    <w:rsid w:val="00FA274F"/>
    <w:rsid w:val="00FA297E"/>
    <w:rsid w:val="00FA2C2E"/>
    <w:rsid w:val="00FA31ED"/>
    <w:rsid w:val="00FA334A"/>
    <w:rsid w:val="00FA3A3C"/>
    <w:rsid w:val="00FA3ADA"/>
    <w:rsid w:val="00FA3B60"/>
    <w:rsid w:val="00FA3DCD"/>
    <w:rsid w:val="00FA414D"/>
    <w:rsid w:val="00FA420B"/>
    <w:rsid w:val="00FA4501"/>
    <w:rsid w:val="00FA4986"/>
    <w:rsid w:val="00FA4D0D"/>
    <w:rsid w:val="00FA4DA8"/>
    <w:rsid w:val="00FA4F3A"/>
    <w:rsid w:val="00FA51A3"/>
    <w:rsid w:val="00FA5284"/>
    <w:rsid w:val="00FA5556"/>
    <w:rsid w:val="00FA55DE"/>
    <w:rsid w:val="00FA5627"/>
    <w:rsid w:val="00FA57C7"/>
    <w:rsid w:val="00FA5A47"/>
    <w:rsid w:val="00FA6080"/>
    <w:rsid w:val="00FA60A0"/>
    <w:rsid w:val="00FA61AD"/>
    <w:rsid w:val="00FA6202"/>
    <w:rsid w:val="00FA63E1"/>
    <w:rsid w:val="00FA6D07"/>
    <w:rsid w:val="00FA6EE9"/>
    <w:rsid w:val="00FA7E43"/>
    <w:rsid w:val="00FA7F76"/>
    <w:rsid w:val="00FB0011"/>
    <w:rsid w:val="00FB001D"/>
    <w:rsid w:val="00FB01EC"/>
    <w:rsid w:val="00FB0C6C"/>
    <w:rsid w:val="00FB10F6"/>
    <w:rsid w:val="00FB113D"/>
    <w:rsid w:val="00FB122F"/>
    <w:rsid w:val="00FB156A"/>
    <w:rsid w:val="00FB1941"/>
    <w:rsid w:val="00FB240D"/>
    <w:rsid w:val="00FB2522"/>
    <w:rsid w:val="00FB2E9E"/>
    <w:rsid w:val="00FB3054"/>
    <w:rsid w:val="00FB3081"/>
    <w:rsid w:val="00FB34A7"/>
    <w:rsid w:val="00FB37F0"/>
    <w:rsid w:val="00FB3B6C"/>
    <w:rsid w:val="00FB3FDA"/>
    <w:rsid w:val="00FB4650"/>
    <w:rsid w:val="00FB4A39"/>
    <w:rsid w:val="00FB4CA2"/>
    <w:rsid w:val="00FB4D17"/>
    <w:rsid w:val="00FB547C"/>
    <w:rsid w:val="00FB5788"/>
    <w:rsid w:val="00FB6CC2"/>
    <w:rsid w:val="00FB727A"/>
    <w:rsid w:val="00FB7308"/>
    <w:rsid w:val="00FB738E"/>
    <w:rsid w:val="00FB73F1"/>
    <w:rsid w:val="00FB7693"/>
    <w:rsid w:val="00FB7A3B"/>
    <w:rsid w:val="00FB7EB8"/>
    <w:rsid w:val="00FC09C6"/>
    <w:rsid w:val="00FC0AD9"/>
    <w:rsid w:val="00FC0C28"/>
    <w:rsid w:val="00FC0CEF"/>
    <w:rsid w:val="00FC1DEF"/>
    <w:rsid w:val="00FC2363"/>
    <w:rsid w:val="00FC2786"/>
    <w:rsid w:val="00FC2F79"/>
    <w:rsid w:val="00FC3058"/>
    <w:rsid w:val="00FC3218"/>
    <w:rsid w:val="00FC3981"/>
    <w:rsid w:val="00FC44FE"/>
    <w:rsid w:val="00FC458D"/>
    <w:rsid w:val="00FC4650"/>
    <w:rsid w:val="00FC4675"/>
    <w:rsid w:val="00FC47E9"/>
    <w:rsid w:val="00FC4D49"/>
    <w:rsid w:val="00FC5254"/>
    <w:rsid w:val="00FC52B0"/>
    <w:rsid w:val="00FC53DD"/>
    <w:rsid w:val="00FC5A81"/>
    <w:rsid w:val="00FC6013"/>
    <w:rsid w:val="00FC6427"/>
    <w:rsid w:val="00FC69B6"/>
    <w:rsid w:val="00FC6D26"/>
    <w:rsid w:val="00FC798F"/>
    <w:rsid w:val="00FC7B33"/>
    <w:rsid w:val="00FC7D57"/>
    <w:rsid w:val="00FC7F54"/>
    <w:rsid w:val="00FD081A"/>
    <w:rsid w:val="00FD0CDE"/>
    <w:rsid w:val="00FD1066"/>
    <w:rsid w:val="00FD1703"/>
    <w:rsid w:val="00FD18C1"/>
    <w:rsid w:val="00FD1FF1"/>
    <w:rsid w:val="00FD20C6"/>
    <w:rsid w:val="00FD22CE"/>
    <w:rsid w:val="00FD23CB"/>
    <w:rsid w:val="00FD2B3E"/>
    <w:rsid w:val="00FD3093"/>
    <w:rsid w:val="00FD3142"/>
    <w:rsid w:val="00FD33AA"/>
    <w:rsid w:val="00FD34DF"/>
    <w:rsid w:val="00FD36BD"/>
    <w:rsid w:val="00FD37F9"/>
    <w:rsid w:val="00FD3C69"/>
    <w:rsid w:val="00FD3E52"/>
    <w:rsid w:val="00FD3FE6"/>
    <w:rsid w:val="00FD4492"/>
    <w:rsid w:val="00FD44D8"/>
    <w:rsid w:val="00FD4A84"/>
    <w:rsid w:val="00FD4D34"/>
    <w:rsid w:val="00FD4DC7"/>
    <w:rsid w:val="00FD4E84"/>
    <w:rsid w:val="00FD5047"/>
    <w:rsid w:val="00FD5EE4"/>
    <w:rsid w:val="00FD6562"/>
    <w:rsid w:val="00FD697E"/>
    <w:rsid w:val="00FD6D5C"/>
    <w:rsid w:val="00FD71DD"/>
    <w:rsid w:val="00FD7D29"/>
    <w:rsid w:val="00FD7DB6"/>
    <w:rsid w:val="00FD7FFC"/>
    <w:rsid w:val="00FE0090"/>
    <w:rsid w:val="00FE072E"/>
    <w:rsid w:val="00FE073E"/>
    <w:rsid w:val="00FE078B"/>
    <w:rsid w:val="00FE0ACD"/>
    <w:rsid w:val="00FE217B"/>
    <w:rsid w:val="00FE2AB6"/>
    <w:rsid w:val="00FE2BBB"/>
    <w:rsid w:val="00FE3161"/>
    <w:rsid w:val="00FE38B1"/>
    <w:rsid w:val="00FE38BF"/>
    <w:rsid w:val="00FE3B3A"/>
    <w:rsid w:val="00FE3FE4"/>
    <w:rsid w:val="00FE443E"/>
    <w:rsid w:val="00FE4727"/>
    <w:rsid w:val="00FE4B4F"/>
    <w:rsid w:val="00FE5428"/>
    <w:rsid w:val="00FE5E9B"/>
    <w:rsid w:val="00FE617B"/>
    <w:rsid w:val="00FE620A"/>
    <w:rsid w:val="00FE66BA"/>
    <w:rsid w:val="00FE688B"/>
    <w:rsid w:val="00FE695A"/>
    <w:rsid w:val="00FE6D11"/>
    <w:rsid w:val="00FE6DCC"/>
    <w:rsid w:val="00FE7989"/>
    <w:rsid w:val="00FE7B2B"/>
    <w:rsid w:val="00FE7B36"/>
    <w:rsid w:val="00FE7F5E"/>
    <w:rsid w:val="00FF03A5"/>
    <w:rsid w:val="00FF0E4F"/>
    <w:rsid w:val="00FF13BA"/>
    <w:rsid w:val="00FF1510"/>
    <w:rsid w:val="00FF157A"/>
    <w:rsid w:val="00FF15F7"/>
    <w:rsid w:val="00FF1C73"/>
    <w:rsid w:val="00FF2396"/>
    <w:rsid w:val="00FF23D0"/>
    <w:rsid w:val="00FF259C"/>
    <w:rsid w:val="00FF2625"/>
    <w:rsid w:val="00FF2A60"/>
    <w:rsid w:val="00FF2E75"/>
    <w:rsid w:val="00FF3784"/>
    <w:rsid w:val="00FF385D"/>
    <w:rsid w:val="00FF3EEF"/>
    <w:rsid w:val="00FF4006"/>
    <w:rsid w:val="00FF419E"/>
    <w:rsid w:val="00FF44EE"/>
    <w:rsid w:val="00FF46AD"/>
    <w:rsid w:val="00FF46B4"/>
    <w:rsid w:val="00FF4A5A"/>
    <w:rsid w:val="00FF4C7E"/>
    <w:rsid w:val="00FF51FD"/>
    <w:rsid w:val="00FF538D"/>
    <w:rsid w:val="00FF58F6"/>
    <w:rsid w:val="00FF5CD8"/>
    <w:rsid w:val="00FF5EF8"/>
    <w:rsid w:val="00FF63BF"/>
    <w:rsid w:val="00FF6458"/>
    <w:rsid w:val="00FF6590"/>
    <w:rsid w:val="00FF6CFB"/>
    <w:rsid w:val="00FF6D32"/>
    <w:rsid w:val="00FF6F96"/>
    <w:rsid w:val="00FF70F3"/>
    <w:rsid w:val="00FF7638"/>
    <w:rsid w:val="00FF7803"/>
    <w:rsid w:val="00FF7C98"/>
    <w:rsid w:val="00FF7EED"/>
    <w:rsid w:val="040FB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0A875"/>
  <w15:chartTrackingRefBased/>
  <w15:docId w15:val="{26F2320B-CE77-4BFB-9C8B-697B1D27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2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77F56"/>
    <w:pPr>
      <w:keepNext/>
      <w:keepLines/>
      <w:spacing w:before="480" w:line="276" w:lineRule="auto"/>
      <w:outlineLvl w:val="0"/>
    </w:pPr>
    <w:rPr>
      <w:rFonts w:asciiTheme="majorHAnsi" w:eastAsiaTheme="majorEastAsia" w:hAnsiTheme="majorHAnsi" w:cstheme="majorBidi"/>
      <w:b/>
      <w:bCs/>
      <w:color w:val="00437F"/>
      <w:sz w:val="36"/>
      <w:szCs w:val="28"/>
      <w:lang w:val="en-GB"/>
    </w:rPr>
  </w:style>
  <w:style w:type="paragraph" w:styleId="Heading2">
    <w:name w:val="heading 2"/>
    <w:basedOn w:val="Normal"/>
    <w:next w:val="Normal"/>
    <w:link w:val="Heading2Char"/>
    <w:uiPriority w:val="9"/>
    <w:unhideWhenUsed/>
    <w:qFormat/>
    <w:rsid w:val="00F239B3"/>
    <w:pPr>
      <w:keepNext/>
      <w:keepLines/>
      <w:spacing w:before="200" w:line="276" w:lineRule="auto"/>
      <w:outlineLvl w:val="1"/>
    </w:pPr>
    <w:rPr>
      <w:rFonts w:asciiTheme="majorHAnsi" w:eastAsiaTheme="majorEastAsia" w:hAnsiTheme="majorHAnsi" w:cstheme="majorBidi"/>
      <w:b/>
      <w:bCs/>
      <w:color w:val="00437F"/>
      <w:sz w:val="32"/>
      <w:szCs w:val="26"/>
      <w:lang w:val="en-GB"/>
    </w:rPr>
  </w:style>
  <w:style w:type="paragraph" w:styleId="Heading3">
    <w:name w:val="heading 3"/>
    <w:basedOn w:val="Normal"/>
    <w:next w:val="Normal"/>
    <w:link w:val="Heading3Char"/>
    <w:uiPriority w:val="9"/>
    <w:unhideWhenUsed/>
    <w:qFormat/>
    <w:rsid w:val="0030356F"/>
    <w:pPr>
      <w:keepNext/>
      <w:keepLines/>
      <w:spacing w:before="200" w:line="276" w:lineRule="auto"/>
      <w:outlineLvl w:val="2"/>
    </w:pPr>
    <w:rPr>
      <w:rFonts w:asciiTheme="majorHAnsi" w:eastAsiaTheme="majorEastAsia" w:hAnsiTheme="majorHAnsi" w:cstheme="majorBidi"/>
      <w:b/>
      <w:bCs/>
      <w:color w:val="1CADE4" w:themeColor="accent1"/>
      <w:sz w:val="22"/>
      <w:szCs w:val="22"/>
      <w:lang w:val="en-GB"/>
    </w:rPr>
  </w:style>
  <w:style w:type="paragraph" w:styleId="Heading4">
    <w:name w:val="heading 4"/>
    <w:basedOn w:val="Normal"/>
    <w:next w:val="Normal"/>
    <w:link w:val="Heading4Char"/>
    <w:uiPriority w:val="9"/>
    <w:semiHidden/>
    <w:unhideWhenUsed/>
    <w:qFormat/>
    <w:rsid w:val="0030356F"/>
    <w:pPr>
      <w:keepNext/>
      <w:keepLines/>
      <w:spacing w:before="200" w:line="276" w:lineRule="auto"/>
      <w:outlineLvl w:val="3"/>
    </w:pPr>
    <w:rPr>
      <w:rFonts w:asciiTheme="majorHAnsi" w:eastAsiaTheme="majorEastAsia" w:hAnsiTheme="majorHAnsi" w:cstheme="majorBidi"/>
      <w:b/>
      <w:bCs/>
      <w:i/>
      <w:iCs/>
      <w:color w:val="1CADE4" w:themeColor="accent1"/>
      <w:sz w:val="22"/>
      <w:szCs w:val="22"/>
      <w:lang w:val="en-GB"/>
    </w:rPr>
  </w:style>
  <w:style w:type="paragraph" w:styleId="Heading5">
    <w:name w:val="heading 5"/>
    <w:basedOn w:val="Normal"/>
    <w:next w:val="Normal"/>
    <w:link w:val="Heading5Char"/>
    <w:uiPriority w:val="9"/>
    <w:semiHidden/>
    <w:unhideWhenUsed/>
    <w:qFormat/>
    <w:rsid w:val="0030356F"/>
    <w:pPr>
      <w:keepNext/>
      <w:keepLines/>
      <w:spacing w:before="200"/>
      <w:outlineLvl w:val="4"/>
    </w:pPr>
    <w:rPr>
      <w:rFonts w:asciiTheme="majorHAnsi" w:eastAsiaTheme="majorEastAsia" w:hAnsiTheme="majorHAnsi" w:cstheme="majorBidi"/>
      <w:color w:val="0D5571" w:themeColor="accent1" w:themeShade="7F"/>
    </w:rPr>
  </w:style>
  <w:style w:type="paragraph" w:styleId="Heading6">
    <w:name w:val="heading 6"/>
    <w:basedOn w:val="Normal"/>
    <w:next w:val="Normal"/>
    <w:link w:val="Heading6Char"/>
    <w:uiPriority w:val="9"/>
    <w:semiHidden/>
    <w:unhideWhenUsed/>
    <w:qFormat/>
    <w:rsid w:val="0030356F"/>
    <w:pPr>
      <w:keepNext/>
      <w:keepLines/>
      <w:spacing w:before="200"/>
      <w:outlineLvl w:val="5"/>
    </w:pPr>
    <w:rPr>
      <w:rFonts w:asciiTheme="majorHAnsi" w:eastAsiaTheme="majorEastAsia" w:hAnsiTheme="majorHAnsi" w:cstheme="majorBidi"/>
      <w:i/>
      <w:iCs/>
      <w:color w:val="0D5571" w:themeColor="accent1" w:themeShade="7F"/>
    </w:rPr>
  </w:style>
  <w:style w:type="paragraph" w:styleId="Heading7">
    <w:name w:val="heading 7"/>
    <w:basedOn w:val="Normal"/>
    <w:next w:val="Normal"/>
    <w:link w:val="Heading7Char"/>
    <w:uiPriority w:val="9"/>
    <w:semiHidden/>
    <w:unhideWhenUsed/>
    <w:qFormat/>
    <w:rsid w:val="003035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356F"/>
    <w:pPr>
      <w:keepNext/>
      <w:keepLines/>
      <w:spacing w:before="200"/>
      <w:outlineLvl w:val="7"/>
    </w:pPr>
    <w:rPr>
      <w:rFonts w:asciiTheme="majorHAnsi" w:eastAsiaTheme="majorEastAsia" w:hAnsiTheme="majorHAnsi" w:cstheme="majorBidi"/>
      <w:color w:val="1CADE4" w:themeColor="accent1"/>
      <w:sz w:val="20"/>
      <w:szCs w:val="20"/>
    </w:rPr>
  </w:style>
  <w:style w:type="paragraph" w:styleId="Heading9">
    <w:name w:val="heading 9"/>
    <w:basedOn w:val="Normal"/>
    <w:next w:val="Normal"/>
    <w:link w:val="Heading9Char"/>
    <w:uiPriority w:val="9"/>
    <w:semiHidden/>
    <w:unhideWhenUsed/>
    <w:qFormat/>
    <w:rsid w:val="003035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6E5"/>
    <w:pPr>
      <w:tabs>
        <w:tab w:val="center" w:pos="4153"/>
        <w:tab w:val="right" w:pos="8306"/>
      </w:tabs>
    </w:pPr>
    <w:rPr>
      <w:rFonts w:asciiTheme="minorHAnsi" w:eastAsiaTheme="minorEastAsia" w:hAnsiTheme="minorHAnsi" w:cstheme="minorBidi"/>
      <w:sz w:val="22"/>
      <w:szCs w:val="22"/>
      <w:lang w:val="en-GB"/>
    </w:rPr>
  </w:style>
  <w:style w:type="character" w:customStyle="1" w:styleId="HeaderChar">
    <w:name w:val="Header Char"/>
    <w:basedOn w:val="DefaultParagraphFont"/>
    <w:link w:val="Header"/>
    <w:uiPriority w:val="99"/>
    <w:rsid w:val="002226E5"/>
  </w:style>
  <w:style w:type="paragraph" w:styleId="Footer">
    <w:name w:val="footer"/>
    <w:link w:val="FooterChar"/>
    <w:uiPriority w:val="99"/>
    <w:unhideWhenUsed/>
    <w:rsid w:val="00F239B3"/>
    <w:pPr>
      <w:tabs>
        <w:tab w:val="center" w:pos="4153"/>
        <w:tab w:val="right" w:pos="8306"/>
      </w:tabs>
      <w:spacing w:before="120" w:after="120" w:line="240" w:lineRule="auto"/>
    </w:pPr>
    <w:rPr>
      <w:rFonts w:ascii="Arial" w:hAnsi="Arial"/>
      <w:sz w:val="15"/>
    </w:rPr>
  </w:style>
  <w:style w:type="character" w:customStyle="1" w:styleId="FooterChar">
    <w:name w:val="Footer Char"/>
    <w:basedOn w:val="DefaultParagraphFont"/>
    <w:link w:val="Footer"/>
    <w:uiPriority w:val="99"/>
    <w:rsid w:val="00F239B3"/>
    <w:rPr>
      <w:rFonts w:ascii="Arial" w:hAnsi="Arial"/>
      <w:sz w:val="15"/>
    </w:rPr>
  </w:style>
  <w:style w:type="character" w:styleId="Hyperlink">
    <w:name w:val="Hyperlink"/>
    <w:uiPriority w:val="99"/>
    <w:unhideWhenUsed/>
    <w:rsid w:val="00A1775E"/>
    <w:rPr>
      <w:rFonts w:ascii="Arial" w:hAnsi="Arial"/>
      <w:color w:val="00437F"/>
      <w:u w:val="none"/>
    </w:rPr>
  </w:style>
  <w:style w:type="paragraph" w:styleId="ListParagraph">
    <w:name w:val="List Paragraph"/>
    <w:basedOn w:val="Normal"/>
    <w:uiPriority w:val="34"/>
    <w:qFormat/>
    <w:rsid w:val="0030356F"/>
    <w:pPr>
      <w:spacing w:after="200" w:line="276" w:lineRule="auto"/>
      <w:ind w:left="720"/>
      <w:contextualSpacing/>
    </w:pPr>
    <w:rPr>
      <w:rFonts w:asciiTheme="minorHAnsi" w:eastAsiaTheme="minorEastAsia" w:hAnsiTheme="minorHAnsi" w:cstheme="minorBidi"/>
      <w:sz w:val="22"/>
      <w:szCs w:val="22"/>
      <w:lang w:val="en-GB"/>
    </w:rPr>
  </w:style>
  <w:style w:type="paragraph" w:styleId="NormalWeb">
    <w:name w:val="Normal (Web)"/>
    <w:basedOn w:val="Normal"/>
    <w:uiPriority w:val="99"/>
    <w:unhideWhenUsed/>
    <w:rsid w:val="005F65A7"/>
    <w:pPr>
      <w:spacing w:before="100" w:beforeAutospacing="1" w:after="100" w:afterAutospacing="1"/>
    </w:pPr>
    <w:rPr>
      <w:lang w:val="el-GR" w:eastAsia="el-GR"/>
    </w:rPr>
  </w:style>
  <w:style w:type="paragraph" w:styleId="NoSpacing">
    <w:name w:val="No Spacing"/>
    <w:link w:val="NoSpacingChar"/>
    <w:uiPriority w:val="1"/>
    <w:qFormat/>
    <w:rsid w:val="0030356F"/>
    <w:pPr>
      <w:spacing w:after="0" w:line="240" w:lineRule="auto"/>
    </w:pPr>
  </w:style>
  <w:style w:type="character" w:customStyle="1" w:styleId="Heading1Char">
    <w:name w:val="Heading 1 Char"/>
    <w:basedOn w:val="DefaultParagraphFont"/>
    <w:link w:val="Heading1"/>
    <w:uiPriority w:val="9"/>
    <w:rsid w:val="00B77F56"/>
    <w:rPr>
      <w:rFonts w:asciiTheme="majorHAnsi" w:eastAsiaTheme="majorEastAsia" w:hAnsiTheme="majorHAnsi" w:cstheme="majorBidi"/>
      <w:b/>
      <w:bCs/>
      <w:color w:val="00437F"/>
      <w:sz w:val="36"/>
      <w:szCs w:val="28"/>
    </w:rPr>
  </w:style>
  <w:style w:type="character" w:customStyle="1" w:styleId="Heading2Char">
    <w:name w:val="Heading 2 Char"/>
    <w:basedOn w:val="DefaultParagraphFont"/>
    <w:link w:val="Heading2"/>
    <w:uiPriority w:val="9"/>
    <w:rsid w:val="00F239B3"/>
    <w:rPr>
      <w:rFonts w:asciiTheme="majorHAnsi" w:eastAsiaTheme="majorEastAsia" w:hAnsiTheme="majorHAnsi" w:cstheme="majorBidi"/>
      <w:b/>
      <w:bCs/>
      <w:color w:val="00437F"/>
      <w:sz w:val="32"/>
      <w:szCs w:val="26"/>
    </w:rPr>
  </w:style>
  <w:style w:type="character" w:customStyle="1" w:styleId="Heading3Char">
    <w:name w:val="Heading 3 Char"/>
    <w:basedOn w:val="DefaultParagraphFont"/>
    <w:link w:val="Heading3"/>
    <w:uiPriority w:val="9"/>
    <w:rsid w:val="0030356F"/>
    <w:rPr>
      <w:rFonts w:asciiTheme="majorHAnsi" w:eastAsiaTheme="majorEastAsia" w:hAnsiTheme="majorHAnsi" w:cstheme="majorBidi"/>
      <w:b/>
      <w:bCs/>
      <w:color w:val="1CADE4" w:themeColor="accent1"/>
    </w:rPr>
  </w:style>
  <w:style w:type="character" w:customStyle="1" w:styleId="Heading4Char">
    <w:name w:val="Heading 4 Char"/>
    <w:basedOn w:val="DefaultParagraphFont"/>
    <w:link w:val="Heading4"/>
    <w:uiPriority w:val="9"/>
    <w:semiHidden/>
    <w:rsid w:val="0030356F"/>
    <w:rPr>
      <w:rFonts w:asciiTheme="majorHAnsi" w:eastAsiaTheme="majorEastAsia" w:hAnsiTheme="majorHAnsi" w:cstheme="majorBidi"/>
      <w:b/>
      <w:bCs/>
      <w:i/>
      <w:iCs/>
      <w:color w:val="1CADE4" w:themeColor="accent1"/>
    </w:rPr>
  </w:style>
  <w:style w:type="character" w:customStyle="1" w:styleId="Heading5Char">
    <w:name w:val="Heading 5 Char"/>
    <w:basedOn w:val="DefaultParagraphFont"/>
    <w:link w:val="Heading5"/>
    <w:uiPriority w:val="9"/>
    <w:semiHidden/>
    <w:rsid w:val="0030356F"/>
    <w:rPr>
      <w:rFonts w:asciiTheme="majorHAnsi" w:eastAsiaTheme="majorEastAsia" w:hAnsiTheme="majorHAnsi" w:cstheme="majorBidi"/>
      <w:color w:val="0D5571" w:themeColor="accent1" w:themeShade="7F"/>
    </w:rPr>
  </w:style>
  <w:style w:type="character" w:customStyle="1" w:styleId="Heading6Char">
    <w:name w:val="Heading 6 Char"/>
    <w:basedOn w:val="DefaultParagraphFont"/>
    <w:link w:val="Heading6"/>
    <w:uiPriority w:val="9"/>
    <w:semiHidden/>
    <w:rsid w:val="0030356F"/>
    <w:rPr>
      <w:rFonts w:asciiTheme="majorHAnsi" w:eastAsiaTheme="majorEastAsia" w:hAnsiTheme="majorHAnsi" w:cstheme="majorBidi"/>
      <w:i/>
      <w:iCs/>
      <w:color w:val="0D5571" w:themeColor="accent1" w:themeShade="7F"/>
    </w:rPr>
  </w:style>
  <w:style w:type="character" w:customStyle="1" w:styleId="Heading7Char">
    <w:name w:val="Heading 7 Char"/>
    <w:basedOn w:val="DefaultParagraphFont"/>
    <w:link w:val="Heading7"/>
    <w:uiPriority w:val="9"/>
    <w:semiHidden/>
    <w:rsid w:val="003035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0356F"/>
    <w:rPr>
      <w:rFonts w:asciiTheme="majorHAnsi" w:eastAsiaTheme="majorEastAsia" w:hAnsiTheme="majorHAnsi" w:cstheme="majorBidi"/>
      <w:color w:val="1CADE4" w:themeColor="accent1"/>
      <w:sz w:val="20"/>
      <w:szCs w:val="20"/>
    </w:rPr>
  </w:style>
  <w:style w:type="character" w:customStyle="1" w:styleId="Heading9Char">
    <w:name w:val="Heading 9 Char"/>
    <w:basedOn w:val="DefaultParagraphFont"/>
    <w:link w:val="Heading9"/>
    <w:uiPriority w:val="9"/>
    <w:semiHidden/>
    <w:rsid w:val="003035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0356F"/>
    <w:rPr>
      <w:b/>
      <w:bCs/>
      <w:color w:val="1CADE4" w:themeColor="accent1"/>
      <w:sz w:val="18"/>
      <w:szCs w:val="18"/>
    </w:rPr>
  </w:style>
  <w:style w:type="paragraph" w:styleId="Title">
    <w:name w:val="Title"/>
    <w:basedOn w:val="Normal"/>
    <w:next w:val="Normal"/>
    <w:link w:val="TitleChar"/>
    <w:uiPriority w:val="10"/>
    <w:qFormat/>
    <w:rsid w:val="00F239B3"/>
    <w:pPr>
      <w:pBdr>
        <w:bottom w:val="single" w:sz="8" w:space="4" w:color="1CADE4" w:themeColor="accent1"/>
      </w:pBdr>
      <w:spacing w:after="300" w:line="360" w:lineRule="auto"/>
      <w:contextualSpacing/>
    </w:pPr>
    <w:rPr>
      <w:rFonts w:asciiTheme="majorHAnsi" w:eastAsiaTheme="majorEastAsia" w:hAnsiTheme="majorHAnsi" w:cstheme="majorBidi"/>
      <w:color w:val="264356" w:themeColor="text2" w:themeShade="BF"/>
      <w:spacing w:val="5"/>
      <w:kern w:val="28"/>
      <w:sz w:val="52"/>
      <w:szCs w:val="52"/>
      <w:lang w:val="en-GB"/>
    </w:rPr>
  </w:style>
  <w:style w:type="character" w:customStyle="1" w:styleId="TitleChar">
    <w:name w:val="Title Char"/>
    <w:basedOn w:val="DefaultParagraphFont"/>
    <w:link w:val="Title"/>
    <w:uiPriority w:val="10"/>
    <w:rsid w:val="00F239B3"/>
    <w:rPr>
      <w:rFonts w:asciiTheme="majorHAnsi" w:eastAsiaTheme="majorEastAsia" w:hAnsiTheme="majorHAnsi" w:cstheme="majorBidi"/>
      <w:color w:val="264356" w:themeColor="text2" w:themeShade="BF"/>
      <w:spacing w:val="5"/>
      <w:kern w:val="28"/>
      <w:sz w:val="52"/>
      <w:szCs w:val="52"/>
    </w:rPr>
  </w:style>
  <w:style w:type="paragraph" w:styleId="Subtitle">
    <w:name w:val="Subtitle"/>
    <w:basedOn w:val="Normal"/>
    <w:next w:val="Normal"/>
    <w:link w:val="SubtitleChar"/>
    <w:uiPriority w:val="11"/>
    <w:qFormat/>
    <w:rsid w:val="0030356F"/>
    <w:pPr>
      <w:numPr>
        <w:ilvl w:val="1"/>
      </w:numPr>
      <w:spacing w:after="200" w:line="276" w:lineRule="auto"/>
    </w:pPr>
    <w:rPr>
      <w:rFonts w:asciiTheme="majorHAnsi" w:eastAsiaTheme="majorEastAsia" w:hAnsiTheme="majorHAnsi" w:cstheme="majorBidi"/>
      <w:i/>
      <w:iCs/>
      <w:color w:val="1CADE4" w:themeColor="accent1"/>
      <w:spacing w:val="15"/>
      <w:lang w:val="en-GB"/>
    </w:rPr>
  </w:style>
  <w:style w:type="character" w:customStyle="1" w:styleId="SubtitleChar">
    <w:name w:val="Subtitle Char"/>
    <w:basedOn w:val="DefaultParagraphFont"/>
    <w:link w:val="Subtitle"/>
    <w:uiPriority w:val="11"/>
    <w:rsid w:val="0030356F"/>
    <w:rPr>
      <w:rFonts w:asciiTheme="majorHAnsi" w:eastAsiaTheme="majorEastAsia" w:hAnsiTheme="majorHAnsi" w:cstheme="majorBidi"/>
      <w:i/>
      <w:iCs/>
      <w:color w:val="1CADE4" w:themeColor="accent1"/>
      <w:spacing w:val="15"/>
      <w:sz w:val="24"/>
      <w:szCs w:val="24"/>
    </w:rPr>
  </w:style>
  <w:style w:type="character" w:styleId="Strong">
    <w:name w:val="Strong"/>
    <w:basedOn w:val="DefaultParagraphFont"/>
    <w:uiPriority w:val="22"/>
    <w:qFormat/>
    <w:rsid w:val="0030356F"/>
    <w:rPr>
      <w:b/>
      <w:bCs/>
    </w:rPr>
  </w:style>
  <w:style w:type="character" w:styleId="Emphasis">
    <w:name w:val="Emphasis"/>
    <w:basedOn w:val="DefaultParagraphFont"/>
    <w:uiPriority w:val="20"/>
    <w:qFormat/>
    <w:rsid w:val="0030356F"/>
    <w:rPr>
      <w:i/>
      <w:iCs/>
    </w:rPr>
  </w:style>
  <w:style w:type="character" w:customStyle="1" w:styleId="NoSpacingChar">
    <w:name w:val="No Spacing Char"/>
    <w:basedOn w:val="DefaultParagraphFont"/>
    <w:link w:val="NoSpacing"/>
    <w:uiPriority w:val="1"/>
    <w:rsid w:val="0030356F"/>
  </w:style>
  <w:style w:type="paragraph" w:styleId="Quote">
    <w:name w:val="Quote"/>
    <w:basedOn w:val="Normal"/>
    <w:next w:val="Normal"/>
    <w:link w:val="QuoteChar"/>
    <w:uiPriority w:val="29"/>
    <w:qFormat/>
    <w:rsid w:val="0030356F"/>
    <w:pPr>
      <w:spacing w:after="200" w:line="276" w:lineRule="auto"/>
    </w:pPr>
    <w:rPr>
      <w:rFonts w:asciiTheme="minorHAnsi" w:eastAsiaTheme="minorEastAsia" w:hAnsiTheme="minorHAnsi" w:cstheme="minorBidi"/>
      <w:i/>
      <w:iCs/>
      <w:color w:val="000000" w:themeColor="text1"/>
      <w:sz w:val="22"/>
      <w:szCs w:val="22"/>
      <w:lang w:val="en-GB"/>
    </w:rPr>
  </w:style>
  <w:style w:type="character" w:customStyle="1" w:styleId="QuoteChar">
    <w:name w:val="Quote Char"/>
    <w:basedOn w:val="DefaultParagraphFont"/>
    <w:link w:val="Quote"/>
    <w:uiPriority w:val="29"/>
    <w:rsid w:val="0030356F"/>
    <w:rPr>
      <w:i/>
      <w:iCs/>
      <w:color w:val="000000" w:themeColor="text1"/>
    </w:rPr>
  </w:style>
  <w:style w:type="paragraph" w:styleId="IntenseQuote">
    <w:name w:val="Intense Quote"/>
    <w:basedOn w:val="Normal"/>
    <w:next w:val="Normal"/>
    <w:link w:val="IntenseQuoteChar"/>
    <w:uiPriority w:val="30"/>
    <w:qFormat/>
    <w:rsid w:val="0030356F"/>
    <w:pPr>
      <w:pBdr>
        <w:bottom w:val="single" w:sz="4" w:space="4" w:color="1CADE4" w:themeColor="accent1"/>
      </w:pBdr>
      <w:spacing w:before="200" w:after="280" w:line="276" w:lineRule="auto"/>
      <w:ind w:left="936" w:right="936"/>
    </w:pPr>
    <w:rPr>
      <w:rFonts w:asciiTheme="minorHAnsi" w:eastAsiaTheme="minorEastAsia" w:hAnsiTheme="minorHAnsi" w:cstheme="minorBidi"/>
      <w:b/>
      <w:bCs/>
      <w:i/>
      <w:iCs/>
      <w:color w:val="1CADE4" w:themeColor="accent1"/>
      <w:sz w:val="22"/>
      <w:szCs w:val="22"/>
      <w:lang w:val="en-GB"/>
    </w:rPr>
  </w:style>
  <w:style w:type="character" w:customStyle="1" w:styleId="IntenseQuoteChar">
    <w:name w:val="Intense Quote Char"/>
    <w:basedOn w:val="DefaultParagraphFont"/>
    <w:link w:val="IntenseQuote"/>
    <w:uiPriority w:val="30"/>
    <w:rsid w:val="0030356F"/>
    <w:rPr>
      <w:b/>
      <w:bCs/>
      <w:i/>
      <w:iCs/>
      <w:color w:val="1CADE4" w:themeColor="accent1"/>
    </w:rPr>
  </w:style>
  <w:style w:type="character" w:styleId="SubtleEmphasis">
    <w:name w:val="Subtle Emphasis"/>
    <w:basedOn w:val="DefaultParagraphFont"/>
    <w:uiPriority w:val="19"/>
    <w:qFormat/>
    <w:rsid w:val="0030356F"/>
    <w:rPr>
      <w:i/>
      <w:iCs/>
      <w:color w:val="808080" w:themeColor="text1" w:themeTint="7F"/>
    </w:rPr>
  </w:style>
  <w:style w:type="character" w:styleId="IntenseEmphasis">
    <w:name w:val="Intense Emphasis"/>
    <w:basedOn w:val="DefaultParagraphFont"/>
    <w:uiPriority w:val="21"/>
    <w:qFormat/>
    <w:rsid w:val="0030356F"/>
    <w:rPr>
      <w:b/>
      <w:bCs/>
      <w:i/>
      <w:iCs/>
      <w:color w:val="1CADE4" w:themeColor="accent1"/>
    </w:rPr>
  </w:style>
  <w:style w:type="character" w:styleId="SubtleReference">
    <w:name w:val="Subtle Reference"/>
    <w:basedOn w:val="DefaultParagraphFont"/>
    <w:uiPriority w:val="31"/>
    <w:qFormat/>
    <w:rsid w:val="0030356F"/>
    <w:rPr>
      <w:smallCaps/>
      <w:color w:val="2683C6" w:themeColor="accent2"/>
      <w:u w:val="single"/>
    </w:rPr>
  </w:style>
  <w:style w:type="character" w:styleId="IntenseReference">
    <w:name w:val="Intense Reference"/>
    <w:basedOn w:val="DefaultParagraphFont"/>
    <w:uiPriority w:val="32"/>
    <w:qFormat/>
    <w:rsid w:val="0030356F"/>
    <w:rPr>
      <w:b/>
      <w:bCs/>
      <w:smallCaps/>
      <w:color w:val="2683C6" w:themeColor="accent2"/>
      <w:spacing w:val="5"/>
      <w:u w:val="single"/>
    </w:rPr>
  </w:style>
  <w:style w:type="character" w:styleId="BookTitle">
    <w:name w:val="Book Title"/>
    <w:basedOn w:val="DefaultParagraphFont"/>
    <w:uiPriority w:val="33"/>
    <w:qFormat/>
    <w:rsid w:val="0030356F"/>
    <w:rPr>
      <w:b/>
      <w:bCs/>
      <w:smallCaps/>
      <w:spacing w:val="5"/>
    </w:rPr>
  </w:style>
  <w:style w:type="paragraph" w:styleId="TOCHeading">
    <w:name w:val="TOC Heading"/>
    <w:basedOn w:val="Heading1"/>
    <w:next w:val="Normal"/>
    <w:uiPriority w:val="39"/>
    <w:semiHidden/>
    <w:unhideWhenUsed/>
    <w:qFormat/>
    <w:rsid w:val="0030356F"/>
    <w:pPr>
      <w:outlineLvl w:val="9"/>
    </w:pPr>
  </w:style>
  <w:style w:type="paragraph" w:customStyle="1" w:styleId="PersonalName">
    <w:name w:val="Personal Name"/>
    <w:basedOn w:val="Title"/>
    <w:rsid w:val="0030356F"/>
    <w:rPr>
      <w:b/>
      <w:caps/>
      <w:color w:val="000000"/>
      <w:sz w:val="28"/>
      <w:szCs w:val="28"/>
    </w:rPr>
  </w:style>
  <w:style w:type="character" w:styleId="FollowedHyperlink">
    <w:name w:val="FollowedHyperlink"/>
    <w:basedOn w:val="DefaultParagraphFont"/>
    <w:uiPriority w:val="99"/>
    <w:semiHidden/>
    <w:unhideWhenUsed/>
    <w:rsid w:val="00EB2946"/>
    <w:rPr>
      <w:color w:val="B26B02" w:themeColor="followedHyperlink"/>
      <w:u w:val="single"/>
    </w:rPr>
  </w:style>
  <w:style w:type="paragraph" w:customStyle="1" w:styleId="A">
    <w:name w:val="A"/>
    <w:basedOn w:val="Normal"/>
    <w:qFormat/>
    <w:rsid w:val="00A50AB5"/>
    <w:pPr>
      <w:spacing w:after="200"/>
    </w:pPr>
    <w:rPr>
      <w:rFonts w:ascii="Calibri Light" w:eastAsiaTheme="minorEastAsia" w:hAnsi="Calibri Light" w:cstheme="minorBidi"/>
      <w:color w:val="00183D"/>
      <w:sz w:val="36"/>
      <w:szCs w:val="28"/>
      <w:lang w:val="en-GB"/>
    </w:rPr>
  </w:style>
  <w:style w:type="character" w:styleId="UnresolvedMention">
    <w:name w:val="Unresolved Mention"/>
    <w:basedOn w:val="DefaultParagraphFont"/>
    <w:uiPriority w:val="99"/>
    <w:semiHidden/>
    <w:unhideWhenUsed/>
    <w:rsid w:val="00304561"/>
    <w:rPr>
      <w:color w:val="605E5C"/>
      <w:shd w:val="clear" w:color="auto" w:fill="E1DFDD"/>
    </w:rPr>
  </w:style>
  <w:style w:type="paragraph" w:customStyle="1" w:styleId="B">
    <w:name w:val="B"/>
    <w:qFormat/>
    <w:rsid w:val="00A765DA"/>
    <w:rPr>
      <w:rFonts w:ascii="Arial" w:hAnsi="Arial"/>
      <w:color w:val="00437F"/>
      <w:sz w:val="24"/>
      <w:szCs w:val="20"/>
    </w:rPr>
  </w:style>
  <w:style w:type="paragraph" w:customStyle="1" w:styleId="Copy">
    <w:name w:val="Copy"/>
    <w:basedOn w:val="Normal"/>
    <w:qFormat/>
    <w:rsid w:val="00A50AB5"/>
    <w:pPr>
      <w:spacing w:after="200"/>
    </w:pPr>
    <w:rPr>
      <w:rFonts w:ascii="Calibri Light" w:eastAsiaTheme="minorEastAsia" w:hAnsi="Calibri Light" w:cs="Arial"/>
      <w:color w:val="00183D"/>
      <w:sz w:val="21"/>
      <w:szCs w:val="20"/>
      <w:lang w:val="en-GB"/>
    </w:rPr>
  </w:style>
  <w:style w:type="paragraph" w:customStyle="1" w:styleId="Copy-bullets">
    <w:name w:val="Copy - bullets"/>
    <w:basedOn w:val="Copy"/>
    <w:qFormat/>
    <w:rsid w:val="0029079A"/>
    <w:pPr>
      <w:numPr>
        <w:numId w:val="13"/>
      </w:numPr>
    </w:pPr>
  </w:style>
  <w:style w:type="paragraph" w:customStyle="1" w:styleId="C">
    <w:name w:val="C"/>
    <w:basedOn w:val="B"/>
    <w:uiPriority w:val="99"/>
    <w:qFormat/>
    <w:rsid w:val="00A50AB5"/>
    <w:rPr>
      <w:rFonts w:ascii="Calibri" w:hAnsi="Calibri" w:cs="Arial"/>
      <w:b/>
      <w:bCs/>
      <w:color w:val="00183D"/>
      <w:sz w:val="28"/>
      <w:szCs w:val="24"/>
    </w:rPr>
  </w:style>
  <w:style w:type="paragraph" w:customStyle="1" w:styleId="quoteitalics">
    <w:name w:val="quote italics"/>
    <w:basedOn w:val="Copy"/>
    <w:qFormat/>
    <w:rsid w:val="005A5E31"/>
    <w:pPr>
      <w:spacing w:line="276" w:lineRule="auto"/>
    </w:pPr>
    <w:rPr>
      <w:i/>
      <w:iCs/>
      <w:color w:val="00437F"/>
    </w:rPr>
  </w:style>
  <w:style w:type="paragraph" w:customStyle="1" w:styleId="Quote-name">
    <w:name w:val="Quote - name"/>
    <w:basedOn w:val="Copy"/>
    <w:qFormat/>
    <w:rsid w:val="005A5E31"/>
    <w:rPr>
      <w:color w:val="00437F"/>
    </w:rPr>
  </w:style>
  <w:style w:type="paragraph" w:customStyle="1" w:styleId="copysmall">
    <w:name w:val="copy small"/>
    <w:basedOn w:val="Copy"/>
    <w:qFormat/>
    <w:rsid w:val="00564325"/>
    <w:pPr>
      <w:spacing w:line="288" w:lineRule="auto"/>
    </w:pPr>
    <w:rPr>
      <w:rFonts w:eastAsia="Arial"/>
      <w:color w:val="65757D" w:themeColor="background2" w:themeShade="80"/>
      <w:sz w:val="16"/>
      <w:szCs w:val="16"/>
      <w:shd w:val="clear" w:color="auto" w:fill="FFFFFF"/>
      <w:lang w:val="en-US"/>
    </w:rPr>
  </w:style>
  <w:style w:type="table" w:styleId="GridTable1Light-Accent1">
    <w:name w:val="Grid Table 1 Light Accent 1"/>
    <w:basedOn w:val="TableNormal"/>
    <w:uiPriority w:val="46"/>
    <w:rsid w:val="002238C1"/>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CellMar>
        <w:left w:w="0" w:type="dxa"/>
        <w:right w:w="0" w:type="dxa"/>
      </w:tblCellMar>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2238C1"/>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StylePr>
  </w:style>
  <w:style w:type="table" w:styleId="GridTable7Colorful-Accent3">
    <w:name w:val="Grid Table 7 Colorful Accent 3"/>
    <w:basedOn w:val="TableNormal"/>
    <w:uiPriority w:val="52"/>
    <w:rsid w:val="002238C1"/>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CellMar>
        <w:left w:w="0" w:type="dxa"/>
        <w:right w:w="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TableGrid">
    <w:name w:val="Table Grid"/>
    <w:basedOn w:val="TableNormal"/>
    <w:uiPriority w:val="39"/>
    <w:rsid w:val="002238C1"/>
    <w:pPr>
      <w:spacing w:after="0" w:line="240" w:lineRule="auto"/>
    </w:pPr>
    <w:tblPr/>
  </w:style>
  <w:style w:type="table" w:styleId="PlainTable3">
    <w:name w:val="Plain Table 3"/>
    <w:basedOn w:val="TableNormal"/>
    <w:uiPriority w:val="43"/>
    <w:rsid w:val="002238C1"/>
    <w:pPr>
      <w:spacing w:after="0"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4">
    <w:name w:val="Plain Table 4"/>
    <w:basedOn w:val="TableNormal"/>
    <w:uiPriority w:val="44"/>
    <w:rsid w:val="002238C1"/>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777599"/>
    <w:rPr>
      <w:sz w:val="18"/>
      <w:szCs w:val="18"/>
    </w:rPr>
  </w:style>
  <w:style w:type="character" w:customStyle="1" w:styleId="BalloonTextChar">
    <w:name w:val="Balloon Text Char"/>
    <w:basedOn w:val="DefaultParagraphFont"/>
    <w:link w:val="BalloonText"/>
    <w:uiPriority w:val="99"/>
    <w:semiHidden/>
    <w:rsid w:val="00777599"/>
    <w:rPr>
      <w:rFonts w:ascii="Times New Roman" w:hAnsi="Times New Roman" w:cs="Times New Roman"/>
      <w:sz w:val="18"/>
      <w:szCs w:val="18"/>
    </w:rPr>
  </w:style>
  <w:style w:type="character" w:styleId="PageNumber">
    <w:name w:val="page number"/>
    <w:basedOn w:val="DefaultParagraphFont"/>
    <w:uiPriority w:val="99"/>
    <w:semiHidden/>
    <w:unhideWhenUsed/>
    <w:rsid w:val="00903110"/>
  </w:style>
  <w:style w:type="paragraph" w:customStyle="1" w:styleId="Style1">
    <w:name w:val="Style1"/>
    <w:basedOn w:val="Header"/>
    <w:qFormat/>
    <w:rsid w:val="00257501"/>
    <w:pPr>
      <w:framePr w:w="2556" w:wrap="none" w:vAnchor="text" w:hAnchor="page" w:x="9229" w:y="1623"/>
      <w:spacing w:line="360" w:lineRule="auto"/>
    </w:pPr>
    <w:rPr>
      <w:rFonts w:ascii="Calibri" w:hAnsi="Calibri" w:cs="Arial"/>
      <w:color w:val="000000" w:themeColor="text1"/>
      <w:sz w:val="16"/>
      <w:szCs w:val="16"/>
      <w14:textFill>
        <w14:solidFill>
          <w14:schemeClr w14:val="tx1">
            <w14:lumMod w14:val="65000"/>
            <w14:lumOff w14:val="35000"/>
            <w14:lumMod w14:val="65000"/>
            <w14:lumOff w14:val="35000"/>
          </w14:schemeClr>
        </w14:solidFill>
      </w14:textFill>
    </w:rPr>
  </w:style>
  <w:style w:type="table" w:styleId="PlainTable5">
    <w:name w:val="Plain Table 5"/>
    <w:basedOn w:val="TableNormal"/>
    <w:uiPriority w:val="45"/>
    <w:rsid w:val="005F5128"/>
    <w:pPr>
      <w:spacing w:after="0" w:line="240" w:lineRule="auto"/>
    </w:pPr>
    <w:tblPr>
      <w:tblStyleRowBandSize w:val="1"/>
      <w:tblStyleColBandSize w:val="1"/>
    </w:tblPr>
    <w:tcPr>
      <w:tcBorders>
        <w:left w:val="nil"/>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GridTable1Light-Accent6">
    <w:name w:val="Grid Table 1 Light Accent 6"/>
    <w:basedOn w:val="TableNormal"/>
    <w:uiPriority w:val="46"/>
    <w:rsid w:val="005F5128"/>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TableParagraph">
    <w:name w:val="Table Paragraph"/>
    <w:basedOn w:val="Normal"/>
    <w:uiPriority w:val="1"/>
    <w:qFormat/>
    <w:rsid w:val="008A70C8"/>
    <w:pPr>
      <w:widowControl w:val="0"/>
      <w:autoSpaceDE w:val="0"/>
      <w:autoSpaceDN w:val="0"/>
      <w:spacing w:line="237" w:lineRule="exact"/>
      <w:jc w:val="right"/>
    </w:pPr>
    <w:rPr>
      <w:rFonts w:ascii="Calibri" w:eastAsia="Calibri" w:hAnsi="Calibri" w:cs="Calibri"/>
      <w:sz w:val="22"/>
      <w:szCs w:val="22"/>
      <w:lang w:val="el-GR" w:eastAsia="el-GR" w:bidi="el-GR"/>
    </w:rPr>
  </w:style>
  <w:style w:type="paragraph" w:styleId="Revision">
    <w:name w:val="Revision"/>
    <w:hidden/>
    <w:uiPriority w:val="99"/>
    <w:semiHidden/>
    <w:rsid w:val="00427455"/>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F337E"/>
  </w:style>
  <w:style w:type="character" w:customStyle="1" w:styleId="eop">
    <w:name w:val="eop"/>
    <w:basedOn w:val="DefaultParagraphFont"/>
    <w:rsid w:val="006F337E"/>
  </w:style>
  <w:style w:type="character" w:styleId="CommentReference">
    <w:name w:val="annotation reference"/>
    <w:basedOn w:val="DefaultParagraphFont"/>
    <w:uiPriority w:val="99"/>
    <w:semiHidden/>
    <w:unhideWhenUsed/>
    <w:rsid w:val="00E16F26"/>
    <w:rPr>
      <w:sz w:val="16"/>
      <w:szCs w:val="16"/>
    </w:rPr>
  </w:style>
  <w:style w:type="paragraph" w:styleId="CommentText">
    <w:name w:val="annotation text"/>
    <w:basedOn w:val="Normal"/>
    <w:link w:val="CommentTextChar"/>
    <w:uiPriority w:val="99"/>
    <w:unhideWhenUsed/>
    <w:rsid w:val="00E16F26"/>
    <w:pPr>
      <w:spacing w:after="160"/>
    </w:pPr>
    <w:rPr>
      <w:rFonts w:asciiTheme="minorHAnsi" w:eastAsiaTheme="minorHAnsi" w:hAnsiTheme="minorHAnsi" w:cstheme="minorBidi"/>
      <w:kern w:val="2"/>
      <w:sz w:val="20"/>
      <w:szCs w:val="20"/>
      <w:lang w:val="el-GR"/>
      <w14:ligatures w14:val="standardContextual"/>
    </w:rPr>
  </w:style>
  <w:style w:type="character" w:customStyle="1" w:styleId="CommentTextChar">
    <w:name w:val="Comment Text Char"/>
    <w:basedOn w:val="DefaultParagraphFont"/>
    <w:link w:val="CommentText"/>
    <w:uiPriority w:val="99"/>
    <w:rsid w:val="00E16F26"/>
    <w:rPr>
      <w:rFonts w:eastAsiaTheme="minorHAnsi"/>
      <w:kern w:val="2"/>
      <w:sz w:val="20"/>
      <w:szCs w:val="20"/>
      <w:lang w:val="el-GR"/>
      <w14:ligatures w14:val="standardContextual"/>
    </w:rPr>
  </w:style>
  <w:style w:type="character" w:customStyle="1" w:styleId="ui-provider">
    <w:name w:val="ui-provider"/>
    <w:basedOn w:val="DefaultParagraphFont"/>
    <w:rsid w:val="00D13543"/>
  </w:style>
  <w:style w:type="paragraph" w:styleId="CommentSubject">
    <w:name w:val="annotation subject"/>
    <w:basedOn w:val="CommentText"/>
    <w:next w:val="CommentText"/>
    <w:link w:val="CommentSubjectChar"/>
    <w:uiPriority w:val="99"/>
    <w:semiHidden/>
    <w:unhideWhenUsed/>
    <w:rsid w:val="009D547B"/>
    <w:pPr>
      <w:spacing w:after="0"/>
    </w:pPr>
    <w:rPr>
      <w:rFonts w:ascii="Times New Roman" w:eastAsia="Times New Roman" w:hAnsi="Times New Roman" w:cs="Times New Roman"/>
      <w:b/>
      <w:bCs/>
      <w:kern w:val="0"/>
      <w:lang w:val="en-US"/>
      <w14:ligatures w14:val="none"/>
    </w:rPr>
  </w:style>
  <w:style w:type="character" w:customStyle="1" w:styleId="CommentSubjectChar">
    <w:name w:val="Comment Subject Char"/>
    <w:basedOn w:val="CommentTextChar"/>
    <w:link w:val="CommentSubject"/>
    <w:uiPriority w:val="99"/>
    <w:semiHidden/>
    <w:rsid w:val="009D547B"/>
    <w:rPr>
      <w:rFonts w:ascii="Times New Roman" w:eastAsia="Times New Roman" w:hAnsi="Times New Roman" w:cs="Times New Roman"/>
      <w:b/>
      <w:bCs/>
      <w:kern w:val="2"/>
      <w:sz w:val="20"/>
      <w:szCs w:val="20"/>
      <w:lang w:val="en-US"/>
      <w14:ligatures w14:val="standardContextual"/>
    </w:rPr>
  </w:style>
  <w:style w:type="character" w:styleId="Mention">
    <w:name w:val="Mention"/>
    <w:basedOn w:val="DefaultParagraphFont"/>
    <w:uiPriority w:val="99"/>
    <w:unhideWhenUsed/>
    <w:rsid w:val="00BC2E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159">
      <w:bodyDiv w:val="1"/>
      <w:marLeft w:val="0"/>
      <w:marRight w:val="0"/>
      <w:marTop w:val="0"/>
      <w:marBottom w:val="0"/>
      <w:divBdr>
        <w:top w:val="none" w:sz="0" w:space="0" w:color="auto"/>
        <w:left w:val="none" w:sz="0" w:space="0" w:color="auto"/>
        <w:bottom w:val="none" w:sz="0" w:space="0" w:color="auto"/>
        <w:right w:val="none" w:sz="0" w:space="0" w:color="auto"/>
      </w:divBdr>
    </w:div>
    <w:div w:id="167908118">
      <w:bodyDiv w:val="1"/>
      <w:marLeft w:val="0"/>
      <w:marRight w:val="0"/>
      <w:marTop w:val="0"/>
      <w:marBottom w:val="0"/>
      <w:divBdr>
        <w:top w:val="none" w:sz="0" w:space="0" w:color="auto"/>
        <w:left w:val="none" w:sz="0" w:space="0" w:color="auto"/>
        <w:bottom w:val="none" w:sz="0" w:space="0" w:color="auto"/>
        <w:right w:val="none" w:sz="0" w:space="0" w:color="auto"/>
      </w:divBdr>
    </w:div>
    <w:div w:id="167985721">
      <w:bodyDiv w:val="1"/>
      <w:marLeft w:val="0"/>
      <w:marRight w:val="0"/>
      <w:marTop w:val="0"/>
      <w:marBottom w:val="0"/>
      <w:divBdr>
        <w:top w:val="none" w:sz="0" w:space="0" w:color="auto"/>
        <w:left w:val="none" w:sz="0" w:space="0" w:color="auto"/>
        <w:bottom w:val="none" w:sz="0" w:space="0" w:color="auto"/>
        <w:right w:val="none" w:sz="0" w:space="0" w:color="auto"/>
      </w:divBdr>
    </w:div>
    <w:div w:id="184757135">
      <w:bodyDiv w:val="1"/>
      <w:marLeft w:val="0"/>
      <w:marRight w:val="0"/>
      <w:marTop w:val="0"/>
      <w:marBottom w:val="0"/>
      <w:divBdr>
        <w:top w:val="none" w:sz="0" w:space="0" w:color="auto"/>
        <w:left w:val="none" w:sz="0" w:space="0" w:color="auto"/>
        <w:bottom w:val="none" w:sz="0" w:space="0" w:color="auto"/>
        <w:right w:val="none" w:sz="0" w:space="0" w:color="auto"/>
      </w:divBdr>
    </w:div>
    <w:div w:id="250818840">
      <w:bodyDiv w:val="1"/>
      <w:marLeft w:val="0"/>
      <w:marRight w:val="0"/>
      <w:marTop w:val="0"/>
      <w:marBottom w:val="0"/>
      <w:divBdr>
        <w:top w:val="none" w:sz="0" w:space="0" w:color="auto"/>
        <w:left w:val="none" w:sz="0" w:space="0" w:color="auto"/>
        <w:bottom w:val="none" w:sz="0" w:space="0" w:color="auto"/>
        <w:right w:val="none" w:sz="0" w:space="0" w:color="auto"/>
      </w:divBdr>
      <w:divsChild>
        <w:div w:id="120150037">
          <w:marLeft w:val="446"/>
          <w:marRight w:val="0"/>
          <w:marTop w:val="0"/>
          <w:marBottom w:val="140"/>
          <w:divBdr>
            <w:top w:val="none" w:sz="0" w:space="0" w:color="auto"/>
            <w:left w:val="none" w:sz="0" w:space="0" w:color="auto"/>
            <w:bottom w:val="none" w:sz="0" w:space="0" w:color="auto"/>
            <w:right w:val="none" w:sz="0" w:space="0" w:color="auto"/>
          </w:divBdr>
        </w:div>
        <w:div w:id="311913636">
          <w:marLeft w:val="446"/>
          <w:marRight w:val="0"/>
          <w:marTop w:val="0"/>
          <w:marBottom w:val="140"/>
          <w:divBdr>
            <w:top w:val="none" w:sz="0" w:space="0" w:color="auto"/>
            <w:left w:val="none" w:sz="0" w:space="0" w:color="auto"/>
            <w:bottom w:val="none" w:sz="0" w:space="0" w:color="auto"/>
            <w:right w:val="none" w:sz="0" w:space="0" w:color="auto"/>
          </w:divBdr>
        </w:div>
        <w:div w:id="766386923">
          <w:marLeft w:val="446"/>
          <w:marRight w:val="0"/>
          <w:marTop w:val="0"/>
          <w:marBottom w:val="140"/>
          <w:divBdr>
            <w:top w:val="none" w:sz="0" w:space="0" w:color="auto"/>
            <w:left w:val="none" w:sz="0" w:space="0" w:color="auto"/>
            <w:bottom w:val="none" w:sz="0" w:space="0" w:color="auto"/>
            <w:right w:val="none" w:sz="0" w:space="0" w:color="auto"/>
          </w:divBdr>
        </w:div>
        <w:div w:id="837814961">
          <w:marLeft w:val="446"/>
          <w:marRight w:val="0"/>
          <w:marTop w:val="0"/>
          <w:marBottom w:val="140"/>
          <w:divBdr>
            <w:top w:val="none" w:sz="0" w:space="0" w:color="auto"/>
            <w:left w:val="none" w:sz="0" w:space="0" w:color="auto"/>
            <w:bottom w:val="none" w:sz="0" w:space="0" w:color="auto"/>
            <w:right w:val="none" w:sz="0" w:space="0" w:color="auto"/>
          </w:divBdr>
        </w:div>
        <w:div w:id="1042904612">
          <w:marLeft w:val="446"/>
          <w:marRight w:val="0"/>
          <w:marTop w:val="0"/>
          <w:marBottom w:val="140"/>
          <w:divBdr>
            <w:top w:val="none" w:sz="0" w:space="0" w:color="auto"/>
            <w:left w:val="none" w:sz="0" w:space="0" w:color="auto"/>
            <w:bottom w:val="none" w:sz="0" w:space="0" w:color="auto"/>
            <w:right w:val="none" w:sz="0" w:space="0" w:color="auto"/>
          </w:divBdr>
        </w:div>
        <w:div w:id="1268342589">
          <w:marLeft w:val="446"/>
          <w:marRight w:val="0"/>
          <w:marTop w:val="0"/>
          <w:marBottom w:val="140"/>
          <w:divBdr>
            <w:top w:val="none" w:sz="0" w:space="0" w:color="auto"/>
            <w:left w:val="none" w:sz="0" w:space="0" w:color="auto"/>
            <w:bottom w:val="none" w:sz="0" w:space="0" w:color="auto"/>
            <w:right w:val="none" w:sz="0" w:space="0" w:color="auto"/>
          </w:divBdr>
        </w:div>
        <w:div w:id="1444421631">
          <w:marLeft w:val="446"/>
          <w:marRight w:val="0"/>
          <w:marTop w:val="0"/>
          <w:marBottom w:val="140"/>
          <w:divBdr>
            <w:top w:val="none" w:sz="0" w:space="0" w:color="auto"/>
            <w:left w:val="none" w:sz="0" w:space="0" w:color="auto"/>
            <w:bottom w:val="none" w:sz="0" w:space="0" w:color="auto"/>
            <w:right w:val="none" w:sz="0" w:space="0" w:color="auto"/>
          </w:divBdr>
        </w:div>
        <w:div w:id="1750468369">
          <w:marLeft w:val="446"/>
          <w:marRight w:val="0"/>
          <w:marTop w:val="0"/>
          <w:marBottom w:val="140"/>
          <w:divBdr>
            <w:top w:val="none" w:sz="0" w:space="0" w:color="auto"/>
            <w:left w:val="none" w:sz="0" w:space="0" w:color="auto"/>
            <w:bottom w:val="none" w:sz="0" w:space="0" w:color="auto"/>
            <w:right w:val="none" w:sz="0" w:space="0" w:color="auto"/>
          </w:divBdr>
        </w:div>
        <w:div w:id="1757049445">
          <w:marLeft w:val="446"/>
          <w:marRight w:val="0"/>
          <w:marTop w:val="0"/>
          <w:marBottom w:val="140"/>
          <w:divBdr>
            <w:top w:val="none" w:sz="0" w:space="0" w:color="auto"/>
            <w:left w:val="none" w:sz="0" w:space="0" w:color="auto"/>
            <w:bottom w:val="none" w:sz="0" w:space="0" w:color="auto"/>
            <w:right w:val="none" w:sz="0" w:space="0" w:color="auto"/>
          </w:divBdr>
        </w:div>
        <w:div w:id="1808742844">
          <w:marLeft w:val="446"/>
          <w:marRight w:val="0"/>
          <w:marTop w:val="0"/>
          <w:marBottom w:val="140"/>
          <w:divBdr>
            <w:top w:val="none" w:sz="0" w:space="0" w:color="auto"/>
            <w:left w:val="none" w:sz="0" w:space="0" w:color="auto"/>
            <w:bottom w:val="none" w:sz="0" w:space="0" w:color="auto"/>
            <w:right w:val="none" w:sz="0" w:space="0" w:color="auto"/>
          </w:divBdr>
        </w:div>
      </w:divsChild>
    </w:div>
    <w:div w:id="264389641">
      <w:bodyDiv w:val="1"/>
      <w:marLeft w:val="0"/>
      <w:marRight w:val="0"/>
      <w:marTop w:val="0"/>
      <w:marBottom w:val="0"/>
      <w:divBdr>
        <w:top w:val="none" w:sz="0" w:space="0" w:color="auto"/>
        <w:left w:val="none" w:sz="0" w:space="0" w:color="auto"/>
        <w:bottom w:val="none" w:sz="0" w:space="0" w:color="auto"/>
        <w:right w:val="none" w:sz="0" w:space="0" w:color="auto"/>
      </w:divBdr>
    </w:div>
    <w:div w:id="285625765">
      <w:bodyDiv w:val="1"/>
      <w:marLeft w:val="0"/>
      <w:marRight w:val="0"/>
      <w:marTop w:val="0"/>
      <w:marBottom w:val="0"/>
      <w:divBdr>
        <w:top w:val="none" w:sz="0" w:space="0" w:color="auto"/>
        <w:left w:val="none" w:sz="0" w:space="0" w:color="auto"/>
        <w:bottom w:val="none" w:sz="0" w:space="0" w:color="auto"/>
        <w:right w:val="none" w:sz="0" w:space="0" w:color="auto"/>
      </w:divBdr>
    </w:div>
    <w:div w:id="354579808">
      <w:bodyDiv w:val="1"/>
      <w:marLeft w:val="0"/>
      <w:marRight w:val="0"/>
      <w:marTop w:val="0"/>
      <w:marBottom w:val="0"/>
      <w:divBdr>
        <w:top w:val="none" w:sz="0" w:space="0" w:color="auto"/>
        <w:left w:val="none" w:sz="0" w:space="0" w:color="auto"/>
        <w:bottom w:val="none" w:sz="0" w:space="0" w:color="auto"/>
        <w:right w:val="none" w:sz="0" w:space="0" w:color="auto"/>
      </w:divBdr>
    </w:div>
    <w:div w:id="391004218">
      <w:bodyDiv w:val="1"/>
      <w:marLeft w:val="0"/>
      <w:marRight w:val="0"/>
      <w:marTop w:val="0"/>
      <w:marBottom w:val="0"/>
      <w:divBdr>
        <w:top w:val="none" w:sz="0" w:space="0" w:color="auto"/>
        <w:left w:val="none" w:sz="0" w:space="0" w:color="auto"/>
        <w:bottom w:val="none" w:sz="0" w:space="0" w:color="auto"/>
        <w:right w:val="none" w:sz="0" w:space="0" w:color="auto"/>
      </w:divBdr>
    </w:div>
    <w:div w:id="477504671">
      <w:bodyDiv w:val="1"/>
      <w:marLeft w:val="0"/>
      <w:marRight w:val="0"/>
      <w:marTop w:val="0"/>
      <w:marBottom w:val="0"/>
      <w:divBdr>
        <w:top w:val="none" w:sz="0" w:space="0" w:color="auto"/>
        <w:left w:val="none" w:sz="0" w:space="0" w:color="auto"/>
        <w:bottom w:val="none" w:sz="0" w:space="0" w:color="auto"/>
        <w:right w:val="none" w:sz="0" w:space="0" w:color="auto"/>
      </w:divBdr>
    </w:div>
    <w:div w:id="506093614">
      <w:bodyDiv w:val="1"/>
      <w:marLeft w:val="0"/>
      <w:marRight w:val="0"/>
      <w:marTop w:val="0"/>
      <w:marBottom w:val="0"/>
      <w:divBdr>
        <w:top w:val="none" w:sz="0" w:space="0" w:color="auto"/>
        <w:left w:val="none" w:sz="0" w:space="0" w:color="auto"/>
        <w:bottom w:val="none" w:sz="0" w:space="0" w:color="auto"/>
        <w:right w:val="none" w:sz="0" w:space="0" w:color="auto"/>
      </w:divBdr>
    </w:div>
    <w:div w:id="516971141">
      <w:bodyDiv w:val="1"/>
      <w:marLeft w:val="0"/>
      <w:marRight w:val="0"/>
      <w:marTop w:val="0"/>
      <w:marBottom w:val="0"/>
      <w:divBdr>
        <w:top w:val="none" w:sz="0" w:space="0" w:color="auto"/>
        <w:left w:val="none" w:sz="0" w:space="0" w:color="auto"/>
        <w:bottom w:val="none" w:sz="0" w:space="0" w:color="auto"/>
        <w:right w:val="none" w:sz="0" w:space="0" w:color="auto"/>
      </w:divBdr>
    </w:div>
    <w:div w:id="559705916">
      <w:bodyDiv w:val="1"/>
      <w:marLeft w:val="0"/>
      <w:marRight w:val="0"/>
      <w:marTop w:val="0"/>
      <w:marBottom w:val="0"/>
      <w:divBdr>
        <w:top w:val="none" w:sz="0" w:space="0" w:color="auto"/>
        <w:left w:val="none" w:sz="0" w:space="0" w:color="auto"/>
        <w:bottom w:val="none" w:sz="0" w:space="0" w:color="auto"/>
        <w:right w:val="none" w:sz="0" w:space="0" w:color="auto"/>
      </w:divBdr>
    </w:div>
    <w:div w:id="592201312">
      <w:bodyDiv w:val="1"/>
      <w:marLeft w:val="0"/>
      <w:marRight w:val="0"/>
      <w:marTop w:val="0"/>
      <w:marBottom w:val="0"/>
      <w:divBdr>
        <w:top w:val="none" w:sz="0" w:space="0" w:color="auto"/>
        <w:left w:val="none" w:sz="0" w:space="0" w:color="auto"/>
        <w:bottom w:val="none" w:sz="0" w:space="0" w:color="auto"/>
        <w:right w:val="none" w:sz="0" w:space="0" w:color="auto"/>
      </w:divBdr>
    </w:div>
    <w:div w:id="751584455">
      <w:bodyDiv w:val="1"/>
      <w:marLeft w:val="0"/>
      <w:marRight w:val="0"/>
      <w:marTop w:val="0"/>
      <w:marBottom w:val="0"/>
      <w:divBdr>
        <w:top w:val="none" w:sz="0" w:space="0" w:color="auto"/>
        <w:left w:val="none" w:sz="0" w:space="0" w:color="auto"/>
        <w:bottom w:val="none" w:sz="0" w:space="0" w:color="auto"/>
        <w:right w:val="none" w:sz="0" w:space="0" w:color="auto"/>
      </w:divBdr>
    </w:div>
    <w:div w:id="751662347">
      <w:bodyDiv w:val="1"/>
      <w:marLeft w:val="0"/>
      <w:marRight w:val="0"/>
      <w:marTop w:val="0"/>
      <w:marBottom w:val="0"/>
      <w:divBdr>
        <w:top w:val="none" w:sz="0" w:space="0" w:color="auto"/>
        <w:left w:val="none" w:sz="0" w:space="0" w:color="auto"/>
        <w:bottom w:val="none" w:sz="0" w:space="0" w:color="auto"/>
        <w:right w:val="none" w:sz="0" w:space="0" w:color="auto"/>
      </w:divBdr>
    </w:div>
    <w:div w:id="761222292">
      <w:bodyDiv w:val="1"/>
      <w:marLeft w:val="0"/>
      <w:marRight w:val="0"/>
      <w:marTop w:val="0"/>
      <w:marBottom w:val="0"/>
      <w:divBdr>
        <w:top w:val="none" w:sz="0" w:space="0" w:color="auto"/>
        <w:left w:val="none" w:sz="0" w:space="0" w:color="auto"/>
        <w:bottom w:val="none" w:sz="0" w:space="0" w:color="auto"/>
        <w:right w:val="none" w:sz="0" w:space="0" w:color="auto"/>
      </w:divBdr>
    </w:div>
    <w:div w:id="806432853">
      <w:bodyDiv w:val="1"/>
      <w:marLeft w:val="0"/>
      <w:marRight w:val="0"/>
      <w:marTop w:val="0"/>
      <w:marBottom w:val="0"/>
      <w:divBdr>
        <w:top w:val="none" w:sz="0" w:space="0" w:color="auto"/>
        <w:left w:val="none" w:sz="0" w:space="0" w:color="auto"/>
        <w:bottom w:val="none" w:sz="0" w:space="0" w:color="auto"/>
        <w:right w:val="none" w:sz="0" w:space="0" w:color="auto"/>
      </w:divBdr>
    </w:div>
    <w:div w:id="889927744">
      <w:bodyDiv w:val="1"/>
      <w:marLeft w:val="0"/>
      <w:marRight w:val="0"/>
      <w:marTop w:val="0"/>
      <w:marBottom w:val="0"/>
      <w:divBdr>
        <w:top w:val="none" w:sz="0" w:space="0" w:color="auto"/>
        <w:left w:val="none" w:sz="0" w:space="0" w:color="auto"/>
        <w:bottom w:val="none" w:sz="0" w:space="0" w:color="auto"/>
        <w:right w:val="none" w:sz="0" w:space="0" w:color="auto"/>
      </w:divBdr>
    </w:div>
    <w:div w:id="977222650">
      <w:bodyDiv w:val="1"/>
      <w:marLeft w:val="0"/>
      <w:marRight w:val="0"/>
      <w:marTop w:val="0"/>
      <w:marBottom w:val="0"/>
      <w:divBdr>
        <w:top w:val="none" w:sz="0" w:space="0" w:color="auto"/>
        <w:left w:val="none" w:sz="0" w:space="0" w:color="auto"/>
        <w:bottom w:val="none" w:sz="0" w:space="0" w:color="auto"/>
        <w:right w:val="none" w:sz="0" w:space="0" w:color="auto"/>
      </w:divBdr>
    </w:div>
    <w:div w:id="1104496661">
      <w:bodyDiv w:val="1"/>
      <w:marLeft w:val="0"/>
      <w:marRight w:val="0"/>
      <w:marTop w:val="0"/>
      <w:marBottom w:val="0"/>
      <w:divBdr>
        <w:top w:val="none" w:sz="0" w:space="0" w:color="auto"/>
        <w:left w:val="none" w:sz="0" w:space="0" w:color="auto"/>
        <w:bottom w:val="none" w:sz="0" w:space="0" w:color="auto"/>
        <w:right w:val="none" w:sz="0" w:space="0" w:color="auto"/>
      </w:divBdr>
    </w:div>
    <w:div w:id="1157653712">
      <w:bodyDiv w:val="1"/>
      <w:marLeft w:val="0"/>
      <w:marRight w:val="0"/>
      <w:marTop w:val="0"/>
      <w:marBottom w:val="0"/>
      <w:divBdr>
        <w:top w:val="none" w:sz="0" w:space="0" w:color="auto"/>
        <w:left w:val="none" w:sz="0" w:space="0" w:color="auto"/>
        <w:bottom w:val="none" w:sz="0" w:space="0" w:color="auto"/>
        <w:right w:val="none" w:sz="0" w:space="0" w:color="auto"/>
      </w:divBdr>
    </w:div>
    <w:div w:id="1259102536">
      <w:bodyDiv w:val="1"/>
      <w:marLeft w:val="0"/>
      <w:marRight w:val="0"/>
      <w:marTop w:val="0"/>
      <w:marBottom w:val="0"/>
      <w:divBdr>
        <w:top w:val="none" w:sz="0" w:space="0" w:color="auto"/>
        <w:left w:val="none" w:sz="0" w:space="0" w:color="auto"/>
        <w:bottom w:val="none" w:sz="0" w:space="0" w:color="auto"/>
        <w:right w:val="none" w:sz="0" w:space="0" w:color="auto"/>
      </w:divBdr>
    </w:div>
    <w:div w:id="1262102257">
      <w:bodyDiv w:val="1"/>
      <w:marLeft w:val="0"/>
      <w:marRight w:val="0"/>
      <w:marTop w:val="0"/>
      <w:marBottom w:val="0"/>
      <w:divBdr>
        <w:top w:val="none" w:sz="0" w:space="0" w:color="auto"/>
        <w:left w:val="none" w:sz="0" w:space="0" w:color="auto"/>
        <w:bottom w:val="none" w:sz="0" w:space="0" w:color="auto"/>
        <w:right w:val="none" w:sz="0" w:space="0" w:color="auto"/>
      </w:divBdr>
    </w:div>
    <w:div w:id="1280644690">
      <w:bodyDiv w:val="1"/>
      <w:marLeft w:val="0"/>
      <w:marRight w:val="0"/>
      <w:marTop w:val="0"/>
      <w:marBottom w:val="0"/>
      <w:divBdr>
        <w:top w:val="none" w:sz="0" w:space="0" w:color="auto"/>
        <w:left w:val="none" w:sz="0" w:space="0" w:color="auto"/>
        <w:bottom w:val="none" w:sz="0" w:space="0" w:color="auto"/>
        <w:right w:val="none" w:sz="0" w:space="0" w:color="auto"/>
      </w:divBdr>
      <w:divsChild>
        <w:div w:id="509762081">
          <w:marLeft w:val="0"/>
          <w:marRight w:val="0"/>
          <w:marTop w:val="0"/>
          <w:marBottom w:val="0"/>
          <w:divBdr>
            <w:top w:val="none" w:sz="0" w:space="0" w:color="auto"/>
            <w:left w:val="none" w:sz="0" w:space="0" w:color="auto"/>
            <w:bottom w:val="none" w:sz="0" w:space="0" w:color="auto"/>
            <w:right w:val="none" w:sz="0" w:space="0" w:color="auto"/>
          </w:divBdr>
          <w:divsChild>
            <w:div w:id="1380088041">
              <w:marLeft w:val="0"/>
              <w:marRight w:val="0"/>
              <w:marTop w:val="0"/>
              <w:marBottom w:val="0"/>
              <w:divBdr>
                <w:top w:val="none" w:sz="0" w:space="0" w:color="auto"/>
                <w:left w:val="none" w:sz="0" w:space="0" w:color="auto"/>
                <w:bottom w:val="none" w:sz="0" w:space="0" w:color="auto"/>
                <w:right w:val="none" w:sz="0" w:space="0" w:color="auto"/>
              </w:divBdr>
              <w:divsChild>
                <w:div w:id="1230769982">
                  <w:marLeft w:val="0"/>
                  <w:marRight w:val="0"/>
                  <w:marTop w:val="0"/>
                  <w:marBottom w:val="0"/>
                  <w:divBdr>
                    <w:top w:val="none" w:sz="0" w:space="0" w:color="auto"/>
                    <w:left w:val="none" w:sz="0" w:space="0" w:color="auto"/>
                    <w:bottom w:val="none" w:sz="0" w:space="0" w:color="auto"/>
                    <w:right w:val="none" w:sz="0" w:space="0" w:color="auto"/>
                  </w:divBdr>
                  <w:divsChild>
                    <w:div w:id="1168015057">
                      <w:marLeft w:val="0"/>
                      <w:marRight w:val="0"/>
                      <w:marTop w:val="0"/>
                      <w:marBottom w:val="0"/>
                      <w:divBdr>
                        <w:top w:val="none" w:sz="0" w:space="0" w:color="auto"/>
                        <w:left w:val="none" w:sz="0" w:space="0" w:color="auto"/>
                        <w:bottom w:val="none" w:sz="0" w:space="0" w:color="auto"/>
                        <w:right w:val="none" w:sz="0" w:space="0" w:color="auto"/>
                      </w:divBdr>
                      <w:divsChild>
                        <w:div w:id="546795326">
                          <w:marLeft w:val="0"/>
                          <w:marRight w:val="0"/>
                          <w:marTop w:val="0"/>
                          <w:marBottom w:val="0"/>
                          <w:divBdr>
                            <w:top w:val="none" w:sz="0" w:space="0" w:color="auto"/>
                            <w:left w:val="none" w:sz="0" w:space="0" w:color="auto"/>
                            <w:bottom w:val="none" w:sz="0" w:space="0" w:color="auto"/>
                            <w:right w:val="none" w:sz="0" w:space="0" w:color="auto"/>
                          </w:divBdr>
                          <w:divsChild>
                            <w:div w:id="9216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80049">
      <w:bodyDiv w:val="1"/>
      <w:marLeft w:val="0"/>
      <w:marRight w:val="0"/>
      <w:marTop w:val="0"/>
      <w:marBottom w:val="0"/>
      <w:divBdr>
        <w:top w:val="none" w:sz="0" w:space="0" w:color="auto"/>
        <w:left w:val="none" w:sz="0" w:space="0" w:color="auto"/>
        <w:bottom w:val="none" w:sz="0" w:space="0" w:color="auto"/>
        <w:right w:val="none" w:sz="0" w:space="0" w:color="auto"/>
      </w:divBdr>
    </w:div>
    <w:div w:id="1335379672">
      <w:bodyDiv w:val="1"/>
      <w:marLeft w:val="0"/>
      <w:marRight w:val="0"/>
      <w:marTop w:val="0"/>
      <w:marBottom w:val="0"/>
      <w:divBdr>
        <w:top w:val="none" w:sz="0" w:space="0" w:color="auto"/>
        <w:left w:val="none" w:sz="0" w:space="0" w:color="auto"/>
        <w:bottom w:val="none" w:sz="0" w:space="0" w:color="auto"/>
        <w:right w:val="none" w:sz="0" w:space="0" w:color="auto"/>
      </w:divBdr>
    </w:div>
    <w:div w:id="1527449941">
      <w:bodyDiv w:val="1"/>
      <w:marLeft w:val="0"/>
      <w:marRight w:val="0"/>
      <w:marTop w:val="0"/>
      <w:marBottom w:val="0"/>
      <w:divBdr>
        <w:top w:val="none" w:sz="0" w:space="0" w:color="auto"/>
        <w:left w:val="none" w:sz="0" w:space="0" w:color="auto"/>
        <w:bottom w:val="none" w:sz="0" w:space="0" w:color="auto"/>
        <w:right w:val="none" w:sz="0" w:space="0" w:color="auto"/>
      </w:divBdr>
    </w:div>
    <w:div w:id="1720742857">
      <w:bodyDiv w:val="1"/>
      <w:marLeft w:val="0"/>
      <w:marRight w:val="0"/>
      <w:marTop w:val="0"/>
      <w:marBottom w:val="0"/>
      <w:divBdr>
        <w:top w:val="none" w:sz="0" w:space="0" w:color="auto"/>
        <w:left w:val="none" w:sz="0" w:space="0" w:color="auto"/>
        <w:bottom w:val="none" w:sz="0" w:space="0" w:color="auto"/>
        <w:right w:val="none" w:sz="0" w:space="0" w:color="auto"/>
      </w:divBdr>
    </w:div>
    <w:div w:id="1775905590">
      <w:bodyDiv w:val="1"/>
      <w:marLeft w:val="0"/>
      <w:marRight w:val="0"/>
      <w:marTop w:val="0"/>
      <w:marBottom w:val="0"/>
      <w:divBdr>
        <w:top w:val="none" w:sz="0" w:space="0" w:color="auto"/>
        <w:left w:val="none" w:sz="0" w:space="0" w:color="auto"/>
        <w:bottom w:val="none" w:sz="0" w:space="0" w:color="auto"/>
        <w:right w:val="none" w:sz="0" w:space="0" w:color="auto"/>
      </w:divBdr>
    </w:div>
    <w:div w:id="1826622282">
      <w:bodyDiv w:val="1"/>
      <w:marLeft w:val="0"/>
      <w:marRight w:val="0"/>
      <w:marTop w:val="0"/>
      <w:marBottom w:val="0"/>
      <w:divBdr>
        <w:top w:val="none" w:sz="0" w:space="0" w:color="auto"/>
        <w:left w:val="none" w:sz="0" w:space="0" w:color="auto"/>
        <w:bottom w:val="none" w:sz="0" w:space="0" w:color="auto"/>
        <w:right w:val="none" w:sz="0" w:space="0" w:color="auto"/>
      </w:divBdr>
    </w:div>
    <w:div w:id="1867327649">
      <w:bodyDiv w:val="1"/>
      <w:marLeft w:val="0"/>
      <w:marRight w:val="0"/>
      <w:marTop w:val="0"/>
      <w:marBottom w:val="0"/>
      <w:divBdr>
        <w:top w:val="none" w:sz="0" w:space="0" w:color="auto"/>
        <w:left w:val="none" w:sz="0" w:space="0" w:color="auto"/>
        <w:bottom w:val="none" w:sz="0" w:space="0" w:color="auto"/>
        <w:right w:val="none" w:sz="0" w:space="0" w:color="auto"/>
      </w:divBdr>
    </w:div>
    <w:div w:id="1932086862">
      <w:bodyDiv w:val="1"/>
      <w:marLeft w:val="0"/>
      <w:marRight w:val="0"/>
      <w:marTop w:val="0"/>
      <w:marBottom w:val="0"/>
      <w:divBdr>
        <w:top w:val="none" w:sz="0" w:space="0" w:color="auto"/>
        <w:left w:val="none" w:sz="0" w:space="0" w:color="auto"/>
        <w:bottom w:val="none" w:sz="0" w:space="0" w:color="auto"/>
        <w:right w:val="none" w:sz="0" w:space="0" w:color="auto"/>
      </w:divBdr>
    </w:div>
    <w:div w:id="1975326734">
      <w:bodyDiv w:val="1"/>
      <w:marLeft w:val="0"/>
      <w:marRight w:val="0"/>
      <w:marTop w:val="0"/>
      <w:marBottom w:val="0"/>
      <w:divBdr>
        <w:top w:val="none" w:sz="0" w:space="0" w:color="auto"/>
        <w:left w:val="none" w:sz="0" w:space="0" w:color="auto"/>
        <w:bottom w:val="none" w:sz="0" w:space="0" w:color="auto"/>
        <w:right w:val="none" w:sz="0" w:space="0" w:color="auto"/>
      </w:divBdr>
    </w:div>
    <w:div w:id="1997026050">
      <w:bodyDiv w:val="1"/>
      <w:marLeft w:val="0"/>
      <w:marRight w:val="0"/>
      <w:marTop w:val="0"/>
      <w:marBottom w:val="0"/>
      <w:divBdr>
        <w:top w:val="none" w:sz="0" w:space="0" w:color="auto"/>
        <w:left w:val="none" w:sz="0" w:space="0" w:color="auto"/>
        <w:bottom w:val="none" w:sz="0" w:space="0" w:color="auto"/>
        <w:right w:val="none" w:sz="0" w:space="0" w:color="auto"/>
      </w:divBdr>
    </w:div>
    <w:div w:id="2036997725">
      <w:bodyDiv w:val="1"/>
      <w:marLeft w:val="0"/>
      <w:marRight w:val="0"/>
      <w:marTop w:val="0"/>
      <w:marBottom w:val="0"/>
      <w:divBdr>
        <w:top w:val="none" w:sz="0" w:space="0" w:color="auto"/>
        <w:left w:val="none" w:sz="0" w:space="0" w:color="auto"/>
        <w:bottom w:val="none" w:sz="0" w:space="0" w:color="auto"/>
        <w:right w:val="none" w:sz="0" w:space="0" w:color="auto"/>
      </w:divBdr>
    </w:div>
    <w:div w:id="2058435804">
      <w:bodyDiv w:val="1"/>
      <w:marLeft w:val="0"/>
      <w:marRight w:val="0"/>
      <w:marTop w:val="0"/>
      <w:marBottom w:val="0"/>
      <w:divBdr>
        <w:top w:val="none" w:sz="0" w:space="0" w:color="auto"/>
        <w:left w:val="none" w:sz="0" w:space="0" w:color="auto"/>
        <w:bottom w:val="none" w:sz="0" w:space="0" w:color="auto"/>
        <w:right w:val="none" w:sz="0" w:space="0" w:color="auto"/>
      </w:divBdr>
    </w:div>
    <w:div w:id="21124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tanmaterial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titan-cemen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bd29e3-9236-4376-880a-c4020042b8b3">
      <Terms xmlns="http://schemas.microsoft.com/office/infopath/2007/PartnerControls"/>
    </lcf76f155ced4ddcb4097134ff3c332f>
    <TaxCatchAll xmlns="65d5068b-a531-4428-8f34-86b4a16f3fb9" xsi:nil="true"/>
    <SharedWithUsers xmlns="a7e710a2-5b86-49c7-9ecc-3d053c41945a">
      <UserInfo>
        <DisplayName>Akianidis Emanouil</DisplayName>
        <AccountId>203</AccountId>
        <AccountType/>
      </UserInfo>
      <UserInfo>
        <DisplayName>Dalianis Ioannis</DisplayName>
        <AccountId>10756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855B0D28ED124193B37C33BA91326D" ma:contentTypeVersion="19" ma:contentTypeDescription="Create a new document." ma:contentTypeScope="" ma:versionID="a9d9750d5b34cd43467bc94d7f025331">
  <xsd:schema xmlns:xsd="http://www.w3.org/2001/XMLSchema" xmlns:xs="http://www.w3.org/2001/XMLSchema" xmlns:p="http://schemas.microsoft.com/office/2006/metadata/properties" xmlns:ns2="a4bd29e3-9236-4376-880a-c4020042b8b3" xmlns:ns3="a7e710a2-5b86-49c7-9ecc-3d053c41945a" xmlns:ns4="65d5068b-a531-4428-8f34-86b4a16f3fb9" targetNamespace="http://schemas.microsoft.com/office/2006/metadata/properties" ma:root="true" ma:fieldsID="586f7ce950a0756f7dafd82f721dc8ee" ns2:_="" ns3:_="" ns4:_="">
    <xsd:import namespace="a4bd29e3-9236-4376-880a-c4020042b8b3"/>
    <xsd:import namespace="a7e710a2-5b86-49c7-9ecc-3d053c41945a"/>
    <xsd:import namespace="65d5068b-a531-4428-8f34-86b4a16f3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9e3-9236-4376-880a-c4020042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785446-9769-4d89-b2e9-9690fab3e6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710a2-5b86-49c7-9ecc-3d053c4194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5068b-a531-4428-8f34-86b4a16f3fb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d209ade-b108-4d50-a51a-69bea079d920}" ma:internalName="TaxCatchAll" ma:showField="CatchAllData" ma:web="65d5068b-a531-4428-8f34-86b4a16f3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02E79-30D9-4086-A379-08BDC0B4D314}">
  <ds:schemaRefs>
    <ds:schemaRef ds:uri="http://schemas.openxmlformats.org/officeDocument/2006/bibliography"/>
  </ds:schemaRefs>
</ds:datastoreItem>
</file>

<file path=customXml/itemProps2.xml><?xml version="1.0" encoding="utf-8"?>
<ds:datastoreItem xmlns:ds="http://schemas.openxmlformats.org/officeDocument/2006/customXml" ds:itemID="{DDF1DA9E-3C22-4A26-B939-B24E873A4BC8}">
  <ds:schemaRefs>
    <ds:schemaRef ds:uri="http://schemas.microsoft.com/sharepoint/v3/contenttype/forms"/>
  </ds:schemaRefs>
</ds:datastoreItem>
</file>

<file path=customXml/itemProps3.xml><?xml version="1.0" encoding="utf-8"?>
<ds:datastoreItem xmlns:ds="http://schemas.openxmlformats.org/officeDocument/2006/customXml" ds:itemID="{C01F91C2-D6BF-4C46-A4D1-1CD4B51C416A}">
  <ds:schemaRefs>
    <ds:schemaRef ds:uri="http://schemas.microsoft.com/office/2006/metadata/properties"/>
    <ds:schemaRef ds:uri="http://schemas.microsoft.com/office/infopath/2007/PartnerControls"/>
    <ds:schemaRef ds:uri="99524a05-02cc-401f-9794-89c4150732d8"/>
    <ds:schemaRef ds:uri="a0242f92-e5ab-4656-9a7b-32378aa2f17a"/>
  </ds:schemaRefs>
</ds:datastoreItem>
</file>

<file path=customXml/itemProps4.xml><?xml version="1.0" encoding="utf-8"?>
<ds:datastoreItem xmlns:ds="http://schemas.openxmlformats.org/officeDocument/2006/customXml" ds:itemID="{DCC93394-90D0-4D5F-BF24-EBD382853F10}"/>
</file>

<file path=docProps/app.xml><?xml version="1.0" encoding="utf-8"?>
<Properties xmlns="http://schemas.openxmlformats.org/officeDocument/2006/extended-properties" xmlns:vt="http://schemas.openxmlformats.org/officeDocument/2006/docPropsVTypes">
  <Template>Normal</Template>
  <TotalTime>1</TotalTime>
  <Pages>10</Pages>
  <Words>5321</Words>
  <Characters>29217</Characters>
  <Application>Microsoft Office Word</Application>
  <DocSecurity>0</DocSecurity>
  <Lines>885</Lines>
  <Paragraphs>313</Paragraphs>
  <ScaleCrop>false</ScaleCrop>
  <Manager/>
  <Company/>
  <LinksUpToDate>false</LinksUpToDate>
  <CharactersWithSpaces>34225</CharactersWithSpaces>
  <SharedDoc>false</SharedDoc>
  <HyperlinkBase/>
  <HLinks>
    <vt:vector size="12" baseType="variant">
      <vt:variant>
        <vt:i4>3604590</vt:i4>
      </vt:variant>
      <vt:variant>
        <vt:i4>3</vt:i4>
      </vt:variant>
      <vt:variant>
        <vt:i4>0</vt:i4>
      </vt:variant>
      <vt:variant>
        <vt:i4>5</vt:i4>
      </vt:variant>
      <vt:variant>
        <vt:lpwstr>https://www.titanmaterials.com/</vt:lpwstr>
      </vt:variant>
      <vt:variant>
        <vt:lpwstr/>
      </vt:variant>
      <vt:variant>
        <vt:i4>196696</vt:i4>
      </vt:variant>
      <vt:variant>
        <vt:i4>0</vt:i4>
      </vt:variant>
      <vt:variant>
        <vt:i4>0</vt:i4>
      </vt:variant>
      <vt:variant>
        <vt:i4>5</vt:i4>
      </vt:variant>
      <vt:variant>
        <vt:lpwstr>https://ir.titan-cement.com/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Fintikaki Marilena</dc:creator>
  <cp:keywords/>
  <dc:description/>
  <cp:lastModifiedBy>Marilena Fintikaki</cp:lastModifiedBy>
  <cp:revision>3</cp:revision>
  <cp:lastPrinted>2025-11-06T07:03:00Z</cp:lastPrinted>
  <dcterms:created xsi:type="dcterms:W3CDTF">2025-11-06T07:02:00Z</dcterms:created>
  <dcterms:modified xsi:type="dcterms:W3CDTF">2025-11-06T07:03:00Z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0x01010063855B0D28ED124193B37C33BA91326D</vt:lpwstr>
  </property>
  <property fmtid="{D5CDD505-2E9C-101B-9397-08002B2CF9AE}" pid="3" name="MediaServiceImageTags">
    <vt:lpwstr/>
  </property>
  <property fmtid="{D5CDD505-2E9C-101B-9397-08002B2CF9AE}" pid="4" name="GrammarlyDocumentId">
    <vt:lpwstr>1e17e1848c9001cdcb168b2c47f821af0b221fc24b4ef1c5a7cf354243e73c7d</vt:lpwstr>
  </property>
  <property fmtid="{D5CDD505-2E9C-101B-9397-08002B2CF9AE}" pid="5" name="docLang">
    <vt:lpwstr>el</vt:lpwstr>
  </property>
</Properties>
</file>